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46E54">
      <w:pPr>
        <w:pStyle w:val="101"/>
        <w:rPr>
          <w:rFonts w:cs="Times New Roman"/>
        </w:rPr>
      </w:pPr>
    </w:p>
    <w:p w14:paraId="6B032822">
      <w:pPr>
        <w:rPr>
          <w:sz w:val="36"/>
          <w:szCs w:val="36"/>
        </w:rPr>
      </w:pPr>
    </w:p>
    <w:p w14:paraId="48820755">
      <w:pPr>
        <w:rPr>
          <w:sz w:val="36"/>
          <w:szCs w:val="36"/>
        </w:rPr>
      </w:pPr>
    </w:p>
    <w:p w14:paraId="1B367AD3">
      <w:pPr>
        <w:rPr>
          <w:sz w:val="36"/>
          <w:szCs w:val="36"/>
        </w:rPr>
      </w:pPr>
    </w:p>
    <w:p w14:paraId="379C4AA8">
      <w:pPr>
        <w:rPr>
          <w:sz w:val="36"/>
          <w:szCs w:val="36"/>
        </w:rPr>
      </w:pPr>
    </w:p>
    <w:p w14:paraId="5F43ED08">
      <w:pPr>
        <w:adjustRightInd w:val="0"/>
        <w:snapToGrid w:val="0"/>
        <w:jc w:val="center"/>
        <w:outlineLvl w:val="0"/>
        <w:rPr>
          <w:bCs/>
          <w:sz w:val="72"/>
          <w:szCs w:val="72"/>
        </w:rPr>
      </w:pPr>
      <w:bookmarkStart w:id="0" w:name="_Toc6810"/>
      <w:r>
        <w:rPr>
          <w:bCs/>
          <w:sz w:val="72"/>
          <w:szCs w:val="72"/>
        </w:rPr>
        <w:t>建设项目环境影响报告表</w:t>
      </w:r>
      <w:bookmarkEnd w:id="0"/>
    </w:p>
    <w:p w14:paraId="62F51526">
      <w:pPr>
        <w:adjustRightInd w:val="0"/>
        <w:snapToGrid w:val="0"/>
        <w:spacing w:before="192" w:beforeLines="80"/>
        <w:jc w:val="center"/>
        <w:rPr>
          <w:bCs/>
          <w:sz w:val="48"/>
          <w:szCs w:val="48"/>
        </w:rPr>
      </w:pPr>
      <w:r>
        <w:rPr>
          <w:bCs/>
          <w:sz w:val="48"/>
          <w:szCs w:val="48"/>
        </w:rPr>
        <w:t>（污染影响类）</w:t>
      </w:r>
    </w:p>
    <w:p w14:paraId="009F16DA">
      <w:pPr>
        <w:jc w:val="center"/>
        <w:rPr>
          <w:sz w:val="52"/>
          <w:szCs w:val="52"/>
        </w:rPr>
      </w:pPr>
    </w:p>
    <w:p w14:paraId="5169CB65">
      <w:pPr>
        <w:ind w:firstLine="1040"/>
        <w:rPr>
          <w:sz w:val="44"/>
          <w:szCs w:val="44"/>
        </w:rPr>
      </w:pPr>
    </w:p>
    <w:p w14:paraId="3A5ED250">
      <w:pPr>
        <w:ind w:firstLine="1040"/>
        <w:rPr>
          <w:sz w:val="44"/>
          <w:szCs w:val="44"/>
        </w:rPr>
      </w:pPr>
    </w:p>
    <w:p w14:paraId="2CC2DFBF">
      <w:pPr>
        <w:ind w:firstLine="1040"/>
        <w:rPr>
          <w:sz w:val="44"/>
          <w:szCs w:val="44"/>
        </w:rPr>
      </w:pPr>
    </w:p>
    <w:p w14:paraId="42645984">
      <w:pPr>
        <w:ind w:firstLine="1040"/>
        <w:rPr>
          <w:sz w:val="44"/>
          <w:szCs w:val="44"/>
        </w:rPr>
      </w:pPr>
    </w:p>
    <w:p w14:paraId="7A27CC4B">
      <w:pPr>
        <w:ind w:firstLine="1040"/>
        <w:rPr>
          <w:sz w:val="44"/>
          <w:szCs w:val="44"/>
        </w:rPr>
      </w:pPr>
    </w:p>
    <w:p w14:paraId="304A8963">
      <w:pPr>
        <w:ind w:firstLine="1040"/>
        <w:rPr>
          <w:sz w:val="44"/>
          <w:szCs w:val="44"/>
        </w:rPr>
      </w:pPr>
    </w:p>
    <w:p w14:paraId="652BAA96">
      <w:pPr>
        <w:ind w:firstLine="1040"/>
        <w:rPr>
          <w:sz w:val="44"/>
          <w:szCs w:val="44"/>
        </w:rPr>
      </w:pPr>
    </w:p>
    <w:p w14:paraId="53024C06">
      <w:pPr>
        <w:ind w:firstLine="1040"/>
        <w:rPr>
          <w:sz w:val="44"/>
          <w:szCs w:val="44"/>
        </w:rPr>
      </w:pPr>
    </w:p>
    <w:p w14:paraId="0D2FA9CA">
      <w:pPr>
        <w:adjustRightInd w:val="0"/>
        <w:snapToGrid w:val="0"/>
        <w:spacing w:line="288" w:lineRule="auto"/>
        <w:ind w:firstLine="198"/>
        <w:jc w:val="left"/>
        <w:rPr>
          <w:sz w:val="36"/>
          <w:szCs w:val="36"/>
          <w:u w:val="single"/>
        </w:rPr>
      </w:pPr>
      <w:bookmarkStart w:id="1" w:name="_Hlk57884087"/>
      <w:r>
        <w:rPr>
          <w:spacing w:val="180"/>
          <w:kern w:val="0"/>
          <w:sz w:val="36"/>
          <w:szCs w:val="36"/>
          <w:fitText w:val="3240" w:id="-1819036416"/>
        </w:rPr>
        <w:t>项目名称</w:t>
      </w:r>
      <w:r>
        <w:rPr>
          <w:spacing w:val="0"/>
          <w:kern w:val="0"/>
          <w:sz w:val="36"/>
          <w:szCs w:val="36"/>
          <w:fitText w:val="3240" w:id="-1819036416"/>
        </w:rPr>
        <w:t>：</w:t>
      </w:r>
      <w:r>
        <w:rPr>
          <w:sz w:val="36"/>
          <w:szCs w:val="36"/>
          <w:u w:val="single"/>
          <w:lang w:val="zh-CN"/>
        </w:rPr>
        <w:t>胶合板加工项目</w:t>
      </w:r>
    </w:p>
    <w:p w14:paraId="12D0053D">
      <w:pPr>
        <w:adjustRightInd w:val="0"/>
        <w:snapToGrid w:val="0"/>
        <w:spacing w:line="288" w:lineRule="auto"/>
        <w:ind w:firstLine="198"/>
        <w:jc w:val="left"/>
        <w:rPr>
          <w:sz w:val="36"/>
          <w:szCs w:val="36"/>
          <w:u w:val="single"/>
        </w:rPr>
      </w:pPr>
      <w:r>
        <w:rPr>
          <w:spacing w:val="0"/>
          <w:kern w:val="0"/>
          <w:sz w:val="36"/>
          <w:szCs w:val="36"/>
          <w:fitText w:val="3240" w:id="-1819036414"/>
        </w:rPr>
        <w:t>建设单位（盖章）：</w:t>
      </w:r>
      <w:r>
        <w:rPr>
          <w:rFonts w:hint="eastAsia"/>
          <w:kern w:val="0"/>
          <w:sz w:val="36"/>
          <w:szCs w:val="36"/>
          <w:u w:val="single"/>
        </w:rPr>
        <w:t>淮安鲁班木业有限公司</w:t>
      </w:r>
    </w:p>
    <w:p w14:paraId="0999A0AF">
      <w:pPr>
        <w:adjustRightInd w:val="0"/>
        <w:snapToGrid w:val="0"/>
        <w:spacing w:line="288" w:lineRule="auto"/>
        <w:ind w:firstLine="198"/>
        <w:jc w:val="left"/>
        <w:rPr>
          <w:sz w:val="36"/>
          <w:szCs w:val="36"/>
          <w:u w:val="single"/>
        </w:rPr>
      </w:pPr>
      <w:r>
        <w:rPr>
          <w:spacing w:val="180"/>
          <w:kern w:val="0"/>
          <w:sz w:val="36"/>
          <w:szCs w:val="36"/>
          <w:fitText w:val="3240" w:id="-1819036415"/>
        </w:rPr>
        <w:t>编制日期</w:t>
      </w:r>
      <w:r>
        <w:rPr>
          <w:spacing w:val="0"/>
          <w:kern w:val="0"/>
          <w:sz w:val="36"/>
          <w:szCs w:val="36"/>
          <w:fitText w:val="3240" w:id="-1819036415"/>
        </w:rPr>
        <w:t>：</w:t>
      </w:r>
      <w:r>
        <w:rPr>
          <w:sz w:val="36"/>
          <w:szCs w:val="36"/>
          <w:u w:val="single"/>
        </w:rPr>
        <w:t xml:space="preserve">         202</w:t>
      </w:r>
      <w:r>
        <w:rPr>
          <w:rFonts w:hint="eastAsia"/>
          <w:sz w:val="36"/>
          <w:szCs w:val="36"/>
          <w:u w:val="single"/>
          <w:lang w:val="en-US" w:eastAsia="zh-CN"/>
        </w:rPr>
        <w:t>5</w:t>
      </w:r>
      <w:r>
        <w:rPr>
          <w:sz w:val="36"/>
          <w:szCs w:val="36"/>
          <w:u w:val="single"/>
        </w:rPr>
        <w:t>年</w:t>
      </w:r>
      <w:r>
        <w:rPr>
          <w:rFonts w:hint="eastAsia"/>
          <w:sz w:val="36"/>
          <w:szCs w:val="36"/>
          <w:u w:val="single"/>
          <w:lang w:val="en-US" w:eastAsia="zh-CN"/>
        </w:rPr>
        <w:t>5</w:t>
      </w:r>
      <w:r>
        <w:rPr>
          <w:sz w:val="36"/>
          <w:szCs w:val="36"/>
          <w:u w:val="single"/>
        </w:rPr>
        <w:t xml:space="preserve">月       </w:t>
      </w:r>
    </w:p>
    <w:p w14:paraId="1BDBAE25">
      <w:pPr>
        <w:adjustRightInd w:val="0"/>
        <w:snapToGrid w:val="0"/>
        <w:spacing w:line="288" w:lineRule="auto"/>
        <w:ind w:firstLine="1040"/>
        <w:rPr>
          <w:sz w:val="36"/>
          <w:szCs w:val="36"/>
          <w:u w:val="single"/>
        </w:rPr>
      </w:pPr>
    </w:p>
    <w:p w14:paraId="0E33A04B">
      <w:pPr>
        <w:adjustRightInd w:val="0"/>
        <w:snapToGrid w:val="0"/>
        <w:spacing w:line="288" w:lineRule="auto"/>
        <w:ind w:firstLine="1040"/>
        <w:rPr>
          <w:sz w:val="36"/>
          <w:szCs w:val="36"/>
        </w:rPr>
      </w:pPr>
    </w:p>
    <w:p w14:paraId="3823B556">
      <w:pPr>
        <w:adjustRightInd w:val="0"/>
        <w:snapToGrid w:val="0"/>
        <w:spacing w:line="288" w:lineRule="auto"/>
        <w:ind w:firstLine="1040"/>
        <w:rPr>
          <w:sz w:val="36"/>
          <w:szCs w:val="36"/>
        </w:rPr>
      </w:pPr>
    </w:p>
    <w:p w14:paraId="66A736F9">
      <w:pPr>
        <w:adjustRightInd w:val="0"/>
        <w:snapToGrid w:val="0"/>
        <w:spacing w:line="288" w:lineRule="auto"/>
        <w:ind w:firstLine="1040"/>
        <w:rPr>
          <w:sz w:val="36"/>
          <w:szCs w:val="36"/>
        </w:rPr>
      </w:pPr>
    </w:p>
    <w:bookmarkEnd w:id="1"/>
    <w:p w14:paraId="694796AA">
      <w:pPr>
        <w:adjustRightInd w:val="0"/>
        <w:snapToGrid w:val="0"/>
        <w:spacing w:line="288" w:lineRule="auto"/>
        <w:jc w:val="center"/>
        <w:rPr>
          <w:sz w:val="36"/>
          <w:szCs w:val="36"/>
        </w:rPr>
      </w:pPr>
      <w:r>
        <w:rPr>
          <w:sz w:val="36"/>
          <w:szCs w:val="36"/>
        </w:rPr>
        <w:t>中华人民共和国生态环境部制</w:t>
      </w:r>
    </w:p>
    <w:p w14:paraId="6CA4E66E">
      <w:pPr>
        <w:adjustRightInd w:val="0"/>
        <w:snapToGrid w:val="0"/>
        <w:spacing w:line="288" w:lineRule="auto"/>
        <w:jc w:val="center"/>
        <w:rPr>
          <w:sz w:val="36"/>
          <w:szCs w:val="36"/>
        </w:rPr>
      </w:pPr>
    </w:p>
    <w:p w14:paraId="75B7F9A3">
      <w:pPr>
        <w:adjustRightInd w:val="0"/>
        <w:snapToGrid w:val="0"/>
        <w:spacing w:line="288" w:lineRule="auto"/>
        <w:jc w:val="center"/>
        <w:rPr>
          <w:sz w:val="36"/>
          <w:szCs w:val="36"/>
        </w:rPr>
      </w:pPr>
    </w:p>
    <w:p w14:paraId="4178DF0F">
      <w:pPr>
        <w:spacing w:before="0" w:beforeLines="0" w:after="0" w:afterLines="0" w:line="240" w:lineRule="auto"/>
        <w:ind w:left="0" w:leftChars="0" w:right="0" w:rightChars="0" w:firstLine="0" w:firstLineChars="0"/>
        <w:jc w:val="center"/>
        <w:rPr>
          <w:b/>
          <w:bCs/>
          <w:sz w:val="40"/>
          <w:szCs w:val="48"/>
        </w:rPr>
      </w:pPr>
      <w:r>
        <w:rPr>
          <w:rFonts w:ascii="宋体" w:hAnsi="宋体" w:eastAsia="宋体"/>
          <w:b/>
          <w:bCs/>
          <w:sz w:val="24"/>
          <w:szCs w:val="32"/>
        </w:rPr>
        <w:t>目录</w:t>
      </w:r>
    </w:p>
    <w:p w14:paraId="19214B25">
      <w:pPr>
        <w:pStyle w:val="291"/>
        <w:tabs>
          <w:tab w:val="right" w:leader="dot" w:pos="8844"/>
        </w:tabs>
        <w:spacing w:line="240" w:lineRule="auto"/>
        <w:rPr>
          <w:sz w:val="21"/>
          <w:szCs w:val="21"/>
        </w:rPr>
      </w:pPr>
      <w:r>
        <w:rPr>
          <w:rFonts w:ascii="Times New Roman" w:hAnsi="Times New Roman" w:eastAsia="宋体" w:cs="Times New Roman"/>
          <w:kern w:val="2"/>
          <w:sz w:val="21"/>
          <w:szCs w:val="36"/>
          <w:lang w:val="en-US" w:eastAsia="zh-CN" w:bidi="ar-SA"/>
        </w:rPr>
        <w:fldChar w:fldCharType="begin"/>
      </w:r>
      <w:r>
        <w:rPr>
          <w:rFonts w:ascii="Times New Roman" w:hAnsi="Times New Roman" w:eastAsia="宋体" w:cs="Times New Roman"/>
          <w:kern w:val="2"/>
          <w:sz w:val="21"/>
          <w:szCs w:val="36"/>
          <w:lang w:val="en-US" w:eastAsia="zh-CN" w:bidi="ar-SA"/>
        </w:rPr>
        <w:instrText xml:space="preserve">TOC \o "1-1" \h \u </w:instrText>
      </w:r>
      <w:r>
        <w:rPr>
          <w:rFonts w:ascii="Times New Roman" w:hAnsi="Times New Roman" w:eastAsia="宋体" w:cs="Times New Roman"/>
          <w:kern w:val="2"/>
          <w:sz w:val="21"/>
          <w:szCs w:val="36"/>
          <w:lang w:val="en-US" w:eastAsia="zh-CN" w:bidi="ar-SA"/>
        </w:rPr>
        <w:fldChar w:fldCharType="separate"/>
      </w: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_Toc3808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一、建设项目基本情况</w:t>
      </w:r>
      <w:r>
        <w:rPr>
          <w:sz w:val="21"/>
          <w:szCs w:val="21"/>
        </w:rPr>
        <w:tab/>
      </w:r>
      <w:r>
        <w:rPr>
          <w:sz w:val="21"/>
          <w:szCs w:val="21"/>
        </w:rPr>
        <w:fldChar w:fldCharType="begin"/>
      </w:r>
      <w:r>
        <w:rPr>
          <w:sz w:val="21"/>
          <w:szCs w:val="21"/>
        </w:rPr>
        <w:instrText xml:space="preserve"> PAGEREF _Toc3808 \h </w:instrText>
      </w:r>
      <w:r>
        <w:rPr>
          <w:sz w:val="21"/>
          <w:szCs w:val="21"/>
        </w:rPr>
        <w:fldChar w:fldCharType="separate"/>
      </w:r>
      <w:r>
        <w:rPr>
          <w:sz w:val="21"/>
          <w:szCs w:val="21"/>
        </w:rPr>
        <w:t>1</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03F9EBFE">
      <w:pPr>
        <w:pStyle w:val="291"/>
        <w:tabs>
          <w:tab w:val="right" w:leader="dot" w:pos="8844"/>
        </w:tabs>
        <w:spacing w:line="240" w:lineRule="auto"/>
        <w:rPr>
          <w:sz w:val="21"/>
          <w:szCs w:val="21"/>
        </w:rPr>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_Toc32627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二、建设项目工程分析</w:t>
      </w:r>
      <w:r>
        <w:rPr>
          <w:sz w:val="21"/>
          <w:szCs w:val="21"/>
        </w:rPr>
        <w:tab/>
      </w:r>
      <w:r>
        <w:rPr>
          <w:sz w:val="21"/>
          <w:szCs w:val="21"/>
        </w:rPr>
        <w:fldChar w:fldCharType="begin"/>
      </w:r>
      <w:r>
        <w:rPr>
          <w:sz w:val="21"/>
          <w:szCs w:val="21"/>
        </w:rPr>
        <w:instrText xml:space="preserve"> PAGEREF _Toc32627 \h </w:instrText>
      </w:r>
      <w:r>
        <w:rPr>
          <w:sz w:val="21"/>
          <w:szCs w:val="21"/>
        </w:rPr>
        <w:fldChar w:fldCharType="separate"/>
      </w:r>
      <w:r>
        <w:rPr>
          <w:sz w:val="21"/>
          <w:szCs w:val="21"/>
        </w:rPr>
        <w:t>24</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7A48D89B">
      <w:pPr>
        <w:pStyle w:val="291"/>
        <w:tabs>
          <w:tab w:val="right" w:leader="dot" w:pos="8844"/>
        </w:tabs>
        <w:spacing w:line="240" w:lineRule="auto"/>
        <w:rPr>
          <w:sz w:val="21"/>
          <w:szCs w:val="21"/>
        </w:rPr>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_Toc737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三、区域环境质量现状、环境保护目标及评价标准</w:t>
      </w:r>
      <w:r>
        <w:rPr>
          <w:sz w:val="21"/>
          <w:szCs w:val="21"/>
        </w:rPr>
        <w:tab/>
      </w:r>
      <w:r>
        <w:rPr>
          <w:sz w:val="21"/>
          <w:szCs w:val="21"/>
        </w:rPr>
        <w:fldChar w:fldCharType="begin"/>
      </w:r>
      <w:r>
        <w:rPr>
          <w:sz w:val="21"/>
          <w:szCs w:val="21"/>
        </w:rPr>
        <w:instrText xml:space="preserve"> PAGEREF _Toc737 \h </w:instrText>
      </w:r>
      <w:r>
        <w:rPr>
          <w:sz w:val="21"/>
          <w:szCs w:val="21"/>
        </w:rPr>
        <w:fldChar w:fldCharType="separate"/>
      </w:r>
      <w:r>
        <w:rPr>
          <w:sz w:val="21"/>
          <w:szCs w:val="21"/>
        </w:rPr>
        <w:t>38</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3B1DEBB3">
      <w:pPr>
        <w:pStyle w:val="291"/>
        <w:tabs>
          <w:tab w:val="right" w:leader="dot" w:pos="8844"/>
        </w:tabs>
        <w:spacing w:line="240" w:lineRule="auto"/>
        <w:rPr>
          <w:sz w:val="21"/>
          <w:szCs w:val="21"/>
        </w:rPr>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_Toc18414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四、主要环境影响和保护措施</w:t>
      </w:r>
      <w:r>
        <w:rPr>
          <w:sz w:val="21"/>
          <w:szCs w:val="21"/>
        </w:rPr>
        <w:tab/>
      </w:r>
      <w:r>
        <w:rPr>
          <w:sz w:val="21"/>
          <w:szCs w:val="21"/>
        </w:rPr>
        <w:fldChar w:fldCharType="begin"/>
      </w:r>
      <w:r>
        <w:rPr>
          <w:sz w:val="21"/>
          <w:szCs w:val="21"/>
        </w:rPr>
        <w:instrText xml:space="preserve"> PAGEREF _Toc18414 \h </w:instrText>
      </w:r>
      <w:r>
        <w:rPr>
          <w:sz w:val="21"/>
          <w:szCs w:val="21"/>
        </w:rPr>
        <w:fldChar w:fldCharType="separate"/>
      </w:r>
      <w:r>
        <w:rPr>
          <w:sz w:val="21"/>
          <w:szCs w:val="21"/>
        </w:rPr>
        <w:t>48</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32DC81C3">
      <w:pPr>
        <w:pStyle w:val="291"/>
        <w:tabs>
          <w:tab w:val="right" w:leader="dot" w:pos="8844"/>
        </w:tabs>
        <w:spacing w:line="240" w:lineRule="auto"/>
        <w:rPr>
          <w:sz w:val="21"/>
          <w:szCs w:val="21"/>
        </w:rPr>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_Toc24527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五、环境保护措施监督检查清单</w:t>
      </w:r>
      <w:r>
        <w:rPr>
          <w:sz w:val="21"/>
          <w:szCs w:val="21"/>
        </w:rPr>
        <w:tab/>
      </w:r>
      <w:r>
        <w:rPr>
          <w:sz w:val="21"/>
          <w:szCs w:val="21"/>
        </w:rPr>
        <w:fldChar w:fldCharType="begin"/>
      </w:r>
      <w:r>
        <w:rPr>
          <w:sz w:val="21"/>
          <w:szCs w:val="21"/>
        </w:rPr>
        <w:instrText xml:space="preserve"> PAGEREF _Toc24527 \h </w:instrText>
      </w:r>
      <w:r>
        <w:rPr>
          <w:sz w:val="21"/>
          <w:szCs w:val="21"/>
        </w:rPr>
        <w:fldChar w:fldCharType="separate"/>
      </w:r>
      <w:r>
        <w:rPr>
          <w:sz w:val="21"/>
          <w:szCs w:val="21"/>
        </w:rPr>
        <w:t>80</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4B40DF05">
      <w:pPr>
        <w:pStyle w:val="291"/>
        <w:tabs>
          <w:tab w:val="right" w:leader="dot" w:pos="8844"/>
        </w:tabs>
        <w:spacing w:line="240" w:lineRule="auto"/>
        <w:rPr>
          <w:sz w:val="21"/>
          <w:szCs w:val="21"/>
        </w:rPr>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_Toc6358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32"/>
        </w:rPr>
        <w:t>六、结论</w:t>
      </w:r>
      <w:r>
        <w:rPr>
          <w:sz w:val="21"/>
          <w:szCs w:val="21"/>
        </w:rPr>
        <w:tab/>
      </w:r>
      <w:r>
        <w:rPr>
          <w:sz w:val="21"/>
          <w:szCs w:val="21"/>
        </w:rPr>
        <w:fldChar w:fldCharType="begin"/>
      </w:r>
      <w:r>
        <w:rPr>
          <w:sz w:val="21"/>
          <w:szCs w:val="21"/>
        </w:rPr>
        <w:instrText xml:space="preserve"> PAGEREF _Toc6358 \h </w:instrText>
      </w:r>
      <w:r>
        <w:rPr>
          <w:sz w:val="21"/>
          <w:szCs w:val="21"/>
        </w:rPr>
        <w:fldChar w:fldCharType="separate"/>
      </w:r>
      <w:r>
        <w:rPr>
          <w:sz w:val="21"/>
          <w:szCs w:val="21"/>
        </w:rPr>
        <w:t>82</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2E3EFA53">
      <w:pPr>
        <w:pStyle w:val="291"/>
        <w:tabs>
          <w:tab w:val="right" w:leader="dot" w:pos="8844"/>
        </w:tabs>
        <w:spacing w:line="240" w:lineRule="auto"/>
      </w:pPr>
      <w:r>
        <w:rPr>
          <w:rFonts w:ascii="Times New Roman" w:hAnsi="Times New Roman" w:eastAsia="宋体" w:cs="Times New Roman"/>
          <w:kern w:val="2"/>
          <w:sz w:val="21"/>
          <w:szCs w:val="40"/>
          <w:lang w:val="en-US" w:eastAsia="zh-CN" w:bidi="ar-SA"/>
        </w:rPr>
        <w:fldChar w:fldCharType="begin"/>
      </w:r>
      <w:r>
        <w:rPr>
          <w:rFonts w:ascii="Times New Roman" w:hAnsi="Times New Roman" w:eastAsia="宋体" w:cs="Times New Roman"/>
          <w:kern w:val="2"/>
          <w:sz w:val="21"/>
          <w:szCs w:val="40"/>
          <w:lang w:val="en-US" w:eastAsia="zh-CN" w:bidi="ar-SA"/>
        </w:rPr>
        <w:instrText xml:space="preserve"> HYPERLINK \l _Toc17211 </w:instrText>
      </w:r>
      <w:r>
        <w:rPr>
          <w:rFonts w:ascii="Times New Roman" w:hAnsi="Times New Roman" w:eastAsia="宋体" w:cs="Times New Roman"/>
          <w:kern w:val="2"/>
          <w:sz w:val="21"/>
          <w:szCs w:val="40"/>
          <w:lang w:val="en-US" w:eastAsia="zh-CN" w:bidi="ar-SA"/>
        </w:rPr>
        <w:fldChar w:fldCharType="separate"/>
      </w:r>
      <w:r>
        <w:rPr>
          <w:rFonts w:ascii="Times New Roman" w:hAnsi="Times New Roman"/>
          <w:snapToGrid w:val="0"/>
          <w:sz w:val="21"/>
          <w:szCs w:val="40"/>
        </w:rPr>
        <w:t>建设项目污染物排放量汇总表</w:t>
      </w:r>
      <w:r>
        <w:rPr>
          <w:sz w:val="21"/>
          <w:szCs w:val="21"/>
        </w:rPr>
        <w:tab/>
      </w:r>
      <w:r>
        <w:rPr>
          <w:sz w:val="21"/>
          <w:szCs w:val="21"/>
        </w:rPr>
        <w:fldChar w:fldCharType="begin"/>
      </w:r>
      <w:r>
        <w:rPr>
          <w:sz w:val="21"/>
          <w:szCs w:val="21"/>
        </w:rPr>
        <w:instrText xml:space="preserve"> PAGEREF _Toc17211 \h </w:instrText>
      </w:r>
      <w:r>
        <w:rPr>
          <w:sz w:val="21"/>
          <w:szCs w:val="21"/>
        </w:rPr>
        <w:fldChar w:fldCharType="separate"/>
      </w:r>
      <w:r>
        <w:rPr>
          <w:sz w:val="21"/>
          <w:szCs w:val="21"/>
        </w:rPr>
        <w:t>83</w:t>
      </w:r>
      <w:r>
        <w:rPr>
          <w:sz w:val="21"/>
          <w:szCs w:val="21"/>
        </w:rPr>
        <w:fldChar w:fldCharType="end"/>
      </w:r>
      <w:r>
        <w:rPr>
          <w:rFonts w:ascii="Times New Roman" w:hAnsi="Times New Roman" w:eastAsia="宋体" w:cs="Times New Roman"/>
          <w:kern w:val="2"/>
          <w:sz w:val="21"/>
          <w:szCs w:val="40"/>
          <w:lang w:val="en-US" w:eastAsia="zh-CN" w:bidi="ar-SA"/>
        </w:rPr>
        <w:fldChar w:fldCharType="end"/>
      </w:r>
    </w:p>
    <w:p w14:paraId="4B1F880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b/>
          <w:bCs/>
          <w:sz w:val="22"/>
          <w:szCs w:val="22"/>
          <w:lang w:eastAsia="zh-CN"/>
        </w:rPr>
      </w:pPr>
      <w:r>
        <w:rPr>
          <w:rFonts w:ascii="Times New Roman" w:hAnsi="Times New Roman" w:eastAsia="宋体" w:cs="Times New Roman"/>
          <w:kern w:val="2"/>
          <w:szCs w:val="36"/>
          <w:lang w:val="en-US" w:eastAsia="zh-CN" w:bidi="ar-SA"/>
        </w:rPr>
        <w:fldChar w:fldCharType="end"/>
      </w:r>
      <w:r>
        <w:rPr>
          <w:rFonts w:hint="eastAsia"/>
          <w:b/>
          <w:bCs/>
          <w:sz w:val="22"/>
          <w:szCs w:val="22"/>
          <w:lang w:eastAsia="zh-CN"/>
        </w:rPr>
        <w:t>附件：</w:t>
      </w:r>
    </w:p>
    <w:p w14:paraId="0199B69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sz w:val="21"/>
          <w:szCs w:val="21"/>
          <w:lang w:eastAsia="zh-CN"/>
        </w:rPr>
      </w:pPr>
      <w:r>
        <w:rPr>
          <w:rFonts w:hint="eastAsia"/>
          <w:sz w:val="21"/>
          <w:szCs w:val="21"/>
          <w:lang w:eastAsia="zh-CN"/>
        </w:rPr>
        <w:t>附件1 江苏省投资项目备案证</w:t>
      </w:r>
    </w:p>
    <w:p w14:paraId="5E034225">
      <w:pPr>
        <w:adjustRightInd w:val="0"/>
        <w:snapToGrid w:val="0"/>
        <w:spacing w:line="240" w:lineRule="auto"/>
        <w:jc w:val="both"/>
        <w:outlineLvl w:val="9"/>
        <w:rPr>
          <w:rFonts w:hint="eastAsia"/>
          <w:sz w:val="21"/>
          <w:szCs w:val="21"/>
          <w:lang w:eastAsia="zh-CN"/>
        </w:rPr>
      </w:pPr>
      <w:r>
        <w:rPr>
          <w:rFonts w:hint="eastAsia"/>
          <w:sz w:val="21"/>
          <w:szCs w:val="21"/>
          <w:lang w:eastAsia="zh-CN"/>
        </w:rPr>
        <w:t>附件2 委托书</w:t>
      </w:r>
    </w:p>
    <w:p w14:paraId="014EE40A">
      <w:pPr>
        <w:adjustRightInd w:val="0"/>
        <w:snapToGrid w:val="0"/>
        <w:spacing w:line="240" w:lineRule="auto"/>
        <w:jc w:val="both"/>
        <w:outlineLvl w:val="9"/>
        <w:rPr>
          <w:rFonts w:hint="eastAsia"/>
          <w:sz w:val="21"/>
          <w:szCs w:val="21"/>
          <w:lang w:eastAsia="zh-CN"/>
        </w:rPr>
      </w:pPr>
      <w:r>
        <w:rPr>
          <w:rFonts w:hint="eastAsia"/>
          <w:sz w:val="21"/>
          <w:szCs w:val="21"/>
          <w:lang w:eastAsia="zh-CN"/>
        </w:rPr>
        <w:t>附件3 营业执照</w:t>
      </w:r>
    </w:p>
    <w:p w14:paraId="10171A8A">
      <w:pPr>
        <w:adjustRightInd w:val="0"/>
        <w:snapToGrid w:val="0"/>
        <w:spacing w:line="240" w:lineRule="auto"/>
        <w:jc w:val="both"/>
        <w:outlineLvl w:val="9"/>
        <w:rPr>
          <w:rFonts w:hint="eastAsia"/>
          <w:sz w:val="21"/>
          <w:szCs w:val="21"/>
          <w:lang w:eastAsia="zh-CN"/>
        </w:rPr>
      </w:pPr>
      <w:r>
        <w:rPr>
          <w:rFonts w:hint="eastAsia"/>
          <w:sz w:val="21"/>
          <w:szCs w:val="21"/>
          <w:lang w:eastAsia="zh-CN"/>
        </w:rPr>
        <w:t>附件4 法人身份证</w:t>
      </w:r>
    </w:p>
    <w:p w14:paraId="044919B5">
      <w:pPr>
        <w:adjustRightInd w:val="0"/>
        <w:snapToGrid w:val="0"/>
        <w:spacing w:line="240" w:lineRule="auto"/>
        <w:jc w:val="both"/>
        <w:outlineLvl w:val="9"/>
        <w:rPr>
          <w:rFonts w:hint="eastAsia"/>
          <w:sz w:val="21"/>
          <w:szCs w:val="21"/>
          <w:lang w:eastAsia="zh-CN"/>
        </w:rPr>
      </w:pPr>
      <w:r>
        <w:rPr>
          <w:rFonts w:hint="eastAsia"/>
          <w:sz w:val="21"/>
          <w:szCs w:val="21"/>
          <w:lang w:eastAsia="zh-CN"/>
        </w:rPr>
        <w:t>附件5 工业用地证明及租赁协议</w:t>
      </w:r>
    </w:p>
    <w:p w14:paraId="44790C18">
      <w:pPr>
        <w:adjustRightInd w:val="0"/>
        <w:snapToGrid w:val="0"/>
        <w:spacing w:line="240" w:lineRule="auto"/>
        <w:jc w:val="both"/>
        <w:outlineLvl w:val="9"/>
        <w:rPr>
          <w:rFonts w:hint="eastAsia"/>
          <w:sz w:val="21"/>
          <w:szCs w:val="21"/>
          <w:lang w:eastAsia="zh-CN"/>
        </w:rPr>
      </w:pPr>
      <w:r>
        <w:rPr>
          <w:rFonts w:hint="eastAsia"/>
          <w:sz w:val="21"/>
          <w:szCs w:val="21"/>
          <w:lang w:eastAsia="zh-CN"/>
        </w:rPr>
        <w:t>附件6 脲醛胶MSDS</w:t>
      </w:r>
    </w:p>
    <w:p w14:paraId="1DCB7160">
      <w:pPr>
        <w:adjustRightInd w:val="0"/>
        <w:snapToGrid w:val="0"/>
        <w:spacing w:line="240" w:lineRule="auto"/>
        <w:jc w:val="both"/>
        <w:outlineLvl w:val="9"/>
        <w:rPr>
          <w:rFonts w:hint="eastAsia"/>
          <w:sz w:val="21"/>
          <w:szCs w:val="21"/>
          <w:lang w:eastAsia="zh-CN"/>
        </w:rPr>
      </w:pPr>
      <w:r>
        <w:rPr>
          <w:rFonts w:hint="eastAsia"/>
          <w:sz w:val="21"/>
          <w:szCs w:val="21"/>
          <w:lang w:eastAsia="zh-CN"/>
        </w:rPr>
        <w:t>附件7 挥发性有机物报告单</w:t>
      </w:r>
    </w:p>
    <w:p w14:paraId="28D56560">
      <w:pPr>
        <w:adjustRightInd w:val="0"/>
        <w:snapToGrid w:val="0"/>
        <w:spacing w:line="240" w:lineRule="auto"/>
        <w:jc w:val="both"/>
        <w:outlineLvl w:val="9"/>
        <w:rPr>
          <w:rFonts w:hint="eastAsia"/>
          <w:sz w:val="21"/>
          <w:szCs w:val="21"/>
          <w:lang w:eastAsia="zh-CN"/>
        </w:rPr>
      </w:pPr>
      <w:r>
        <w:rPr>
          <w:rFonts w:hint="eastAsia"/>
          <w:sz w:val="21"/>
          <w:szCs w:val="21"/>
          <w:lang w:eastAsia="zh-CN"/>
        </w:rPr>
        <w:t>附件8 环保脲醛胶甲醛报告单</w:t>
      </w:r>
    </w:p>
    <w:p w14:paraId="43B161FA">
      <w:pPr>
        <w:adjustRightInd w:val="0"/>
        <w:snapToGrid w:val="0"/>
        <w:spacing w:line="240" w:lineRule="auto"/>
        <w:jc w:val="both"/>
        <w:outlineLvl w:val="9"/>
        <w:rPr>
          <w:rFonts w:hint="eastAsia"/>
          <w:sz w:val="21"/>
          <w:szCs w:val="21"/>
          <w:lang w:eastAsia="zh-CN"/>
        </w:rPr>
      </w:pPr>
      <w:r>
        <w:rPr>
          <w:rFonts w:hint="eastAsia"/>
          <w:sz w:val="21"/>
          <w:szCs w:val="21"/>
          <w:lang w:eastAsia="zh-CN"/>
        </w:rPr>
        <w:t>附件</w:t>
      </w:r>
      <w:r>
        <w:rPr>
          <w:rFonts w:hint="eastAsia"/>
          <w:sz w:val="21"/>
          <w:szCs w:val="21"/>
          <w:lang w:val="en-US" w:eastAsia="zh-CN"/>
        </w:rPr>
        <w:t>9</w:t>
      </w:r>
      <w:r>
        <w:rPr>
          <w:rFonts w:hint="eastAsia"/>
          <w:sz w:val="21"/>
          <w:szCs w:val="21"/>
          <w:lang w:eastAsia="zh-CN"/>
        </w:rPr>
        <w:t xml:space="preserve"> 危废处置承诺书</w:t>
      </w:r>
    </w:p>
    <w:p w14:paraId="56BA7D83">
      <w:pPr>
        <w:adjustRightInd w:val="0"/>
        <w:snapToGrid w:val="0"/>
        <w:spacing w:line="240" w:lineRule="auto"/>
        <w:jc w:val="both"/>
        <w:outlineLvl w:val="9"/>
        <w:rPr>
          <w:rFonts w:hint="eastAsia"/>
          <w:sz w:val="21"/>
          <w:szCs w:val="21"/>
          <w:lang w:eastAsia="zh-CN"/>
        </w:rPr>
      </w:pPr>
      <w:r>
        <w:rPr>
          <w:rFonts w:hint="eastAsia"/>
          <w:sz w:val="21"/>
          <w:szCs w:val="21"/>
          <w:lang w:eastAsia="zh-CN"/>
        </w:rPr>
        <w:t>附件1</w:t>
      </w:r>
      <w:r>
        <w:rPr>
          <w:rFonts w:hint="eastAsia"/>
          <w:sz w:val="21"/>
          <w:szCs w:val="21"/>
          <w:lang w:val="en-US" w:eastAsia="zh-CN"/>
        </w:rPr>
        <w:t>0</w:t>
      </w:r>
      <w:r>
        <w:rPr>
          <w:rFonts w:hint="eastAsia"/>
          <w:sz w:val="21"/>
          <w:szCs w:val="21"/>
          <w:lang w:eastAsia="zh-CN"/>
        </w:rPr>
        <w:t xml:space="preserve"> 生活污水接管证明</w:t>
      </w:r>
    </w:p>
    <w:p w14:paraId="25344B2E">
      <w:pPr>
        <w:adjustRightInd w:val="0"/>
        <w:snapToGrid w:val="0"/>
        <w:spacing w:line="240" w:lineRule="auto"/>
        <w:jc w:val="both"/>
        <w:outlineLvl w:val="9"/>
        <w:rPr>
          <w:rFonts w:hint="eastAsia"/>
          <w:sz w:val="21"/>
          <w:szCs w:val="21"/>
          <w:lang w:eastAsia="zh-CN"/>
        </w:rPr>
      </w:pPr>
      <w:r>
        <w:rPr>
          <w:rFonts w:hint="eastAsia"/>
          <w:sz w:val="21"/>
          <w:szCs w:val="21"/>
          <w:lang w:eastAsia="zh-CN"/>
        </w:rPr>
        <w:t>附件11 关于高秀集中区地块名称情况说明</w:t>
      </w:r>
    </w:p>
    <w:p w14:paraId="5B5CDD65">
      <w:pPr>
        <w:adjustRightInd w:val="0"/>
        <w:snapToGrid w:val="0"/>
        <w:spacing w:line="240" w:lineRule="auto"/>
        <w:jc w:val="both"/>
        <w:outlineLvl w:val="9"/>
        <w:rPr>
          <w:rFonts w:hint="eastAsia"/>
          <w:sz w:val="21"/>
          <w:szCs w:val="21"/>
          <w:lang w:eastAsia="zh-CN"/>
        </w:rPr>
      </w:pPr>
      <w:r>
        <w:rPr>
          <w:rFonts w:hint="eastAsia"/>
          <w:sz w:val="21"/>
          <w:szCs w:val="21"/>
          <w:lang w:eastAsia="zh-CN"/>
        </w:rPr>
        <w:t>附件1</w:t>
      </w:r>
      <w:r>
        <w:rPr>
          <w:rFonts w:hint="eastAsia"/>
          <w:sz w:val="21"/>
          <w:szCs w:val="21"/>
          <w:lang w:val="en-US" w:eastAsia="zh-CN"/>
        </w:rPr>
        <w:t>2</w:t>
      </w:r>
      <w:r>
        <w:rPr>
          <w:rFonts w:hint="eastAsia"/>
          <w:sz w:val="21"/>
          <w:szCs w:val="21"/>
          <w:lang w:eastAsia="zh-CN"/>
        </w:rPr>
        <w:t xml:space="preserve"> 鲁班木业招商引资协议书</w:t>
      </w:r>
    </w:p>
    <w:p w14:paraId="10DEB67A">
      <w:pPr>
        <w:adjustRightInd w:val="0"/>
        <w:snapToGrid w:val="0"/>
        <w:spacing w:line="240" w:lineRule="auto"/>
        <w:jc w:val="both"/>
        <w:outlineLvl w:val="9"/>
        <w:rPr>
          <w:rFonts w:hint="eastAsia"/>
          <w:sz w:val="21"/>
          <w:szCs w:val="21"/>
          <w:lang w:eastAsia="zh-CN"/>
        </w:rPr>
      </w:pPr>
      <w:r>
        <w:rPr>
          <w:rFonts w:hint="eastAsia"/>
          <w:sz w:val="21"/>
          <w:szCs w:val="21"/>
          <w:lang w:eastAsia="zh-CN"/>
        </w:rPr>
        <w:t>附件13 江苏省生态空间管控综合服务系统准入分析查询结果图</w:t>
      </w:r>
    </w:p>
    <w:p w14:paraId="3355AEA7">
      <w:pPr>
        <w:pStyle w:val="30"/>
        <w:rPr>
          <w:rFonts w:hint="default"/>
          <w:lang w:val="en-US" w:eastAsia="zh-CN"/>
        </w:rPr>
      </w:pPr>
      <w:r>
        <w:rPr>
          <w:rFonts w:hint="eastAsia"/>
          <w:sz w:val="21"/>
          <w:szCs w:val="21"/>
          <w:lang w:eastAsia="zh-CN"/>
        </w:rPr>
        <w:t>附件</w:t>
      </w:r>
      <w:r>
        <w:rPr>
          <w:rFonts w:hint="eastAsia"/>
          <w:sz w:val="21"/>
          <w:szCs w:val="21"/>
          <w:lang w:val="en-US" w:eastAsia="zh-CN"/>
        </w:rPr>
        <w:t xml:space="preserve">14 </w:t>
      </w:r>
      <w:r>
        <w:rPr>
          <w:rFonts w:hint="eastAsia"/>
          <w:sz w:val="21"/>
          <w:szCs w:val="21"/>
          <w:lang w:eastAsia="zh-CN"/>
        </w:rPr>
        <w:t>甲醛现状监测数据及非甲烷总烃、氨现状监测引用数据报告</w:t>
      </w:r>
    </w:p>
    <w:p w14:paraId="1B9E12B5">
      <w:pPr>
        <w:adjustRightInd w:val="0"/>
        <w:snapToGrid w:val="0"/>
        <w:spacing w:line="240" w:lineRule="auto"/>
        <w:jc w:val="both"/>
        <w:outlineLvl w:val="9"/>
        <w:rPr>
          <w:rFonts w:hint="eastAsia"/>
          <w:sz w:val="21"/>
          <w:szCs w:val="21"/>
          <w:lang w:eastAsia="zh-CN"/>
        </w:rPr>
      </w:pPr>
      <w:r>
        <w:rPr>
          <w:rFonts w:hint="eastAsia"/>
          <w:sz w:val="21"/>
          <w:szCs w:val="21"/>
          <w:lang w:eastAsia="zh-CN"/>
        </w:rPr>
        <w:t>附件1</w:t>
      </w:r>
      <w:r>
        <w:rPr>
          <w:rFonts w:hint="eastAsia"/>
          <w:sz w:val="21"/>
          <w:szCs w:val="21"/>
          <w:lang w:val="en-US" w:eastAsia="zh-CN"/>
        </w:rPr>
        <w:t>5</w:t>
      </w:r>
      <w:r>
        <w:rPr>
          <w:rFonts w:hint="eastAsia"/>
          <w:sz w:val="21"/>
          <w:szCs w:val="21"/>
          <w:lang w:eastAsia="zh-CN"/>
        </w:rPr>
        <w:t xml:space="preserve"> 鲁班木业废气设计方案</w:t>
      </w:r>
    </w:p>
    <w:p w14:paraId="47DF6178">
      <w:pPr>
        <w:adjustRightInd w:val="0"/>
        <w:snapToGrid w:val="0"/>
        <w:spacing w:line="240" w:lineRule="auto"/>
        <w:jc w:val="both"/>
        <w:outlineLvl w:val="9"/>
        <w:rPr>
          <w:rFonts w:hint="eastAsia"/>
          <w:color w:val="auto"/>
          <w:sz w:val="21"/>
          <w:szCs w:val="21"/>
          <w:lang w:eastAsia="zh-CN"/>
        </w:rPr>
      </w:pPr>
      <w:r>
        <w:rPr>
          <w:rFonts w:hint="eastAsia"/>
          <w:sz w:val="21"/>
          <w:szCs w:val="21"/>
          <w:lang w:eastAsia="zh-CN"/>
        </w:rPr>
        <w:t>附件</w:t>
      </w:r>
      <w:r>
        <w:rPr>
          <w:rFonts w:hint="eastAsia"/>
          <w:color w:val="auto"/>
          <w:sz w:val="21"/>
          <w:szCs w:val="21"/>
          <w:lang w:eastAsia="zh-CN"/>
        </w:rPr>
        <w:t>1</w:t>
      </w:r>
      <w:r>
        <w:rPr>
          <w:rFonts w:hint="eastAsia"/>
          <w:color w:val="auto"/>
          <w:sz w:val="21"/>
          <w:szCs w:val="21"/>
          <w:lang w:val="en-US" w:eastAsia="zh-CN"/>
        </w:rPr>
        <w:t>6</w:t>
      </w:r>
      <w:r>
        <w:rPr>
          <w:rFonts w:hint="eastAsia"/>
          <w:color w:val="auto"/>
          <w:sz w:val="21"/>
          <w:szCs w:val="21"/>
          <w:lang w:eastAsia="zh-CN"/>
        </w:rPr>
        <w:t xml:space="preserve"> 淮安鲁班木业有限公司废气处理项目设计方案评审意见及修改清单</w:t>
      </w:r>
    </w:p>
    <w:p w14:paraId="6FADCE95">
      <w:pPr>
        <w:adjustRightInd w:val="0"/>
        <w:snapToGrid w:val="0"/>
        <w:spacing w:line="240" w:lineRule="auto"/>
        <w:jc w:val="both"/>
        <w:outlineLvl w:val="9"/>
        <w:rPr>
          <w:rFonts w:hint="eastAsia"/>
          <w:color w:val="auto"/>
          <w:sz w:val="21"/>
          <w:szCs w:val="21"/>
          <w:lang w:eastAsia="zh-CN"/>
        </w:rPr>
      </w:pPr>
      <w:r>
        <w:rPr>
          <w:rFonts w:hint="eastAsia"/>
          <w:color w:val="auto"/>
          <w:sz w:val="21"/>
          <w:szCs w:val="21"/>
          <w:lang w:eastAsia="zh-CN"/>
        </w:rPr>
        <w:t>附件</w:t>
      </w:r>
      <w:r>
        <w:rPr>
          <w:rFonts w:hint="eastAsia"/>
          <w:color w:val="auto"/>
          <w:sz w:val="21"/>
          <w:szCs w:val="21"/>
          <w:lang w:val="en-US" w:eastAsia="zh-CN"/>
        </w:rPr>
        <w:t>17</w:t>
      </w:r>
      <w:r>
        <w:rPr>
          <w:rFonts w:hint="eastAsia"/>
          <w:color w:val="auto"/>
          <w:sz w:val="21"/>
          <w:szCs w:val="21"/>
          <w:lang w:eastAsia="zh-CN"/>
        </w:rPr>
        <w:t xml:space="preserve"> 编制主持人现场勘查说明</w:t>
      </w:r>
    </w:p>
    <w:p w14:paraId="0AC25EDD">
      <w:pPr>
        <w:adjustRightInd w:val="0"/>
        <w:snapToGrid w:val="0"/>
        <w:spacing w:line="240" w:lineRule="auto"/>
        <w:jc w:val="both"/>
        <w:outlineLvl w:val="9"/>
        <w:rPr>
          <w:rFonts w:hint="eastAsia"/>
          <w:color w:val="auto"/>
          <w:sz w:val="21"/>
          <w:szCs w:val="21"/>
          <w:lang w:eastAsia="zh-CN"/>
        </w:rPr>
      </w:pPr>
      <w:r>
        <w:rPr>
          <w:rFonts w:hint="eastAsia"/>
          <w:color w:val="auto"/>
          <w:sz w:val="21"/>
          <w:szCs w:val="21"/>
          <w:lang w:eastAsia="zh-CN"/>
        </w:rPr>
        <w:t>附件</w:t>
      </w:r>
      <w:r>
        <w:rPr>
          <w:rFonts w:hint="eastAsia"/>
          <w:color w:val="auto"/>
          <w:sz w:val="21"/>
          <w:szCs w:val="21"/>
          <w:lang w:val="en-US" w:eastAsia="zh-CN"/>
        </w:rPr>
        <w:t>18</w:t>
      </w:r>
      <w:r>
        <w:rPr>
          <w:rFonts w:hint="eastAsia"/>
          <w:color w:val="auto"/>
          <w:sz w:val="21"/>
          <w:szCs w:val="21"/>
          <w:lang w:eastAsia="zh-CN"/>
        </w:rPr>
        <w:t xml:space="preserve"> 政府信息公开删除内容申请表</w:t>
      </w:r>
    </w:p>
    <w:p w14:paraId="28F01709">
      <w:pPr>
        <w:adjustRightInd w:val="0"/>
        <w:snapToGrid w:val="0"/>
        <w:spacing w:line="240" w:lineRule="auto"/>
        <w:jc w:val="both"/>
        <w:outlineLvl w:val="9"/>
        <w:rPr>
          <w:rFonts w:hint="eastAsia"/>
          <w:color w:val="auto"/>
          <w:sz w:val="21"/>
          <w:szCs w:val="21"/>
          <w:lang w:eastAsia="zh-CN"/>
        </w:rPr>
      </w:pPr>
      <w:r>
        <w:rPr>
          <w:rFonts w:hint="eastAsia"/>
          <w:color w:val="auto"/>
          <w:sz w:val="21"/>
          <w:szCs w:val="21"/>
          <w:lang w:eastAsia="zh-CN"/>
        </w:rPr>
        <w:t>附件</w:t>
      </w:r>
      <w:r>
        <w:rPr>
          <w:rFonts w:hint="eastAsia"/>
          <w:color w:val="auto"/>
          <w:sz w:val="21"/>
          <w:szCs w:val="21"/>
          <w:lang w:val="en-US" w:eastAsia="zh-CN"/>
        </w:rPr>
        <w:t>19</w:t>
      </w:r>
      <w:r>
        <w:rPr>
          <w:rFonts w:hint="eastAsia"/>
          <w:color w:val="auto"/>
          <w:sz w:val="21"/>
          <w:szCs w:val="21"/>
          <w:lang w:eastAsia="zh-CN"/>
        </w:rPr>
        <w:t xml:space="preserve"> 鲁班木业会议纪要</w:t>
      </w:r>
    </w:p>
    <w:p w14:paraId="246FB4D4">
      <w:pPr>
        <w:adjustRightInd w:val="0"/>
        <w:snapToGrid w:val="0"/>
        <w:spacing w:line="240" w:lineRule="auto"/>
        <w:jc w:val="both"/>
        <w:outlineLvl w:val="9"/>
        <w:rPr>
          <w:rFonts w:hint="eastAsia"/>
          <w:color w:val="auto"/>
          <w:sz w:val="21"/>
          <w:szCs w:val="21"/>
          <w:lang w:eastAsia="zh-CN"/>
        </w:rPr>
      </w:pPr>
      <w:r>
        <w:rPr>
          <w:rFonts w:hint="eastAsia"/>
          <w:color w:val="auto"/>
          <w:sz w:val="21"/>
          <w:szCs w:val="21"/>
          <w:lang w:eastAsia="zh-CN"/>
        </w:rPr>
        <w:t>附件</w:t>
      </w:r>
      <w:r>
        <w:rPr>
          <w:rFonts w:hint="eastAsia"/>
          <w:color w:val="auto"/>
          <w:sz w:val="21"/>
          <w:szCs w:val="21"/>
          <w:lang w:val="en-US" w:eastAsia="zh-CN"/>
        </w:rPr>
        <w:t>20</w:t>
      </w:r>
      <w:r>
        <w:rPr>
          <w:rFonts w:hint="eastAsia"/>
          <w:color w:val="auto"/>
          <w:sz w:val="21"/>
          <w:szCs w:val="21"/>
          <w:lang w:eastAsia="zh-CN"/>
        </w:rPr>
        <w:t xml:space="preserve"> 鲁班评审意见及修改清单</w:t>
      </w:r>
    </w:p>
    <w:p w14:paraId="1F5B0FD6">
      <w:pPr>
        <w:adjustRightInd w:val="0"/>
        <w:snapToGrid w:val="0"/>
        <w:spacing w:line="240" w:lineRule="auto"/>
        <w:jc w:val="both"/>
        <w:outlineLvl w:val="9"/>
        <w:rPr>
          <w:rFonts w:hint="eastAsia"/>
          <w:color w:val="auto"/>
          <w:sz w:val="21"/>
          <w:szCs w:val="21"/>
          <w:lang w:eastAsia="zh-CN"/>
        </w:rPr>
      </w:pPr>
      <w:r>
        <w:rPr>
          <w:rFonts w:hint="eastAsia"/>
          <w:color w:val="auto"/>
          <w:sz w:val="21"/>
          <w:szCs w:val="21"/>
          <w:lang w:eastAsia="zh-CN"/>
        </w:rPr>
        <w:t>附件2</w:t>
      </w:r>
      <w:r>
        <w:rPr>
          <w:rFonts w:hint="eastAsia"/>
          <w:color w:val="auto"/>
          <w:sz w:val="21"/>
          <w:szCs w:val="21"/>
          <w:lang w:val="en-US" w:eastAsia="zh-CN"/>
        </w:rPr>
        <w:t xml:space="preserve">1 </w:t>
      </w:r>
      <w:r>
        <w:rPr>
          <w:rFonts w:hint="eastAsia"/>
          <w:color w:val="auto"/>
          <w:sz w:val="21"/>
          <w:szCs w:val="21"/>
          <w:lang w:eastAsia="zh-CN"/>
        </w:rPr>
        <w:t>淮安鲁班木业有限公司年加工玩具胶合板11000立方米评审会个人意见</w:t>
      </w:r>
    </w:p>
    <w:p w14:paraId="6EA95676">
      <w:pPr>
        <w:pStyle w:val="30"/>
        <w:spacing w:line="240" w:lineRule="auto"/>
        <w:rPr>
          <w:rFonts w:hint="eastAsia"/>
          <w:color w:val="auto"/>
          <w:lang w:eastAsia="zh-CN"/>
        </w:rPr>
      </w:pPr>
      <w:r>
        <w:rPr>
          <w:rFonts w:hint="eastAsia"/>
          <w:color w:val="auto"/>
          <w:lang w:eastAsia="zh-CN"/>
        </w:rPr>
        <w:t>附件2</w:t>
      </w:r>
      <w:r>
        <w:rPr>
          <w:rFonts w:hint="eastAsia"/>
          <w:color w:val="auto"/>
          <w:lang w:val="en-US" w:eastAsia="zh-CN"/>
        </w:rPr>
        <w:t>2</w:t>
      </w:r>
      <w:r>
        <w:rPr>
          <w:rFonts w:hint="eastAsia"/>
          <w:color w:val="auto"/>
          <w:lang w:eastAsia="zh-CN"/>
        </w:rPr>
        <w:t xml:space="preserve"> 鲁班专家复核意见-罗晓云</w:t>
      </w:r>
    </w:p>
    <w:p w14:paraId="5EE9B0AF">
      <w:pPr>
        <w:pStyle w:val="31"/>
        <w:spacing w:line="240" w:lineRule="auto"/>
        <w:rPr>
          <w:rFonts w:hint="eastAsia"/>
          <w:color w:val="auto"/>
          <w:lang w:eastAsia="zh-CN"/>
        </w:rPr>
      </w:pPr>
      <w:r>
        <w:rPr>
          <w:rFonts w:hint="eastAsia"/>
          <w:color w:val="auto"/>
          <w:lang w:eastAsia="zh-CN"/>
        </w:rPr>
        <w:t>附件2</w:t>
      </w:r>
      <w:r>
        <w:rPr>
          <w:rFonts w:hint="eastAsia"/>
          <w:color w:val="auto"/>
          <w:lang w:val="en-US" w:eastAsia="zh-CN"/>
        </w:rPr>
        <w:t>3</w:t>
      </w:r>
      <w:r>
        <w:rPr>
          <w:rFonts w:hint="eastAsia"/>
          <w:color w:val="auto"/>
          <w:lang w:eastAsia="zh-CN"/>
        </w:rPr>
        <w:t xml:space="preserve"> 鲁班专家复核意见及修改清单</w:t>
      </w:r>
      <w:r>
        <w:rPr>
          <w:rFonts w:hint="eastAsia"/>
          <w:color w:val="auto"/>
          <w:lang w:val="en-US" w:eastAsia="zh-CN"/>
        </w:rPr>
        <w:t>-</w:t>
      </w:r>
      <w:r>
        <w:rPr>
          <w:rFonts w:hint="eastAsia"/>
          <w:color w:val="auto"/>
          <w:lang w:eastAsia="zh-CN"/>
        </w:rPr>
        <w:t>罗晓云</w:t>
      </w:r>
    </w:p>
    <w:p w14:paraId="43373607">
      <w:pPr>
        <w:rPr>
          <w:rFonts w:hint="eastAsia"/>
          <w:color w:val="auto"/>
          <w:lang w:eastAsia="zh-CN"/>
        </w:rPr>
      </w:pPr>
      <w:r>
        <w:rPr>
          <w:rFonts w:hint="eastAsia"/>
          <w:color w:val="auto"/>
          <w:lang w:eastAsia="zh-CN"/>
        </w:rPr>
        <w:t>附件2</w:t>
      </w:r>
      <w:r>
        <w:rPr>
          <w:rFonts w:hint="eastAsia"/>
          <w:color w:val="auto"/>
          <w:lang w:val="en-US" w:eastAsia="zh-CN"/>
        </w:rPr>
        <w:t>4</w:t>
      </w:r>
      <w:r>
        <w:rPr>
          <w:rFonts w:hint="eastAsia"/>
          <w:color w:val="auto"/>
          <w:lang w:eastAsia="zh-CN"/>
        </w:rPr>
        <w:t xml:space="preserve"> 鲁班复核意见-周玲</w:t>
      </w:r>
    </w:p>
    <w:p w14:paraId="0ADC62F2">
      <w:pPr>
        <w:pStyle w:val="30"/>
        <w:rPr>
          <w:rFonts w:hint="eastAsia"/>
          <w:color w:val="auto"/>
          <w:lang w:eastAsia="zh-CN"/>
        </w:rPr>
      </w:pPr>
      <w:r>
        <w:rPr>
          <w:rFonts w:hint="eastAsia"/>
          <w:color w:val="auto"/>
          <w:lang w:eastAsia="zh-CN"/>
        </w:rPr>
        <w:t>附件2</w:t>
      </w:r>
      <w:r>
        <w:rPr>
          <w:rFonts w:hint="eastAsia"/>
          <w:color w:val="auto"/>
          <w:lang w:val="en-US" w:eastAsia="zh-CN"/>
        </w:rPr>
        <w:t>5</w:t>
      </w:r>
      <w:r>
        <w:rPr>
          <w:rFonts w:hint="eastAsia"/>
          <w:color w:val="auto"/>
          <w:lang w:eastAsia="zh-CN"/>
        </w:rPr>
        <w:t xml:space="preserve"> 鲁班专家复核意见及修改清单-周玲</w:t>
      </w:r>
    </w:p>
    <w:p w14:paraId="77ADEA7D">
      <w:pPr>
        <w:pStyle w:val="31"/>
        <w:rPr>
          <w:rFonts w:hint="eastAsia"/>
          <w:color w:val="auto"/>
          <w:lang w:eastAsia="zh-CN"/>
        </w:rPr>
      </w:pPr>
      <w:r>
        <w:rPr>
          <w:rFonts w:hint="eastAsia"/>
          <w:color w:val="auto"/>
          <w:lang w:eastAsia="zh-CN"/>
        </w:rPr>
        <w:t>附件2</w:t>
      </w:r>
      <w:r>
        <w:rPr>
          <w:rFonts w:hint="eastAsia"/>
          <w:color w:val="auto"/>
          <w:lang w:val="en-US" w:eastAsia="zh-CN"/>
        </w:rPr>
        <w:t>6</w:t>
      </w:r>
      <w:r>
        <w:rPr>
          <w:rFonts w:hint="eastAsia"/>
          <w:color w:val="auto"/>
          <w:lang w:eastAsia="zh-CN"/>
        </w:rPr>
        <w:t xml:space="preserve"> 鲁班复核意见-张兴波</w:t>
      </w:r>
    </w:p>
    <w:p w14:paraId="69E677D5">
      <w:pPr>
        <w:rPr>
          <w:rFonts w:hint="eastAsia"/>
          <w:color w:val="auto"/>
          <w:lang w:eastAsia="zh-CN"/>
        </w:rPr>
      </w:pPr>
      <w:r>
        <w:rPr>
          <w:rFonts w:hint="eastAsia"/>
          <w:color w:val="auto"/>
          <w:lang w:eastAsia="zh-CN"/>
        </w:rPr>
        <w:t>附件2</w:t>
      </w:r>
      <w:r>
        <w:rPr>
          <w:rFonts w:hint="eastAsia"/>
          <w:color w:val="auto"/>
          <w:lang w:val="en-US" w:eastAsia="zh-CN"/>
        </w:rPr>
        <w:t>7</w:t>
      </w:r>
      <w:r>
        <w:rPr>
          <w:rFonts w:hint="eastAsia"/>
          <w:color w:val="auto"/>
          <w:lang w:eastAsia="zh-CN"/>
        </w:rPr>
        <w:t xml:space="preserve"> 鲁班专家复核意见及修改清单-张兴波</w:t>
      </w:r>
    </w:p>
    <w:p w14:paraId="263C296D">
      <w:pPr>
        <w:rPr>
          <w:rFonts w:hint="eastAsia" w:eastAsia="宋体"/>
          <w:color w:val="auto"/>
          <w:lang w:val="en-US" w:eastAsia="zh-CN"/>
        </w:rPr>
      </w:pPr>
      <w:r>
        <w:rPr>
          <w:rFonts w:hint="eastAsia"/>
          <w:color w:val="auto"/>
          <w:lang w:eastAsia="zh-CN"/>
        </w:rPr>
        <w:t>附件2</w:t>
      </w:r>
      <w:r>
        <w:rPr>
          <w:rFonts w:hint="eastAsia"/>
          <w:color w:val="auto"/>
          <w:lang w:val="en-US" w:eastAsia="zh-CN"/>
        </w:rPr>
        <w:t>8</w:t>
      </w:r>
      <w:r>
        <w:rPr>
          <w:rFonts w:hint="eastAsia"/>
          <w:color w:val="auto"/>
          <w:lang w:eastAsia="zh-CN"/>
        </w:rPr>
        <w:t xml:space="preserve"> 现场检查意见</w:t>
      </w:r>
    </w:p>
    <w:p w14:paraId="2E818A81">
      <w:pPr>
        <w:rPr>
          <w:rFonts w:hint="eastAsia"/>
          <w:color w:val="auto"/>
          <w:lang w:eastAsia="zh-CN"/>
        </w:rPr>
      </w:pPr>
      <w:r>
        <w:rPr>
          <w:rFonts w:hint="eastAsia"/>
          <w:color w:val="auto"/>
          <w:lang w:eastAsia="zh-CN"/>
        </w:rPr>
        <w:t>附件2</w:t>
      </w:r>
      <w:r>
        <w:rPr>
          <w:rFonts w:hint="eastAsia"/>
          <w:color w:val="auto"/>
          <w:lang w:val="en-US" w:eastAsia="zh-CN"/>
        </w:rPr>
        <w:t>9</w:t>
      </w:r>
      <w:r>
        <w:rPr>
          <w:rFonts w:hint="eastAsia"/>
          <w:color w:val="auto"/>
          <w:lang w:eastAsia="zh-CN"/>
        </w:rPr>
        <w:t xml:space="preserve"> 总量交易凭证</w:t>
      </w:r>
    </w:p>
    <w:p w14:paraId="62B67D64">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b/>
          <w:bCs/>
          <w:color w:val="auto"/>
          <w:sz w:val="22"/>
          <w:szCs w:val="22"/>
          <w:lang w:eastAsia="zh-CN"/>
        </w:rPr>
      </w:pPr>
      <w:r>
        <w:rPr>
          <w:rFonts w:hint="eastAsia"/>
          <w:b/>
          <w:bCs/>
          <w:color w:val="auto"/>
          <w:sz w:val="22"/>
          <w:szCs w:val="22"/>
          <w:lang w:eastAsia="zh-CN"/>
        </w:rPr>
        <w:t>附图：</w:t>
      </w:r>
    </w:p>
    <w:p w14:paraId="0E9C734A">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附图1 建设项目与江苏省生态保护红线位置关系图</w:t>
      </w:r>
    </w:p>
    <w:p w14:paraId="4D25BC3A">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附图2 建设项目与江苏省生态空间管控区域位置关系图</w:t>
      </w:r>
    </w:p>
    <w:p w14:paraId="16BDE043">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附图3 建设项目与淮安市环境管控单元位置关系图</w:t>
      </w:r>
    </w:p>
    <w:p w14:paraId="3CF35881">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附图4 建设项目地理位置图</w:t>
      </w:r>
    </w:p>
    <w:p w14:paraId="4A3D8982">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附图5 建设项目周边概况图</w:t>
      </w:r>
    </w:p>
    <w:p w14:paraId="40C60BEA">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附图6 建设项目平面布置图</w:t>
      </w:r>
    </w:p>
    <w:p w14:paraId="281A9C40">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附图7 环境敏感目标图</w:t>
      </w:r>
    </w:p>
    <w:p w14:paraId="274BF386">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outlineLvl w:val="9"/>
        <w:rPr>
          <w:rFonts w:hint="eastAsia"/>
          <w:color w:val="auto"/>
          <w:sz w:val="21"/>
          <w:szCs w:val="21"/>
          <w:lang w:eastAsia="zh-CN"/>
        </w:rPr>
      </w:pPr>
      <w:r>
        <w:rPr>
          <w:rFonts w:hint="eastAsia"/>
          <w:color w:val="auto"/>
          <w:sz w:val="21"/>
          <w:szCs w:val="21"/>
          <w:lang w:eastAsia="zh-CN"/>
        </w:rPr>
        <w:t>附图8 建设项目位置与高沟镇规划图</w:t>
      </w:r>
    </w:p>
    <w:p w14:paraId="303CFE6D">
      <w:pPr>
        <w:pStyle w:val="30"/>
        <w:keepNext w:val="0"/>
        <w:keepLines w:val="0"/>
        <w:pageBreakBefore w:val="0"/>
        <w:widowControl w:val="0"/>
        <w:kinsoku/>
        <w:wordWrap/>
        <w:overflowPunct/>
        <w:topLinePunct w:val="0"/>
        <w:autoSpaceDE/>
        <w:autoSpaceDN/>
        <w:bidi w:val="0"/>
        <w:spacing w:line="240" w:lineRule="atLeast"/>
        <w:textAlignment w:val="auto"/>
        <w:rPr>
          <w:rFonts w:hint="default"/>
          <w:color w:val="auto"/>
          <w:lang w:val="en-US" w:eastAsia="zh-CN"/>
        </w:rPr>
      </w:pPr>
      <w:r>
        <w:rPr>
          <w:rFonts w:hint="eastAsia"/>
          <w:color w:val="auto"/>
          <w:sz w:val="21"/>
          <w:szCs w:val="21"/>
          <w:lang w:eastAsia="zh-CN"/>
        </w:rPr>
        <w:t>附图</w:t>
      </w:r>
      <w:r>
        <w:rPr>
          <w:rFonts w:hint="eastAsia"/>
          <w:color w:val="auto"/>
          <w:sz w:val="21"/>
          <w:szCs w:val="21"/>
          <w:lang w:val="en-US" w:eastAsia="zh-CN"/>
        </w:rPr>
        <w:t>9 高沟镇生活污水处理厂管网图</w:t>
      </w:r>
    </w:p>
    <w:p w14:paraId="65B6A931">
      <w:pPr>
        <w:keepNext w:val="0"/>
        <w:keepLines w:val="0"/>
        <w:pageBreakBefore w:val="0"/>
        <w:widowControl w:val="0"/>
        <w:kinsoku/>
        <w:wordWrap/>
        <w:overflowPunct/>
        <w:topLinePunct w:val="0"/>
        <w:autoSpaceDE/>
        <w:autoSpaceDN/>
        <w:bidi w:val="0"/>
        <w:adjustRightInd w:val="0"/>
        <w:snapToGrid w:val="0"/>
        <w:spacing w:line="240" w:lineRule="atLeast"/>
        <w:ind w:firstLine="1040"/>
        <w:textAlignment w:val="auto"/>
        <w:rPr>
          <w:rFonts w:ascii="Times New Roman" w:hAnsi="Times New Roman" w:eastAsia="宋体" w:cs="Times New Roman"/>
          <w:color w:val="auto"/>
          <w:kern w:val="2"/>
          <w:sz w:val="21"/>
          <w:szCs w:val="36"/>
          <w:lang w:val="en-US" w:eastAsia="zh-CN" w:bidi="ar-SA"/>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DF195A0">
      <w:pPr>
        <w:pStyle w:val="37"/>
        <w:jc w:val="center"/>
        <w:outlineLvl w:val="0"/>
        <w:rPr>
          <w:rFonts w:ascii="Times New Roman" w:hAnsi="Times New Roman"/>
          <w:b/>
          <w:snapToGrid w:val="0"/>
          <w:sz w:val="30"/>
          <w:szCs w:val="30"/>
        </w:rPr>
      </w:pPr>
      <w:bookmarkStart w:id="2" w:name="_Toc3808"/>
      <w:r>
        <w:rPr>
          <w:rFonts w:ascii="Times New Roman" w:hAnsi="Times New Roman"/>
          <w:b/>
          <w:snapToGrid w:val="0"/>
          <w:sz w:val="30"/>
          <w:szCs w:val="30"/>
        </w:rPr>
        <w:t>一、建设项目基本情况</w:t>
      </w:r>
      <w:bookmarkEnd w:id="2"/>
    </w:p>
    <w:tbl>
      <w:tblPr>
        <w:tblStyle w:val="4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4"/>
        <w:gridCol w:w="2895"/>
        <w:gridCol w:w="2212"/>
        <w:gridCol w:w="2639"/>
      </w:tblGrid>
      <w:tr w14:paraId="32C34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1661875A">
            <w:pPr>
              <w:adjustRightInd w:val="0"/>
              <w:snapToGrid w:val="0"/>
              <w:jc w:val="center"/>
              <w:rPr>
                <w:sz w:val="24"/>
              </w:rPr>
            </w:pPr>
            <w:r>
              <w:rPr>
                <w:sz w:val="24"/>
              </w:rPr>
              <w:t>建设项目名称</w:t>
            </w:r>
          </w:p>
        </w:tc>
        <w:tc>
          <w:tcPr>
            <w:tcW w:w="7746" w:type="dxa"/>
            <w:gridSpan w:val="3"/>
            <w:vAlign w:val="center"/>
          </w:tcPr>
          <w:p w14:paraId="318B14DF">
            <w:pPr>
              <w:adjustRightInd w:val="0"/>
              <w:snapToGrid w:val="0"/>
              <w:jc w:val="center"/>
              <w:rPr>
                <w:sz w:val="24"/>
              </w:rPr>
            </w:pPr>
            <w:r>
              <w:rPr>
                <w:sz w:val="24"/>
                <w:lang w:val="zh-CN"/>
              </w:rPr>
              <w:t>胶合板加工项目</w:t>
            </w:r>
          </w:p>
        </w:tc>
      </w:tr>
      <w:tr w14:paraId="174B3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45EA6EE2">
            <w:pPr>
              <w:adjustRightInd w:val="0"/>
              <w:snapToGrid w:val="0"/>
              <w:jc w:val="center"/>
              <w:rPr>
                <w:sz w:val="24"/>
              </w:rPr>
            </w:pPr>
            <w:r>
              <w:rPr>
                <w:sz w:val="24"/>
              </w:rPr>
              <w:t>项目代码</w:t>
            </w:r>
          </w:p>
        </w:tc>
        <w:tc>
          <w:tcPr>
            <w:tcW w:w="7746" w:type="dxa"/>
            <w:gridSpan w:val="3"/>
            <w:vAlign w:val="center"/>
          </w:tcPr>
          <w:p w14:paraId="317274AE">
            <w:pPr>
              <w:adjustRightInd w:val="0"/>
              <w:snapToGrid w:val="0"/>
              <w:jc w:val="center"/>
              <w:rPr>
                <w:sz w:val="24"/>
              </w:rPr>
            </w:pPr>
            <w:r>
              <w:rPr>
                <w:rFonts w:hint="eastAsia"/>
                <w:sz w:val="24"/>
              </w:rPr>
              <w:t>2406-320826-04-01-277675</w:t>
            </w:r>
          </w:p>
        </w:tc>
      </w:tr>
      <w:tr w14:paraId="3D7FE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7DA91135">
            <w:pPr>
              <w:adjustRightInd w:val="0"/>
              <w:snapToGrid w:val="0"/>
              <w:jc w:val="center"/>
              <w:rPr>
                <w:sz w:val="24"/>
              </w:rPr>
            </w:pPr>
            <w:r>
              <w:rPr>
                <w:sz w:val="24"/>
              </w:rPr>
              <w:t>建设单位联系人</w:t>
            </w:r>
          </w:p>
        </w:tc>
        <w:tc>
          <w:tcPr>
            <w:tcW w:w="2895" w:type="dxa"/>
            <w:vAlign w:val="center"/>
          </w:tcPr>
          <w:p w14:paraId="6D7B934A">
            <w:pPr>
              <w:adjustRightInd w:val="0"/>
              <w:snapToGrid w:val="0"/>
              <w:jc w:val="center"/>
              <w:rPr>
                <w:sz w:val="24"/>
                <w:lang w:val="zh-CN"/>
              </w:rPr>
            </w:pPr>
            <w:r>
              <w:rPr>
                <w:rFonts w:hint="eastAsia"/>
                <w:sz w:val="24"/>
                <w:lang w:val="zh-CN"/>
              </w:rPr>
              <w:t>张凤家</w:t>
            </w:r>
          </w:p>
        </w:tc>
        <w:tc>
          <w:tcPr>
            <w:tcW w:w="2212" w:type="dxa"/>
            <w:vAlign w:val="center"/>
          </w:tcPr>
          <w:p w14:paraId="033DCFBE">
            <w:pPr>
              <w:adjustRightInd w:val="0"/>
              <w:snapToGrid w:val="0"/>
              <w:jc w:val="center"/>
              <w:rPr>
                <w:sz w:val="24"/>
                <w:lang w:val="zh-CN"/>
              </w:rPr>
            </w:pPr>
            <w:r>
              <w:rPr>
                <w:sz w:val="24"/>
                <w:lang w:val="zh-CN"/>
              </w:rPr>
              <w:t>联系方式</w:t>
            </w:r>
          </w:p>
        </w:tc>
        <w:tc>
          <w:tcPr>
            <w:tcW w:w="2639" w:type="dxa"/>
            <w:vAlign w:val="center"/>
          </w:tcPr>
          <w:p w14:paraId="1089DA63">
            <w:pPr>
              <w:adjustRightInd w:val="0"/>
              <w:snapToGrid w:val="0"/>
              <w:jc w:val="center"/>
              <w:rPr>
                <w:sz w:val="24"/>
              </w:rPr>
            </w:pPr>
            <w:r>
              <w:rPr>
                <w:rFonts w:hint="eastAsia"/>
                <w:sz w:val="24"/>
              </w:rPr>
              <w:t>13305240188</w:t>
            </w:r>
          </w:p>
        </w:tc>
      </w:tr>
      <w:tr w14:paraId="7AE08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5D770B3A">
            <w:pPr>
              <w:adjustRightInd w:val="0"/>
              <w:snapToGrid w:val="0"/>
              <w:jc w:val="center"/>
              <w:rPr>
                <w:sz w:val="24"/>
              </w:rPr>
            </w:pPr>
            <w:r>
              <w:rPr>
                <w:sz w:val="24"/>
              </w:rPr>
              <w:t>建设地点</w:t>
            </w:r>
          </w:p>
        </w:tc>
        <w:tc>
          <w:tcPr>
            <w:tcW w:w="7746" w:type="dxa"/>
            <w:gridSpan w:val="3"/>
            <w:vAlign w:val="center"/>
          </w:tcPr>
          <w:p w14:paraId="5D353A0B">
            <w:pPr>
              <w:adjustRightInd w:val="0"/>
              <w:snapToGrid w:val="0"/>
              <w:jc w:val="center"/>
              <w:rPr>
                <w:rFonts w:eastAsiaTheme="minorEastAsia"/>
                <w:sz w:val="24"/>
              </w:rPr>
            </w:pPr>
            <w:r>
              <w:rPr>
                <w:rFonts w:eastAsiaTheme="minorEastAsia"/>
                <w:sz w:val="24"/>
                <w:u w:val="single"/>
              </w:rPr>
              <w:t>江苏</w:t>
            </w:r>
            <w:r>
              <w:rPr>
                <w:rFonts w:eastAsiaTheme="minorEastAsia"/>
                <w:sz w:val="24"/>
              </w:rPr>
              <w:t>省（自治区）</w:t>
            </w:r>
            <w:r>
              <w:rPr>
                <w:rFonts w:eastAsiaTheme="minorEastAsia"/>
                <w:sz w:val="24"/>
                <w:u w:val="single"/>
              </w:rPr>
              <w:t>淮安</w:t>
            </w:r>
            <w:r>
              <w:rPr>
                <w:rFonts w:eastAsiaTheme="minorEastAsia"/>
                <w:sz w:val="24"/>
              </w:rPr>
              <w:t>市</w:t>
            </w:r>
            <w:r>
              <w:rPr>
                <w:rFonts w:hint="eastAsia" w:eastAsiaTheme="minorEastAsia"/>
                <w:sz w:val="24"/>
                <w:u w:val="single"/>
              </w:rPr>
              <w:t>涟水县</w:t>
            </w:r>
            <w:r>
              <w:rPr>
                <w:rFonts w:eastAsiaTheme="minorEastAsia"/>
                <w:sz w:val="24"/>
              </w:rPr>
              <w:t>（区）</w:t>
            </w:r>
            <w:r>
              <w:rPr>
                <w:rFonts w:hint="eastAsia" w:eastAsiaTheme="minorEastAsia"/>
                <w:sz w:val="24"/>
                <w:u w:val="single"/>
              </w:rPr>
              <w:t>高沟镇</w:t>
            </w:r>
            <w:r>
              <w:rPr>
                <w:rFonts w:eastAsiaTheme="minorEastAsia"/>
                <w:sz w:val="24"/>
              </w:rPr>
              <w:t>（街道）</w:t>
            </w:r>
          </w:p>
          <w:p w14:paraId="30F48D35">
            <w:pPr>
              <w:adjustRightInd w:val="0"/>
              <w:snapToGrid w:val="0"/>
              <w:jc w:val="center"/>
              <w:rPr>
                <w:sz w:val="24"/>
                <w:lang w:val="zh-CN"/>
              </w:rPr>
            </w:pPr>
            <w:r>
              <w:rPr>
                <w:rFonts w:hint="eastAsia"/>
                <w:sz w:val="24"/>
                <w:u w:val="single"/>
                <w:lang w:val="zh-CN"/>
              </w:rPr>
              <w:t>高秀工业集中区</w:t>
            </w:r>
          </w:p>
        </w:tc>
      </w:tr>
      <w:tr w14:paraId="34BD2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68E50EB0">
            <w:pPr>
              <w:adjustRightInd w:val="0"/>
              <w:snapToGrid w:val="0"/>
              <w:jc w:val="center"/>
              <w:rPr>
                <w:sz w:val="24"/>
              </w:rPr>
            </w:pPr>
            <w:r>
              <w:rPr>
                <w:sz w:val="24"/>
              </w:rPr>
              <w:t>地理坐标</w:t>
            </w:r>
          </w:p>
        </w:tc>
        <w:tc>
          <w:tcPr>
            <w:tcW w:w="7746" w:type="dxa"/>
            <w:gridSpan w:val="3"/>
            <w:vAlign w:val="center"/>
          </w:tcPr>
          <w:p w14:paraId="75C1B44A">
            <w:pPr>
              <w:jc w:val="center"/>
              <w:rPr>
                <w:sz w:val="24"/>
              </w:rPr>
            </w:pPr>
            <w:r>
              <w:rPr>
                <w:sz w:val="24"/>
              </w:rPr>
              <w:t>（</w:t>
            </w:r>
            <w:r>
              <w:rPr>
                <w:rFonts w:hint="eastAsia"/>
                <w:sz w:val="24"/>
              </w:rPr>
              <w:t>东经</w:t>
            </w:r>
            <w:r>
              <w:rPr>
                <w:rFonts w:hint="eastAsia"/>
                <w:sz w:val="24"/>
                <w:u w:val="single"/>
              </w:rPr>
              <w:t>119</w:t>
            </w:r>
            <w:r>
              <w:rPr>
                <w:sz w:val="24"/>
              </w:rPr>
              <w:t>度</w:t>
            </w:r>
            <w:r>
              <w:rPr>
                <w:rFonts w:hint="eastAsia"/>
                <w:sz w:val="24"/>
                <w:u w:val="single"/>
              </w:rPr>
              <w:t>11</w:t>
            </w:r>
            <w:r>
              <w:rPr>
                <w:sz w:val="24"/>
              </w:rPr>
              <w:t>分</w:t>
            </w:r>
            <w:r>
              <w:rPr>
                <w:rFonts w:hint="eastAsia"/>
                <w:sz w:val="24"/>
                <w:u w:val="single"/>
              </w:rPr>
              <w:t>21.714</w:t>
            </w:r>
            <w:r>
              <w:rPr>
                <w:sz w:val="24"/>
              </w:rPr>
              <w:t>秒，</w:t>
            </w:r>
            <w:r>
              <w:rPr>
                <w:rFonts w:hint="eastAsia"/>
                <w:sz w:val="24"/>
              </w:rPr>
              <w:t>北纬</w:t>
            </w:r>
            <w:r>
              <w:rPr>
                <w:rFonts w:hint="eastAsia"/>
                <w:sz w:val="24"/>
                <w:u w:val="single"/>
              </w:rPr>
              <w:t>34</w:t>
            </w:r>
            <w:r>
              <w:rPr>
                <w:sz w:val="24"/>
              </w:rPr>
              <w:t>度</w:t>
            </w:r>
            <w:r>
              <w:rPr>
                <w:rFonts w:hint="eastAsia"/>
                <w:sz w:val="24"/>
                <w:u w:val="single"/>
              </w:rPr>
              <w:t>1</w:t>
            </w:r>
            <w:r>
              <w:rPr>
                <w:sz w:val="24"/>
              </w:rPr>
              <w:t>分</w:t>
            </w:r>
            <w:r>
              <w:rPr>
                <w:rFonts w:hint="eastAsia"/>
                <w:sz w:val="24"/>
                <w:u w:val="single"/>
              </w:rPr>
              <w:t>42.808</w:t>
            </w:r>
            <w:r>
              <w:rPr>
                <w:sz w:val="24"/>
              </w:rPr>
              <w:t>秒）</w:t>
            </w:r>
          </w:p>
        </w:tc>
      </w:tr>
      <w:tr w14:paraId="0659F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24" w:type="dxa"/>
            <w:tcMar>
              <w:top w:w="16" w:type="dxa"/>
              <w:left w:w="16" w:type="dxa"/>
              <w:right w:w="16" w:type="dxa"/>
            </w:tcMar>
            <w:vAlign w:val="center"/>
          </w:tcPr>
          <w:p w14:paraId="46116397">
            <w:pPr>
              <w:adjustRightInd w:val="0"/>
              <w:snapToGrid w:val="0"/>
              <w:jc w:val="center"/>
              <w:rPr>
                <w:sz w:val="24"/>
              </w:rPr>
            </w:pPr>
            <w:r>
              <w:rPr>
                <w:sz w:val="24"/>
              </w:rPr>
              <w:t>国民经济</w:t>
            </w:r>
          </w:p>
          <w:p w14:paraId="37CBA5C4">
            <w:pPr>
              <w:adjustRightInd w:val="0"/>
              <w:snapToGrid w:val="0"/>
              <w:jc w:val="center"/>
              <w:rPr>
                <w:sz w:val="24"/>
              </w:rPr>
            </w:pPr>
            <w:r>
              <w:rPr>
                <w:sz w:val="24"/>
              </w:rPr>
              <w:t>行业类别</w:t>
            </w:r>
          </w:p>
        </w:tc>
        <w:tc>
          <w:tcPr>
            <w:tcW w:w="2895" w:type="dxa"/>
            <w:vAlign w:val="center"/>
          </w:tcPr>
          <w:p w14:paraId="7C753DD6">
            <w:pPr>
              <w:adjustRightInd w:val="0"/>
              <w:snapToGrid w:val="0"/>
              <w:jc w:val="center"/>
              <w:rPr>
                <w:sz w:val="24"/>
              </w:rPr>
            </w:pPr>
            <w:r>
              <w:rPr>
                <w:sz w:val="24"/>
              </w:rPr>
              <w:t>C2021胶合板制造</w:t>
            </w:r>
          </w:p>
        </w:tc>
        <w:tc>
          <w:tcPr>
            <w:tcW w:w="2212" w:type="dxa"/>
            <w:vAlign w:val="center"/>
          </w:tcPr>
          <w:p w14:paraId="4C0119F0">
            <w:pPr>
              <w:adjustRightInd w:val="0"/>
              <w:snapToGrid w:val="0"/>
              <w:jc w:val="center"/>
              <w:rPr>
                <w:sz w:val="24"/>
              </w:rPr>
            </w:pPr>
            <w:bookmarkStart w:id="3" w:name="_Hlk49843745"/>
            <w:r>
              <w:rPr>
                <w:sz w:val="24"/>
              </w:rPr>
              <w:t>建设项目</w:t>
            </w:r>
          </w:p>
          <w:p w14:paraId="446A232F">
            <w:pPr>
              <w:adjustRightInd w:val="0"/>
              <w:snapToGrid w:val="0"/>
              <w:jc w:val="center"/>
              <w:rPr>
                <w:sz w:val="24"/>
              </w:rPr>
            </w:pPr>
            <w:r>
              <w:rPr>
                <w:sz w:val="24"/>
              </w:rPr>
              <w:t>行业类别</w:t>
            </w:r>
            <w:bookmarkEnd w:id="3"/>
          </w:p>
        </w:tc>
        <w:tc>
          <w:tcPr>
            <w:tcW w:w="2639" w:type="dxa"/>
            <w:vAlign w:val="center"/>
          </w:tcPr>
          <w:p w14:paraId="1D614633">
            <w:pPr>
              <w:adjustRightInd w:val="0"/>
              <w:snapToGrid w:val="0"/>
              <w:jc w:val="center"/>
              <w:rPr>
                <w:sz w:val="24"/>
              </w:rPr>
            </w:pPr>
            <w:r>
              <w:rPr>
                <w:rFonts w:hint="eastAsia" w:eastAsiaTheme="minorEastAsia"/>
                <w:bCs/>
                <w:sz w:val="24"/>
              </w:rPr>
              <w:t>十七、木材加工和木、竹、藤、棕、草制品业中的“34.人造板制造202”中的“其他”</w:t>
            </w:r>
          </w:p>
        </w:tc>
      </w:tr>
      <w:tr w14:paraId="596E8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24" w:type="dxa"/>
            <w:tcMar>
              <w:top w:w="16" w:type="dxa"/>
              <w:left w:w="16" w:type="dxa"/>
              <w:right w:w="16" w:type="dxa"/>
            </w:tcMar>
            <w:vAlign w:val="center"/>
          </w:tcPr>
          <w:p w14:paraId="2412C4AD">
            <w:pPr>
              <w:adjustRightInd w:val="0"/>
              <w:snapToGrid w:val="0"/>
              <w:jc w:val="center"/>
              <w:rPr>
                <w:sz w:val="24"/>
              </w:rPr>
            </w:pPr>
            <w:r>
              <w:rPr>
                <w:sz w:val="24"/>
              </w:rPr>
              <w:t>建设性质</w:t>
            </w:r>
          </w:p>
        </w:tc>
        <w:tc>
          <w:tcPr>
            <w:tcW w:w="2895" w:type="dxa"/>
            <w:vAlign w:val="center"/>
          </w:tcPr>
          <w:p w14:paraId="398B8FA8">
            <w:pPr>
              <w:jc w:val="left"/>
              <w:rPr>
                <w:sz w:val="24"/>
              </w:rPr>
            </w:pPr>
            <w:r>
              <w:rPr>
                <w:b/>
                <w:sz w:val="24"/>
              </w:rPr>
              <w:t>√</w:t>
            </w:r>
            <w:r>
              <w:rPr>
                <w:sz w:val="24"/>
              </w:rPr>
              <w:t>新建（迁建）</w:t>
            </w:r>
          </w:p>
          <w:p w14:paraId="77E4B926">
            <w:pPr>
              <w:jc w:val="left"/>
              <w:rPr>
                <w:sz w:val="24"/>
              </w:rPr>
            </w:pPr>
            <w:r>
              <w:rPr>
                <w:sz w:val="24"/>
              </w:rPr>
              <w:t>□改建</w:t>
            </w:r>
          </w:p>
          <w:p w14:paraId="7CB2692F">
            <w:pPr>
              <w:jc w:val="left"/>
              <w:rPr>
                <w:sz w:val="24"/>
              </w:rPr>
            </w:pPr>
            <w:r>
              <w:rPr>
                <w:sz w:val="24"/>
              </w:rPr>
              <w:t>□扩建</w:t>
            </w:r>
          </w:p>
          <w:p w14:paraId="410123CA">
            <w:pPr>
              <w:jc w:val="left"/>
              <w:rPr>
                <w:sz w:val="24"/>
              </w:rPr>
            </w:pPr>
            <w:r>
              <w:rPr>
                <w:sz w:val="24"/>
              </w:rPr>
              <w:t>□技术改造</w:t>
            </w:r>
          </w:p>
        </w:tc>
        <w:tc>
          <w:tcPr>
            <w:tcW w:w="2212" w:type="dxa"/>
            <w:vAlign w:val="center"/>
          </w:tcPr>
          <w:p w14:paraId="5083293D">
            <w:pPr>
              <w:adjustRightInd w:val="0"/>
              <w:snapToGrid w:val="0"/>
              <w:jc w:val="center"/>
              <w:rPr>
                <w:sz w:val="24"/>
              </w:rPr>
            </w:pPr>
            <w:r>
              <w:rPr>
                <w:sz w:val="24"/>
              </w:rPr>
              <w:t>建设项目</w:t>
            </w:r>
          </w:p>
          <w:p w14:paraId="502D0A39">
            <w:pPr>
              <w:adjustRightInd w:val="0"/>
              <w:snapToGrid w:val="0"/>
              <w:jc w:val="center"/>
              <w:rPr>
                <w:sz w:val="24"/>
              </w:rPr>
            </w:pPr>
            <w:r>
              <w:rPr>
                <w:sz w:val="24"/>
              </w:rPr>
              <w:t>申报情形</w:t>
            </w:r>
          </w:p>
        </w:tc>
        <w:tc>
          <w:tcPr>
            <w:tcW w:w="2639" w:type="dxa"/>
            <w:vAlign w:val="center"/>
          </w:tcPr>
          <w:p w14:paraId="61C925E2">
            <w:pPr>
              <w:jc w:val="left"/>
              <w:rPr>
                <w:sz w:val="24"/>
              </w:rPr>
            </w:pPr>
            <w:r>
              <w:rPr>
                <w:b/>
                <w:sz w:val="24"/>
              </w:rPr>
              <w:t>√</w:t>
            </w:r>
            <w:r>
              <w:rPr>
                <w:sz w:val="24"/>
              </w:rPr>
              <w:t xml:space="preserve">首次申报项目             </w:t>
            </w:r>
          </w:p>
          <w:p w14:paraId="6053AC75">
            <w:pPr>
              <w:jc w:val="left"/>
              <w:rPr>
                <w:sz w:val="24"/>
              </w:rPr>
            </w:pPr>
            <w:r>
              <w:rPr>
                <w:sz w:val="24"/>
              </w:rPr>
              <w:t>□不予批准后再次申报项目</w:t>
            </w:r>
          </w:p>
          <w:p w14:paraId="1CE4357E">
            <w:pPr>
              <w:jc w:val="left"/>
              <w:rPr>
                <w:sz w:val="24"/>
              </w:rPr>
            </w:pPr>
            <w:r>
              <w:rPr>
                <w:sz w:val="24"/>
              </w:rPr>
              <w:t xml:space="preserve">□超五年重新审核项目     </w:t>
            </w:r>
          </w:p>
          <w:p w14:paraId="12AC894D">
            <w:pPr>
              <w:jc w:val="left"/>
              <w:rPr>
                <w:sz w:val="24"/>
              </w:rPr>
            </w:pPr>
            <w:r>
              <w:rPr>
                <w:sz w:val="24"/>
              </w:rPr>
              <w:t>□重大变动重新报批项目</w:t>
            </w:r>
          </w:p>
        </w:tc>
      </w:tr>
      <w:tr w14:paraId="2CBEB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24" w:type="dxa"/>
            <w:tcMar>
              <w:top w:w="16" w:type="dxa"/>
              <w:left w:w="16" w:type="dxa"/>
              <w:right w:w="16" w:type="dxa"/>
            </w:tcMar>
            <w:vAlign w:val="center"/>
          </w:tcPr>
          <w:p w14:paraId="1E8D148A">
            <w:pPr>
              <w:adjustRightInd w:val="0"/>
              <w:snapToGrid w:val="0"/>
              <w:jc w:val="center"/>
              <w:rPr>
                <w:sz w:val="24"/>
              </w:rPr>
            </w:pPr>
            <w:r>
              <w:rPr>
                <w:sz w:val="24"/>
              </w:rPr>
              <w:t>项目审批（核准/</w:t>
            </w:r>
          </w:p>
          <w:p w14:paraId="3DD48287">
            <w:pPr>
              <w:adjustRightInd w:val="0"/>
              <w:snapToGrid w:val="0"/>
              <w:jc w:val="center"/>
              <w:rPr>
                <w:sz w:val="24"/>
              </w:rPr>
            </w:pPr>
            <w:r>
              <w:rPr>
                <w:sz w:val="24"/>
              </w:rPr>
              <w:t>备案）部门（选填）</w:t>
            </w:r>
          </w:p>
        </w:tc>
        <w:tc>
          <w:tcPr>
            <w:tcW w:w="2895" w:type="dxa"/>
            <w:vAlign w:val="center"/>
          </w:tcPr>
          <w:p w14:paraId="284E45C2">
            <w:pPr>
              <w:adjustRightInd w:val="0"/>
              <w:snapToGrid w:val="0"/>
              <w:jc w:val="center"/>
              <w:rPr>
                <w:sz w:val="24"/>
              </w:rPr>
            </w:pPr>
            <w:r>
              <w:rPr>
                <w:sz w:val="24"/>
              </w:rPr>
              <w:t>淮安涟水县发展改革委</w:t>
            </w:r>
          </w:p>
        </w:tc>
        <w:tc>
          <w:tcPr>
            <w:tcW w:w="2212" w:type="dxa"/>
            <w:vAlign w:val="center"/>
          </w:tcPr>
          <w:p w14:paraId="7B6C9B37">
            <w:pPr>
              <w:adjustRightInd w:val="0"/>
              <w:snapToGrid w:val="0"/>
              <w:jc w:val="center"/>
              <w:rPr>
                <w:sz w:val="24"/>
              </w:rPr>
            </w:pPr>
            <w:r>
              <w:rPr>
                <w:sz w:val="24"/>
              </w:rPr>
              <w:t>项目审批（核准/备案）文号（选填）</w:t>
            </w:r>
          </w:p>
        </w:tc>
        <w:tc>
          <w:tcPr>
            <w:tcW w:w="2639" w:type="dxa"/>
            <w:vAlign w:val="center"/>
          </w:tcPr>
          <w:p w14:paraId="6A6D8EDC">
            <w:pPr>
              <w:adjustRightInd w:val="0"/>
              <w:snapToGrid w:val="0"/>
              <w:jc w:val="center"/>
              <w:rPr>
                <w:sz w:val="24"/>
              </w:rPr>
            </w:pPr>
            <w:r>
              <w:rPr>
                <w:sz w:val="24"/>
              </w:rPr>
              <w:t>涟水发改备</w:t>
            </w:r>
            <w:r>
              <w:rPr>
                <w:rFonts w:hint="eastAsia"/>
                <w:sz w:val="24"/>
                <w:lang w:eastAsia="zh-CN"/>
              </w:rPr>
              <w:t>〔2024〕202号</w:t>
            </w:r>
          </w:p>
        </w:tc>
      </w:tr>
      <w:tr w14:paraId="605D8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522754EC">
            <w:pPr>
              <w:adjustRightInd w:val="0"/>
              <w:snapToGrid w:val="0"/>
              <w:jc w:val="center"/>
              <w:rPr>
                <w:sz w:val="24"/>
              </w:rPr>
            </w:pPr>
            <w:r>
              <w:rPr>
                <w:sz w:val="24"/>
              </w:rPr>
              <w:t>总投资（万元）</w:t>
            </w:r>
          </w:p>
        </w:tc>
        <w:tc>
          <w:tcPr>
            <w:tcW w:w="2895" w:type="dxa"/>
            <w:vAlign w:val="center"/>
          </w:tcPr>
          <w:p w14:paraId="5DF9FB73">
            <w:pPr>
              <w:adjustRightInd w:val="0"/>
              <w:snapToGrid w:val="0"/>
              <w:jc w:val="center"/>
              <w:rPr>
                <w:sz w:val="24"/>
              </w:rPr>
            </w:pPr>
            <w:r>
              <w:rPr>
                <w:rFonts w:hint="eastAsia"/>
                <w:sz w:val="24"/>
              </w:rPr>
              <w:t>500</w:t>
            </w:r>
          </w:p>
        </w:tc>
        <w:tc>
          <w:tcPr>
            <w:tcW w:w="2212" w:type="dxa"/>
            <w:tcMar>
              <w:top w:w="16" w:type="dxa"/>
              <w:left w:w="16" w:type="dxa"/>
              <w:right w:w="16" w:type="dxa"/>
            </w:tcMar>
            <w:vAlign w:val="center"/>
          </w:tcPr>
          <w:p w14:paraId="00D58A29">
            <w:pPr>
              <w:adjustRightInd w:val="0"/>
              <w:snapToGrid w:val="0"/>
              <w:jc w:val="center"/>
              <w:rPr>
                <w:sz w:val="24"/>
              </w:rPr>
            </w:pPr>
            <w:r>
              <w:rPr>
                <w:sz w:val="24"/>
              </w:rPr>
              <w:t>环保投资（万元）</w:t>
            </w:r>
          </w:p>
        </w:tc>
        <w:tc>
          <w:tcPr>
            <w:tcW w:w="2639" w:type="dxa"/>
            <w:vAlign w:val="center"/>
          </w:tcPr>
          <w:p w14:paraId="0EB175D8">
            <w:pPr>
              <w:adjustRightInd w:val="0"/>
              <w:snapToGrid w:val="0"/>
              <w:jc w:val="center"/>
              <w:rPr>
                <w:sz w:val="24"/>
              </w:rPr>
            </w:pPr>
            <w:r>
              <w:rPr>
                <w:rFonts w:hint="eastAsia"/>
                <w:sz w:val="24"/>
              </w:rPr>
              <w:t>31</w:t>
            </w:r>
          </w:p>
        </w:tc>
      </w:tr>
      <w:tr w14:paraId="052F7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1E0E4983">
            <w:pPr>
              <w:adjustRightInd w:val="0"/>
              <w:snapToGrid w:val="0"/>
              <w:jc w:val="center"/>
              <w:rPr>
                <w:sz w:val="24"/>
              </w:rPr>
            </w:pPr>
            <w:r>
              <w:rPr>
                <w:sz w:val="24"/>
              </w:rPr>
              <w:t>环保投资占比（%）</w:t>
            </w:r>
          </w:p>
        </w:tc>
        <w:tc>
          <w:tcPr>
            <w:tcW w:w="2895" w:type="dxa"/>
            <w:vAlign w:val="center"/>
          </w:tcPr>
          <w:p w14:paraId="225E722C">
            <w:pPr>
              <w:adjustRightInd w:val="0"/>
              <w:snapToGrid w:val="0"/>
              <w:jc w:val="center"/>
              <w:rPr>
                <w:sz w:val="24"/>
              </w:rPr>
            </w:pPr>
            <w:r>
              <w:rPr>
                <w:rFonts w:hint="eastAsia"/>
                <w:sz w:val="24"/>
              </w:rPr>
              <w:t>6.2</w:t>
            </w:r>
          </w:p>
        </w:tc>
        <w:tc>
          <w:tcPr>
            <w:tcW w:w="2212" w:type="dxa"/>
            <w:tcMar>
              <w:top w:w="16" w:type="dxa"/>
              <w:left w:w="16" w:type="dxa"/>
              <w:right w:w="16" w:type="dxa"/>
            </w:tcMar>
            <w:vAlign w:val="center"/>
          </w:tcPr>
          <w:p w14:paraId="37B5C1AB">
            <w:pPr>
              <w:adjustRightInd w:val="0"/>
              <w:snapToGrid w:val="0"/>
              <w:jc w:val="center"/>
              <w:rPr>
                <w:sz w:val="24"/>
              </w:rPr>
            </w:pPr>
            <w:r>
              <w:rPr>
                <w:sz w:val="24"/>
              </w:rPr>
              <w:t>施工工期</w:t>
            </w:r>
          </w:p>
        </w:tc>
        <w:tc>
          <w:tcPr>
            <w:tcW w:w="2639" w:type="dxa"/>
            <w:vAlign w:val="center"/>
          </w:tcPr>
          <w:p w14:paraId="229CB99C">
            <w:pPr>
              <w:adjustRightInd w:val="0"/>
              <w:snapToGrid w:val="0"/>
              <w:jc w:val="center"/>
              <w:rPr>
                <w:sz w:val="24"/>
              </w:rPr>
            </w:pPr>
            <w:r>
              <w:rPr>
                <w:sz w:val="24"/>
              </w:rPr>
              <w:t>6个月</w:t>
            </w:r>
          </w:p>
        </w:tc>
      </w:tr>
      <w:tr w14:paraId="54239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14:paraId="258585F0">
            <w:pPr>
              <w:adjustRightInd w:val="0"/>
              <w:snapToGrid w:val="0"/>
              <w:jc w:val="center"/>
              <w:rPr>
                <w:sz w:val="24"/>
              </w:rPr>
            </w:pPr>
            <w:r>
              <w:rPr>
                <w:sz w:val="24"/>
              </w:rPr>
              <w:t>是否开工建设</w:t>
            </w:r>
          </w:p>
        </w:tc>
        <w:tc>
          <w:tcPr>
            <w:tcW w:w="2895" w:type="dxa"/>
            <w:vAlign w:val="center"/>
          </w:tcPr>
          <w:p w14:paraId="1157A359">
            <w:pPr>
              <w:adjustRightInd w:val="0"/>
              <w:snapToGrid w:val="0"/>
              <w:rPr>
                <w:sz w:val="24"/>
              </w:rPr>
            </w:pPr>
            <w:r>
              <w:rPr>
                <w:sz w:val="24"/>
              </w:rPr>
              <w:t>√否</w:t>
            </w:r>
          </w:p>
          <w:p w14:paraId="1A1A9593">
            <w:pPr>
              <w:adjustRightInd w:val="0"/>
              <w:snapToGrid w:val="0"/>
              <w:rPr>
                <w:sz w:val="24"/>
              </w:rPr>
            </w:pPr>
            <w:r>
              <w:rPr>
                <w:sz w:val="24"/>
              </w:rPr>
              <w:sym w:font="Wingdings 2" w:char="00A3"/>
            </w:r>
            <w:r>
              <w:rPr>
                <w:sz w:val="24"/>
              </w:rPr>
              <w:t>是：</w:t>
            </w:r>
          </w:p>
        </w:tc>
        <w:tc>
          <w:tcPr>
            <w:tcW w:w="2212" w:type="dxa"/>
            <w:tcMar>
              <w:top w:w="16" w:type="dxa"/>
              <w:left w:w="16" w:type="dxa"/>
              <w:right w:w="16" w:type="dxa"/>
            </w:tcMar>
            <w:vAlign w:val="center"/>
          </w:tcPr>
          <w:p w14:paraId="4F3E899B">
            <w:pPr>
              <w:adjustRightInd w:val="0"/>
              <w:snapToGrid w:val="0"/>
              <w:jc w:val="center"/>
              <w:rPr>
                <w:spacing w:val="-6"/>
                <w:sz w:val="24"/>
              </w:rPr>
            </w:pPr>
            <w:r>
              <w:rPr>
                <w:spacing w:val="-6"/>
                <w:sz w:val="24"/>
              </w:rPr>
              <w:t>用地（用海）面积（m</w:t>
            </w:r>
            <w:r>
              <w:rPr>
                <w:spacing w:val="-6"/>
                <w:sz w:val="24"/>
                <w:vertAlign w:val="superscript"/>
              </w:rPr>
              <w:t>2</w:t>
            </w:r>
            <w:r>
              <w:rPr>
                <w:spacing w:val="-6"/>
                <w:sz w:val="24"/>
              </w:rPr>
              <w:t>）</w:t>
            </w:r>
          </w:p>
        </w:tc>
        <w:tc>
          <w:tcPr>
            <w:tcW w:w="2639" w:type="dxa"/>
            <w:vAlign w:val="center"/>
          </w:tcPr>
          <w:p w14:paraId="6B61241F">
            <w:pPr>
              <w:adjustRightInd w:val="0"/>
              <w:snapToGrid w:val="0"/>
              <w:jc w:val="center"/>
              <w:rPr>
                <w:sz w:val="24"/>
              </w:rPr>
            </w:pPr>
            <w:r>
              <w:rPr>
                <w:rFonts w:hint="eastAsia"/>
                <w:sz w:val="24"/>
              </w:rPr>
              <w:t>2772</w:t>
            </w:r>
          </w:p>
        </w:tc>
      </w:tr>
      <w:tr w14:paraId="11F38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24" w:type="dxa"/>
            <w:vAlign w:val="center"/>
          </w:tcPr>
          <w:p w14:paraId="38E7DE38">
            <w:pPr>
              <w:autoSpaceDE w:val="0"/>
              <w:autoSpaceDN w:val="0"/>
              <w:adjustRightInd w:val="0"/>
              <w:snapToGrid w:val="0"/>
              <w:jc w:val="center"/>
              <w:rPr>
                <w:kern w:val="0"/>
                <w:sz w:val="24"/>
              </w:rPr>
            </w:pPr>
            <w:r>
              <w:rPr>
                <w:kern w:val="0"/>
                <w:sz w:val="24"/>
              </w:rPr>
              <w:t>专项评价设置情况</w:t>
            </w:r>
          </w:p>
        </w:tc>
        <w:tc>
          <w:tcPr>
            <w:tcW w:w="7746" w:type="dxa"/>
            <w:gridSpan w:val="3"/>
            <w:vAlign w:val="center"/>
          </w:tcPr>
          <w:p w14:paraId="58BB7FC3">
            <w:pPr>
              <w:spacing w:line="336" w:lineRule="auto"/>
              <w:ind w:firstLine="480" w:firstLineChars="200"/>
              <w:jc w:val="left"/>
              <w:rPr>
                <w:color w:val="auto"/>
                <w:sz w:val="24"/>
              </w:rPr>
            </w:pPr>
            <w:r>
              <w:rPr>
                <w:color w:val="auto"/>
                <w:sz w:val="24"/>
              </w:rPr>
              <w:t>设置理由：根据《建设项目环境影响报告表编制技术指南（污染影响类）（试行）》文件中表1专项评价设置原则表可知：排放废气含有毒有害污染物、二噁英、苯并[a]芘、氰化物、氯气且厂界外500米范围内有环境空气保护目标的建设项目需要编制大气专项。</w:t>
            </w:r>
          </w:p>
          <w:p w14:paraId="546F47D2">
            <w:pPr>
              <w:spacing w:line="336" w:lineRule="auto"/>
              <w:ind w:firstLine="480" w:firstLineChars="200"/>
              <w:jc w:val="left"/>
              <w:rPr>
                <w:color w:val="auto"/>
                <w:sz w:val="24"/>
              </w:rPr>
            </w:pPr>
            <w:r>
              <w:rPr>
                <w:color w:val="auto"/>
                <w:sz w:val="24"/>
              </w:rPr>
              <w:t>本项目排放废气中污染物主要为</w:t>
            </w:r>
            <w:r>
              <w:rPr>
                <w:rFonts w:hint="eastAsia"/>
                <w:color w:val="auto"/>
                <w:sz w:val="24"/>
              </w:rPr>
              <w:t>SO</w:t>
            </w:r>
            <w:r>
              <w:rPr>
                <w:rFonts w:hint="eastAsia"/>
                <w:color w:val="auto"/>
                <w:sz w:val="24"/>
                <w:vertAlign w:val="subscript"/>
              </w:rPr>
              <w:t>2</w:t>
            </w:r>
            <w:r>
              <w:rPr>
                <w:rFonts w:hint="eastAsia"/>
                <w:color w:val="auto"/>
                <w:sz w:val="24"/>
              </w:rPr>
              <w:t>、NO</w:t>
            </w:r>
            <w:r>
              <w:rPr>
                <w:rFonts w:hint="eastAsia"/>
                <w:color w:val="auto"/>
                <w:sz w:val="24"/>
                <w:vertAlign w:val="subscript"/>
              </w:rPr>
              <w:t>x</w:t>
            </w:r>
            <w:r>
              <w:rPr>
                <w:rFonts w:hint="eastAsia"/>
                <w:color w:val="auto"/>
                <w:sz w:val="24"/>
              </w:rPr>
              <w:t>、</w:t>
            </w:r>
            <w:r>
              <w:rPr>
                <w:color w:val="auto"/>
                <w:sz w:val="24"/>
              </w:rPr>
              <w:t>甲醛、非甲烷总烃</w:t>
            </w:r>
            <w:r>
              <w:rPr>
                <w:rFonts w:hint="eastAsia"/>
                <w:color w:val="auto"/>
                <w:sz w:val="24"/>
              </w:rPr>
              <w:t>、臭气浓度、氨</w:t>
            </w:r>
            <w:r>
              <w:rPr>
                <w:color w:val="auto"/>
                <w:sz w:val="24"/>
              </w:rPr>
              <w:t>和颗粒物，甲醛属于《有毒有害大气污染物名录》中污染物，属于有毒有害污染物；且项目周边最近敏感目标为位于厂界</w:t>
            </w:r>
            <w:r>
              <w:rPr>
                <w:rFonts w:hint="eastAsia"/>
                <w:color w:val="auto"/>
                <w:sz w:val="24"/>
                <w:lang w:eastAsia="zh-CN"/>
              </w:rPr>
              <w:t>东北</w:t>
            </w:r>
            <w:r>
              <w:rPr>
                <w:color w:val="auto"/>
                <w:sz w:val="24"/>
              </w:rPr>
              <w:t>侧</w:t>
            </w:r>
            <w:r>
              <w:rPr>
                <w:rFonts w:hint="eastAsia"/>
                <w:color w:val="auto"/>
                <w:sz w:val="24"/>
                <w:lang w:val="en-US" w:eastAsia="zh-CN"/>
              </w:rPr>
              <w:t>88</w:t>
            </w:r>
            <w:r>
              <w:rPr>
                <w:color w:val="auto"/>
                <w:sz w:val="24"/>
              </w:rPr>
              <w:t>米的</w:t>
            </w:r>
            <w:r>
              <w:rPr>
                <w:rFonts w:hint="eastAsia"/>
                <w:color w:val="auto"/>
                <w:sz w:val="24"/>
                <w:lang w:eastAsia="zh-CN"/>
              </w:rPr>
              <w:t>烛店庄</w:t>
            </w:r>
            <w:r>
              <w:rPr>
                <w:color w:val="auto"/>
                <w:kern w:val="0"/>
                <w:sz w:val="24"/>
              </w:rPr>
              <w:t>，在厂界外500米范围内。故本项目需编制大气专项。</w:t>
            </w:r>
          </w:p>
        </w:tc>
      </w:tr>
      <w:tr w14:paraId="325B0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24" w:type="dxa"/>
            <w:vAlign w:val="center"/>
          </w:tcPr>
          <w:p w14:paraId="62B81572">
            <w:pPr>
              <w:adjustRightInd w:val="0"/>
              <w:snapToGrid w:val="0"/>
              <w:jc w:val="center"/>
              <w:rPr>
                <w:sz w:val="24"/>
              </w:rPr>
            </w:pPr>
            <w:r>
              <w:rPr>
                <w:sz w:val="24"/>
              </w:rPr>
              <w:br w:type="page"/>
            </w:r>
            <w:r>
              <w:rPr>
                <w:sz w:val="24"/>
              </w:rPr>
              <w:t>规划情况</w:t>
            </w:r>
          </w:p>
        </w:tc>
        <w:tc>
          <w:tcPr>
            <w:tcW w:w="7746" w:type="dxa"/>
            <w:gridSpan w:val="3"/>
            <w:vAlign w:val="center"/>
          </w:tcPr>
          <w:p w14:paraId="1AA7E5CA">
            <w:pPr>
              <w:autoSpaceDE w:val="0"/>
              <w:autoSpaceDN w:val="0"/>
              <w:adjustRightInd w:val="0"/>
              <w:snapToGrid w:val="0"/>
              <w:spacing w:line="360" w:lineRule="auto"/>
              <w:rPr>
                <w:rFonts w:hint="eastAsia"/>
                <w:color w:val="auto"/>
                <w:sz w:val="24"/>
                <w:lang w:eastAsia="zh-CN"/>
              </w:rPr>
            </w:pPr>
            <w:r>
              <w:rPr>
                <w:rFonts w:hint="eastAsia"/>
                <w:color w:val="auto"/>
                <w:sz w:val="24"/>
                <w:lang w:val="en-US" w:eastAsia="zh-CN"/>
              </w:rPr>
              <w:t>1.</w:t>
            </w:r>
            <w:r>
              <w:rPr>
                <w:color w:val="auto"/>
                <w:sz w:val="24"/>
              </w:rPr>
              <w:t>规划文件名称</w:t>
            </w:r>
            <w:r>
              <w:rPr>
                <w:rFonts w:hint="eastAsia"/>
                <w:color w:val="auto"/>
                <w:sz w:val="24"/>
              </w:rPr>
              <w:t>：</w:t>
            </w:r>
            <w:r>
              <w:rPr>
                <w:rFonts w:hint="eastAsia"/>
                <w:color w:val="auto"/>
                <w:sz w:val="24"/>
                <w:lang w:eastAsia="zh-CN"/>
              </w:rPr>
              <w:t>《淮安市国土空间总体规划》（</w:t>
            </w:r>
            <w:r>
              <w:rPr>
                <w:rFonts w:hint="eastAsia"/>
                <w:color w:val="auto"/>
                <w:sz w:val="24"/>
                <w:lang w:val="en-US" w:eastAsia="zh-CN"/>
              </w:rPr>
              <w:t>2021-2035</w:t>
            </w:r>
            <w:r>
              <w:rPr>
                <w:rFonts w:hint="eastAsia"/>
                <w:color w:val="auto"/>
                <w:sz w:val="24"/>
                <w:lang w:eastAsia="zh-CN"/>
              </w:rPr>
              <w:t>）</w:t>
            </w:r>
          </w:p>
          <w:p w14:paraId="3A147BB9">
            <w:pPr>
              <w:autoSpaceDE w:val="0"/>
              <w:autoSpaceDN w:val="0"/>
              <w:adjustRightInd w:val="0"/>
              <w:snapToGrid w:val="0"/>
              <w:spacing w:line="360" w:lineRule="auto"/>
              <w:rPr>
                <w:rFonts w:hint="eastAsia"/>
                <w:color w:val="auto"/>
                <w:sz w:val="24"/>
                <w:lang w:val="en-US" w:eastAsia="zh-CN"/>
              </w:rPr>
            </w:pPr>
            <w:r>
              <w:rPr>
                <w:rFonts w:hint="eastAsia"/>
                <w:color w:val="auto"/>
                <w:sz w:val="24"/>
                <w:lang w:val="en-US" w:eastAsia="zh-CN"/>
              </w:rPr>
              <w:t>批复机关：江苏省人民政府</w:t>
            </w:r>
          </w:p>
          <w:p w14:paraId="0E06B2AD">
            <w:pPr>
              <w:keepNext w:val="0"/>
              <w:keepLines w:val="0"/>
              <w:widowControl/>
              <w:suppressLineNumbers w:val="0"/>
              <w:jc w:val="left"/>
              <w:rPr>
                <w:rFonts w:hint="default" w:ascii="Times New Roman" w:hAnsi="Times New Roman" w:cs="Times New Roman"/>
                <w:color w:val="auto"/>
                <w:sz w:val="24"/>
                <w:lang w:val="en-US" w:eastAsia="zh-CN"/>
              </w:rPr>
            </w:pPr>
            <w:r>
              <w:rPr>
                <w:rFonts w:hint="eastAsia"/>
                <w:color w:val="auto"/>
                <w:sz w:val="24"/>
              </w:rPr>
              <w:t>批复</w:t>
            </w:r>
            <w:r>
              <w:rPr>
                <w:color w:val="auto"/>
                <w:sz w:val="24"/>
              </w:rPr>
              <w:t>文号</w:t>
            </w:r>
            <w:r>
              <w:rPr>
                <w:rFonts w:hint="eastAsia"/>
                <w:color w:val="auto"/>
                <w:sz w:val="24"/>
              </w:rPr>
              <w:t>：</w:t>
            </w:r>
            <w:r>
              <w:rPr>
                <w:rFonts w:hint="eastAsia" w:ascii="Times New Roman" w:hAnsi="Times New Roman" w:cs="Times New Roman"/>
                <w:color w:val="auto"/>
                <w:sz w:val="24"/>
                <w:lang w:val="en-US" w:eastAsia="zh-CN"/>
              </w:rPr>
              <w:t>苏政复</w:t>
            </w:r>
            <w:r>
              <w:rPr>
                <w:rFonts w:hint="eastAsia" w:cs="Times New Roman"/>
                <w:color w:val="auto"/>
                <w:sz w:val="24"/>
                <w:lang w:val="en-US" w:eastAsia="zh-CN"/>
              </w:rPr>
              <w:t>〔2023〕27号</w:t>
            </w:r>
          </w:p>
          <w:p w14:paraId="67FB37E6">
            <w:pPr>
              <w:autoSpaceDE w:val="0"/>
              <w:autoSpaceDN w:val="0"/>
              <w:adjustRightInd w:val="0"/>
              <w:snapToGrid w:val="0"/>
              <w:spacing w:line="360" w:lineRule="auto"/>
              <w:rPr>
                <w:color w:val="auto"/>
                <w:sz w:val="24"/>
              </w:rPr>
            </w:pPr>
            <w:r>
              <w:rPr>
                <w:rFonts w:hint="eastAsia"/>
                <w:color w:val="auto"/>
                <w:sz w:val="24"/>
                <w:lang w:val="en-US" w:eastAsia="zh-CN"/>
              </w:rPr>
              <w:t>2.</w:t>
            </w:r>
            <w:r>
              <w:rPr>
                <w:color w:val="auto"/>
                <w:sz w:val="24"/>
              </w:rPr>
              <w:t>规划文件名称</w:t>
            </w:r>
            <w:r>
              <w:rPr>
                <w:rFonts w:hint="eastAsia"/>
                <w:color w:val="auto"/>
                <w:sz w:val="24"/>
              </w:rPr>
              <w:t>：</w:t>
            </w:r>
            <w:r>
              <w:rPr>
                <w:color w:val="auto"/>
                <w:sz w:val="24"/>
              </w:rPr>
              <w:t>《涟水县城市总体规划》（2013—2030）</w:t>
            </w:r>
          </w:p>
          <w:p w14:paraId="5C8CA10D">
            <w:pPr>
              <w:autoSpaceDE w:val="0"/>
              <w:autoSpaceDN w:val="0"/>
              <w:adjustRightInd w:val="0"/>
              <w:snapToGrid w:val="0"/>
              <w:spacing w:line="360" w:lineRule="auto"/>
              <w:rPr>
                <w:color w:val="auto"/>
                <w:sz w:val="24"/>
              </w:rPr>
            </w:pPr>
            <w:r>
              <w:rPr>
                <w:rFonts w:hint="eastAsia"/>
                <w:color w:val="auto"/>
                <w:sz w:val="24"/>
              </w:rPr>
              <w:t>批复</w:t>
            </w:r>
            <w:r>
              <w:rPr>
                <w:color w:val="auto"/>
                <w:sz w:val="24"/>
              </w:rPr>
              <w:t>机关</w:t>
            </w:r>
            <w:r>
              <w:rPr>
                <w:rFonts w:hint="eastAsia"/>
                <w:color w:val="auto"/>
                <w:sz w:val="24"/>
              </w:rPr>
              <w:t>：</w:t>
            </w:r>
            <w:r>
              <w:rPr>
                <w:color w:val="auto"/>
                <w:sz w:val="24"/>
              </w:rPr>
              <w:t>淮安市人民政府</w:t>
            </w:r>
          </w:p>
          <w:p w14:paraId="4293E3A0">
            <w:pPr>
              <w:autoSpaceDE w:val="0"/>
              <w:autoSpaceDN w:val="0"/>
              <w:adjustRightInd w:val="0"/>
              <w:snapToGrid w:val="0"/>
              <w:spacing w:line="360" w:lineRule="auto"/>
              <w:rPr>
                <w:rFonts w:hint="default" w:ascii="Times New Roman" w:hAnsi="Times New Roman" w:cs="Times New Roman"/>
                <w:color w:val="auto"/>
                <w:sz w:val="24"/>
                <w:lang w:val="en-US" w:eastAsia="zh-CN"/>
              </w:rPr>
            </w:pPr>
            <w:r>
              <w:rPr>
                <w:rFonts w:hint="eastAsia"/>
                <w:color w:val="auto"/>
                <w:sz w:val="24"/>
              </w:rPr>
              <w:t>批复</w:t>
            </w:r>
            <w:r>
              <w:rPr>
                <w:color w:val="auto"/>
                <w:sz w:val="24"/>
              </w:rPr>
              <w:t>文号</w:t>
            </w:r>
            <w:r>
              <w:rPr>
                <w:rFonts w:hint="eastAsia"/>
                <w:color w:val="auto"/>
                <w:sz w:val="24"/>
              </w:rPr>
              <w:t>：</w:t>
            </w:r>
            <w:r>
              <w:rPr>
                <w:color w:val="auto"/>
                <w:sz w:val="24"/>
              </w:rPr>
              <w:t>淮安市政府（淮政复</w:t>
            </w:r>
            <w:r>
              <w:rPr>
                <w:rFonts w:hint="eastAsia"/>
                <w:color w:val="auto"/>
                <w:sz w:val="24"/>
                <w:lang w:eastAsia="zh-CN"/>
              </w:rPr>
              <w:t>〔2016〕15号</w:t>
            </w:r>
            <w:r>
              <w:rPr>
                <w:color w:val="auto"/>
                <w:sz w:val="24"/>
              </w:rPr>
              <w:t>文）</w:t>
            </w:r>
          </w:p>
        </w:tc>
      </w:tr>
      <w:tr w14:paraId="19304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24" w:type="dxa"/>
            <w:vAlign w:val="center"/>
          </w:tcPr>
          <w:p w14:paraId="61AA5654">
            <w:pPr>
              <w:adjustRightInd w:val="0"/>
              <w:snapToGrid w:val="0"/>
              <w:jc w:val="center"/>
              <w:rPr>
                <w:sz w:val="24"/>
              </w:rPr>
            </w:pPr>
            <w:r>
              <w:rPr>
                <w:sz w:val="24"/>
              </w:rPr>
              <w:t>规划环境影响评价情况</w:t>
            </w:r>
          </w:p>
        </w:tc>
        <w:tc>
          <w:tcPr>
            <w:tcW w:w="7746" w:type="dxa"/>
            <w:gridSpan w:val="3"/>
            <w:vAlign w:val="center"/>
          </w:tcPr>
          <w:p w14:paraId="38A6C99A">
            <w:pPr>
              <w:autoSpaceDE w:val="0"/>
              <w:autoSpaceDN w:val="0"/>
              <w:adjustRightInd w:val="0"/>
              <w:snapToGrid w:val="0"/>
              <w:jc w:val="center"/>
              <w:rPr>
                <w:sz w:val="24"/>
              </w:rPr>
            </w:pPr>
            <w:r>
              <w:rPr>
                <w:kern w:val="0"/>
                <w:sz w:val="24"/>
              </w:rPr>
              <w:t>无</w:t>
            </w:r>
          </w:p>
        </w:tc>
      </w:tr>
      <w:tr w14:paraId="65E4E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14:paraId="2A5CF0FB">
            <w:pPr>
              <w:autoSpaceDE w:val="0"/>
              <w:autoSpaceDN w:val="0"/>
              <w:adjustRightInd w:val="0"/>
              <w:snapToGrid w:val="0"/>
              <w:jc w:val="center"/>
              <w:rPr>
                <w:kern w:val="0"/>
                <w:sz w:val="24"/>
              </w:rPr>
            </w:pPr>
            <w:r>
              <w:rPr>
                <w:kern w:val="0"/>
                <w:sz w:val="24"/>
              </w:rPr>
              <w:t>规划及规划环境影响评价符合性分析</w:t>
            </w:r>
          </w:p>
        </w:tc>
        <w:tc>
          <w:tcPr>
            <w:tcW w:w="7746" w:type="dxa"/>
            <w:gridSpan w:val="3"/>
            <w:vAlign w:val="center"/>
          </w:tcPr>
          <w:p w14:paraId="29C098D6">
            <w:pPr>
              <w:adjustRightInd w:val="0"/>
              <w:snapToGrid w:val="0"/>
              <w:spacing w:line="360" w:lineRule="auto"/>
              <w:ind w:firstLine="480"/>
              <w:rPr>
                <w:sz w:val="24"/>
              </w:rPr>
            </w:pPr>
            <w:r>
              <w:rPr>
                <w:sz w:val="24"/>
              </w:rPr>
              <w:t>项目位于涟水县</w:t>
            </w:r>
            <w:r>
              <w:rPr>
                <w:rFonts w:hint="eastAsia"/>
                <w:sz w:val="24"/>
              </w:rPr>
              <w:t>高沟</w:t>
            </w:r>
            <w:r>
              <w:rPr>
                <w:sz w:val="24"/>
              </w:rPr>
              <w:t>镇</w:t>
            </w:r>
            <w:r>
              <w:rPr>
                <w:rFonts w:hint="eastAsia"/>
                <w:sz w:val="24"/>
              </w:rPr>
              <w:t>高秀</w:t>
            </w:r>
            <w:r>
              <w:rPr>
                <w:sz w:val="24"/>
              </w:rPr>
              <w:t>工业集中区，本项目所在地块属于工业用地，不属于《江苏省限制用地项目目录（2013年本）</w:t>
            </w:r>
            <w:r>
              <w:rPr>
                <w:rFonts w:hint="eastAsia"/>
                <w:sz w:val="24"/>
                <w:lang w:eastAsia="zh-CN"/>
              </w:rPr>
              <w:t>》《</w:t>
            </w:r>
            <w:r>
              <w:rPr>
                <w:sz w:val="24"/>
              </w:rPr>
              <w:t>江苏省禁止用地项目目录（2013年本）》中限制或禁止用地项目，符合工业园区土地利用总体规划要求。</w:t>
            </w:r>
          </w:p>
          <w:p w14:paraId="13F4741C">
            <w:pPr>
              <w:adjustRightInd w:val="0"/>
              <w:snapToGrid w:val="0"/>
              <w:spacing w:line="360" w:lineRule="auto"/>
              <w:ind w:firstLine="480"/>
              <w:rPr>
                <w:rFonts w:hint="eastAsia"/>
                <w:color w:val="auto"/>
                <w:sz w:val="24"/>
              </w:rPr>
            </w:pPr>
            <w:r>
              <w:rPr>
                <w:rFonts w:hint="eastAsia"/>
                <w:color w:val="auto"/>
                <w:sz w:val="24"/>
                <w:lang w:val="en-US" w:eastAsia="zh-CN"/>
              </w:rPr>
              <w:t>一.</w:t>
            </w:r>
            <w:r>
              <w:rPr>
                <w:rFonts w:hint="eastAsia"/>
                <w:color w:val="auto"/>
                <w:sz w:val="24"/>
                <w:lang w:eastAsia="zh-CN"/>
              </w:rPr>
              <w:t>《淮安市国土空间总体规划》</w:t>
            </w:r>
            <w:r>
              <w:rPr>
                <w:color w:val="auto"/>
                <w:sz w:val="24"/>
              </w:rPr>
              <w:t>中相关内容如下</w:t>
            </w:r>
            <w:r>
              <w:rPr>
                <w:rFonts w:hint="eastAsia"/>
                <w:color w:val="auto"/>
                <w:sz w:val="24"/>
              </w:rPr>
              <w:t>：</w:t>
            </w:r>
          </w:p>
          <w:p w14:paraId="67D4DC93">
            <w:pPr>
              <w:adjustRightInd w:val="0"/>
              <w:snapToGrid w:val="0"/>
              <w:spacing w:line="360" w:lineRule="auto"/>
              <w:ind w:firstLine="480"/>
              <w:rPr>
                <w:color w:val="auto"/>
                <w:sz w:val="24"/>
              </w:rPr>
            </w:pPr>
            <w:r>
              <w:rPr>
                <w:color w:val="auto"/>
                <w:sz w:val="24"/>
                <w:lang w:val="en-US" w:eastAsia="zh-CN"/>
              </w:rPr>
              <w:t>第6条规划原则</w:t>
            </w:r>
          </w:p>
          <w:p w14:paraId="2AEC2DD1">
            <w:pPr>
              <w:adjustRightInd w:val="0"/>
              <w:snapToGrid w:val="0"/>
              <w:spacing w:line="360" w:lineRule="auto"/>
              <w:ind w:firstLine="480"/>
              <w:rPr>
                <w:color w:val="auto"/>
                <w:sz w:val="24"/>
              </w:rPr>
            </w:pPr>
            <w:r>
              <w:rPr>
                <w:color w:val="auto"/>
                <w:sz w:val="24"/>
                <w:lang w:val="en-US" w:eastAsia="zh-CN"/>
              </w:rPr>
              <w:t>1、底线管控、生态优先：全面落实生态文明建设要求，划定落实“三条控制线”，严控粮食安全、生态安全、国土安全和历史文化保护底线，推动形成人与自然和谐共生的新格局，坚持生态优先，推动绿色高质量发展，统筹“山水林田湖草”生命共同体与城乡建设。</w:t>
            </w:r>
          </w:p>
          <w:p w14:paraId="69A86BCD">
            <w:pPr>
              <w:adjustRightInd w:val="0"/>
              <w:snapToGrid w:val="0"/>
              <w:spacing w:line="360" w:lineRule="auto"/>
              <w:ind w:firstLine="480"/>
              <w:rPr>
                <w:color w:val="auto"/>
                <w:sz w:val="24"/>
              </w:rPr>
            </w:pPr>
            <w:r>
              <w:rPr>
                <w:color w:val="auto"/>
                <w:sz w:val="24"/>
                <w:lang w:val="en-US" w:eastAsia="zh-CN"/>
              </w:rPr>
              <w:t>2、全域统筹、城乡融合：统筹优化城乡、区域国土空间，实现国土空间全域覆盖、全要素管控。坚持城乡融合发展，实施乡村振兴战略，推进城乡基本公共服务和基础设施服务均等化，促进城乡要素合理流动。</w:t>
            </w:r>
          </w:p>
          <w:p w14:paraId="1A36BA5B">
            <w:pPr>
              <w:adjustRightInd w:val="0"/>
              <w:snapToGrid w:val="0"/>
              <w:spacing w:line="360" w:lineRule="auto"/>
              <w:ind w:firstLine="480"/>
              <w:rPr>
                <w:color w:val="auto"/>
                <w:sz w:val="24"/>
              </w:rPr>
            </w:pPr>
            <w:r>
              <w:rPr>
                <w:color w:val="auto"/>
                <w:sz w:val="24"/>
                <w:lang w:val="en-US" w:eastAsia="zh-CN"/>
              </w:rPr>
              <w:t>3、以人为本、提升品质：坚持以人民为中心，保护自然山水格局，优化城乡空间，提升基础设施和公共服务设施水平，传承历史文脉，提升人居环境品质，保障高质量发展。建设宜居、宜业、宜游、宜学、宜养的社区生活圈，不断提升城乡居民的</w:t>
            </w:r>
            <w:r>
              <w:rPr>
                <w:rFonts w:hint="eastAsia"/>
                <w:color w:val="auto"/>
                <w:sz w:val="24"/>
                <w:lang w:val="en-US" w:eastAsia="zh-CN"/>
              </w:rPr>
              <w:t>获得感、幸福感、安全感</w:t>
            </w:r>
            <w:r>
              <w:rPr>
                <w:color w:val="auto"/>
                <w:sz w:val="24"/>
                <w:lang w:val="en-US" w:eastAsia="zh-CN"/>
              </w:rPr>
              <w:t>。</w:t>
            </w:r>
          </w:p>
          <w:p w14:paraId="14300A4C">
            <w:pPr>
              <w:adjustRightInd w:val="0"/>
              <w:snapToGrid w:val="0"/>
              <w:spacing w:line="360" w:lineRule="auto"/>
              <w:ind w:firstLine="480"/>
              <w:rPr>
                <w:color w:val="auto"/>
                <w:sz w:val="24"/>
              </w:rPr>
            </w:pPr>
            <w:r>
              <w:rPr>
                <w:color w:val="auto"/>
                <w:sz w:val="24"/>
                <w:lang w:val="en-US" w:eastAsia="zh-CN"/>
              </w:rPr>
              <w:t>4、节约集约、增存并举：落实节约集约发展要求，严格控制开发强度，合理确定城市规模，提升国土空间开发保护效率。鼓励绿色低碳发展，推动形成绿色生产生活方式。</w:t>
            </w:r>
          </w:p>
          <w:p w14:paraId="06B3A9C8">
            <w:pPr>
              <w:adjustRightInd w:val="0"/>
              <w:snapToGrid w:val="0"/>
              <w:spacing w:line="360" w:lineRule="auto"/>
              <w:ind w:firstLine="480"/>
              <w:rPr>
                <w:color w:val="auto"/>
                <w:sz w:val="24"/>
              </w:rPr>
            </w:pPr>
            <w:r>
              <w:rPr>
                <w:color w:val="auto"/>
                <w:sz w:val="24"/>
                <w:lang w:val="en-US" w:eastAsia="zh-CN"/>
              </w:rPr>
              <w:t>第46条市域城镇体系</w:t>
            </w:r>
          </w:p>
          <w:p w14:paraId="754D6FF2">
            <w:pPr>
              <w:adjustRightInd w:val="0"/>
              <w:snapToGrid w:val="0"/>
              <w:spacing w:line="360" w:lineRule="auto"/>
              <w:ind w:firstLine="480"/>
              <w:rPr>
                <w:color w:val="auto"/>
                <w:sz w:val="24"/>
              </w:rPr>
            </w:pPr>
            <w:r>
              <w:rPr>
                <w:color w:val="auto"/>
                <w:sz w:val="24"/>
                <w:lang w:val="en-US" w:eastAsia="zh-CN"/>
              </w:rPr>
              <w:t xml:space="preserve">落实国土空间开发保护战略，引导淮安全域功能优化，加强县域经济空间支撑，促进县区差异化、特色化发展。衔接“中心城区—县城—重点镇—一般镇”结构，引导全市城镇体系从“1—3—10—47”向“1—2—10—20”优化，形成“极核引领、组团协同、多点支撑”的城镇结构。 </w:t>
            </w:r>
          </w:p>
          <w:p w14:paraId="5E5F0D8D">
            <w:pPr>
              <w:adjustRightInd w:val="0"/>
              <w:snapToGrid w:val="0"/>
              <w:spacing w:line="360" w:lineRule="auto"/>
              <w:ind w:firstLine="480"/>
              <w:rPr>
                <w:color w:val="auto"/>
                <w:sz w:val="24"/>
              </w:rPr>
            </w:pPr>
            <w:r>
              <w:rPr>
                <w:color w:val="auto"/>
                <w:sz w:val="24"/>
                <w:lang w:val="en-US" w:eastAsia="zh-CN"/>
              </w:rPr>
              <w:t>“1”是指淮安都市区。包含淮安中心城区和涟水县城，是未来淮安发展的核心，坚持集中集约，形成枢纽能级更高、辐射带动能力更强的城市发展</w:t>
            </w:r>
            <w:r>
              <w:rPr>
                <w:rFonts w:hint="eastAsia"/>
                <w:color w:val="auto"/>
                <w:sz w:val="24"/>
                <w:lang w:val="en-US" w:eastAsia="zh-CN"/>
              </w:rPr>
              <w:t>核心</w:t>
            </w:r>
            <w:r>
              <w:rPr>
                <w:color w:val="auto"/>
                <w:sz w:val="24"/>
                <w:lang w:val="en-US" w:eastAsia="zh-CN"/>
              </w:rPr>
              <w:t>。“2”是指盱眙、金湖两个县城。“10”是指10个重点中心镇，是城镇体系中的重点镇。“20”是指20个片区中心镇。另有27 个城镇型社区，片区中心镇和城镇型社区共同构成城镇体系中的一般镇。</w:t>
            </w:r>
          </w:p>
          <w:p w14:paraId="1D07F436">
            <w:pPr>
              <w:adjustRightInd w:val="0"/>
              <w:snapToGrid w:val="0"/>
              <w:spacing w:line="360" w:lineRule="auto"/>
              <w:ind w:firstLine="480"/>
              <w:rPr>
                <w:color w:val="auto"/>
                <w:sz w:val="24"/>
              </w:rPr>
            </w:pPr>
            <w:r>
              <w:rPr>
                <w:color w:val="auto"/>
                <w:sz w:val="24"/>
                <w:lang w:val="en-US" w:eastAsia="zh-CN"/>
              </w:rPr>
              <w:t>第 49 条 重点镇发展指引</w:t>
            </w:r>
          </w:p>
          <w:p w14:paraId="4F930B41">
            <w:pPr>
              <w:adjustRightInd w:val="0"/>
              <w:snapToGrid w:val="0"/>
              <w:spacing w:line="360" w:lineRule="auto"/>
              <w:ind w:firstLine="480"/>
              <w:rPr>
                <w:color w:val="auto"/>
                <w:sz w:val="24"/>
              </w:rPr>
            </w:pPr>
            <w:r>
              <w:rPr>
                <w:color w:val="auto"/>
                <w:sz w:val="24"/>
                <w:lang w:val="en-US" w:eastAsia="zh-CN"/>
              </w:rPr>
              <w:t>以重点镇作为就地就近城镇化的重要载体，承担集聚人口、综合服务、辐射带动的功能。钦工、施河、渔沟、徐溜、红窑、高沟、岔河、黄花塘、马坝和银涂 10 个重点中心镇进一步完善城镇职能，加快产业发展，提高公共服务供给能力和基础设施配套水平，增强对周边一般镇和乡村地区的辐射带动能力。</w:t>
            </w:r>
          </w:p>
          <w:p w14:paraId="7691D810">
            <w:pPr>
              <w:adjustRightInd w:val="0"/>
              <w:snapToGrid w:val="0"/>
              <w:spacing w:line="360" w:lineRule="auto"/>
              <w:ind w:firstLine="480"/>
              <w:rPr>
                <w:color w:val="auto"/>
                <w:sz w:val="24"/>
              </w:rPr>
            </w:pPr>
            <w:r>
              <w:rPr>
                <w:color w:val="auto"/>
                <w:sz w:val="24"/>
                <w:lang w:val="en-US" w:eastAsia="zh-CN"/>
              </w:rPr>
              <w:t xml:space="preserve">第60条 引导工业用地控制线划定 </w:t>
            </w:r>
          </w:p>
          <w:p w14:paraId="63F06485">
            <w:pPr>
              <w:adjustRightInd w:val="0"/>
              <w:snapToGrid w:val="0"/>
              <w:spacing w:line="360" w:lineRule="auto"/>
              <w:ind w:firstLine="480"/>
              <w:rPr>
                <w:color w:val="auto"/>
                <w:sz w:val="24"/>
              </w:rPr>
            </w:pPr>
            <w:r>
              <w:rPr>
                <w:color w:val="auto"/>
                <w:sz w:val="24"/>
                <w:lang w:val="en-US" w:eastAsia="zh-CN"/>
              </w:rPr>
              <w:t xml:space="preserve">引导划定全市工业用地控制线，促进工业用地集中集聚、提质增效、增存并举。优先保障重大平台工业用地控制线，引导工业用地空间指标优先向重大园区平台和高新技术产业项目投放；提高存量产业用地的利用效率和产出效益，通过加快实施增容技改、闲置扩能、退二优二和混合利用等路径，推动产业空间精细化利用。结合工业用地控制线划定，完善规划建设、土地利用等配套措施，稳定全市工业空间“基本盘”。 </w:t>
            </w:r>
          </w:p>
          <w:p w14:paraId="7C2951F5">
            <w:pPr>
              <w:adjustRightInd w:val="0"/>
              <w:snapToGrid w:val="0"/>
              <w:spacing w:line="360" w:lineRule="auto"/>
              <w:ind w:firstLine="480"/>
              <w:rPr>
                <w:color w:val="FF0000"/>
                <w:sz w:val="24"/>
              </w:rPr>
            </w:pPr>
            <w:r>
              <w:rPr>
                <w:color w:val="auto"/>
                <w:sz w:val="24"/>
              </w:rPr>
              <w:t>本项目位于涟水县</w:t>
            </w:r>
            <w:r>
              <w:rPr>
                <w:rFonts w:hint="eastAsia"/>
                <w:color w:val="auto"/>
                <w:sz w:val="24"/>
              </w:rPr>
              <w:t>高沟</w:t>
            </w:r>
            <w:r>
              <w:rPr>
                <w:color w:val="auto"/>
                <w:sz w:val="24"/>
              </w:rPr>
              <w:t>镇</w:t>
            </w:r>
            <w:r>
              <w:rPr>
                <w:rFonts w:hint="eastAsia"/>
                <w:color w:val="auto"/>
                <w:sz w:val="24"/>
              </w:rPr>
              <w:t>高秀</w:t>
            </w:r>
            <w:r>
              <w:rPr>
                <w:color w:val="auto"/>
                <w:sz w:val="24"/>
              </w:rPr>
              <w:t>工业集中区</w:t>
            </w:r>
            <w:r>
              <w:rPr>
                <w:rFonts w:hint="eastAsia"/>
                <w:color w:val="auto"/>
                <w:sz w:val="24"/>
              </w:rPr>
              <w:t>，</w:t>
            </w:r>
            <w:r>
              <w:rPr>
                <w:color w:val="auto"/>
                <w:sz w:val="24"/>
              </w:rPr>
              <w:t>该地块地理位置优越，交通便利，具有良好的投资和发展前景。</w:t>
            </w:r>
            <w:r>
              <w:rPr>
                <w:rFonts w:hint="eastAsia"/>
                <w:color w:val="auto"/>
                <w:sz w:val="24"/>
              </w:rPr>
              <w:t>本项目符合</w:t>
            </w:r>
            <w:r>
              <w:rPr>
                <w:color w:val="auto"/>
                <w:sz w:val="24"/>
              </w:rPr>
              <w:t>《</w:t>
            </w:r>
            <w:r>
              <w:rPr>
                <w:rFonts w:hint="eastAsia"/>
                <w:color w:val="auto"/>
                <w:sz w:val="24"/>
                <w:lang w:eastAsia="zh-CN"/>
              </w:rPr>
              <w:t>淮安市国土空间总体规划</w:t>
            </w:r>
            <w:r>
              <w:rPr>
                <w:color w:val="auto"/>
                <w:sz w:val="24"/>
              </w:rPr>
              <w:t>》（20</w:t>
            </w:r>
            <w:r>
              <w:rPr>
                <w:rFonts w:hint="eastAsia"/>
                <w:color w:val="auto"/>
                <w:sz w:val="24"/>
                <w:lang w:val="en-US" w:eastAsia="zh-CN"/>
              </w:rPr>
              <w:t>21</w:t>
            </w:r>
            <w:r>
              <w:rPr>
                <w:color w:val="auto"/>
                <w:sz w:val="24"/>
              </w:rPr>
              <w:t>—203</w:t>
            </w:r>
            <w:r>
              <w:rPr>
                <w:rFonts w:hint="eastAsia"/>
                <w:color w:val="auto"/>
                <w:sz w:val="24"/>
                <w:lang w:val="en-US" w:eastAsia="zh-CN"/>
              </w:rPr>
              <w:t>5</w:t>
            </w:r>
            <w:r>
              <w:rPr>
                <w:color w:val="auto"/>
                <w:sz w:val="24"/>
              </w:rPr>
              <w:t>）中</w:t>
            </w:r>
            <w:r>
              <w:rPr>
                <w:rFonts w:hint="eastAsia"/>
                <w:color w:val="auto"/>
                <w:sz w:val="24"/>
              </w:rPr>
              <w:t>高沟</w:t>
            </w:r>
            <w:r>
              <w:rPr>
                <w:color w:val="auto"/>
                <w:sz w:val="24"/>
              </w:rPr>
              <w:t>镇的职能定位和产业发展策略</w:t>
            </w:r>
            <w:r>
              <w:rPr>
                <w:rFonts w:hint="eastAsia"/>
                <w:color w:val="auto"/>
                <w:sz w:val="24"/>
              </w:rPr>
              <w:t>。</w:t>
            </w:r>
          </w:p>
          <w:p w14:paraId="0684A16D">
            <w:pPr>
              <w:adjustRightInd w:val="0"/>
              <w:snapToGrid w:val="0"/>
              <w:spacing w:line="360" w:lineRule="auto"/>
              <w:ind w:firstLine="480"/>
              <w:rPr>
                <w:sz w:val="24"/>
              </w:rPr>
            </w:pPr>
            <w:r>
              <w:rPr>
                <w:rFonts w:hint="eastAsia"/>
                <w:sz w:val="24"/>
                <w:lang w:eastAsia="zh-CN"/>
              </w:rPr>
              <w:t>二</w:t>
            </w:r>
            <w:r>
              <w:rPr>
                <w:rFonts w:hint="eastAsia"/>
                <w:sz w:val="24"/>
                <w:lang w:val="en-US" w:eastAsia="zh-CN"/>
              </w:rPr>
              <w:t>.</w:t>
            </w:r>
            <w:r>
              <w:rPr>
                <w:sz w:val="24"/>
              </w:rPr>
              <w:t>《涟水县城市总体规划》（2013—2030）中相关内容如下</w:t>
            </w:r>
            <w:r>
              <w:rPr>
                <w:rFonts w:hint="eastAsia"/>
                <w:sz w:val="24"/>
              </w:rPr>
              <w:t>：</w:t>
            </w:r>
          </w:p>
          <w:p w14:paraId="09B87746">
            <w:pPr>
              <w:adjustRightInd w:val="0"/>
              <w:snapToGrid w:val="0"/>
              <w:spacing w:line="360" w:lineRule="auto"/>
              <w:ind w:firstLine="480"/>
              <w:rPr>
                <w:sz w:val="24"/>
              </w:rPr>
            </w:pPr>
            <w:r>
              <w:rPr>
                <w:sz w:val="24"/>
              </w:rPr>
              <w:t>1、第十八条城</w:t>
            </w:r>
            <w:r>
              <w:rPr>
                <w:rFonts w:hint="eastAsia"/>
                <w:sz w:val="24"/>
              </w:rPr>
              <w:t>镇</w:t>
            </w:r>
            <w:r>
              <w:rPr>
                <w:sz w:val="24"/>
              </w:rPr>
              <w:t>职能结构，</w:t>
            </w:r>
            <w:r>
              <w:rPr>
                <w:rFonts w:hint="eastAsia"/>
                <w:sz w:val="24"/>
              </w:rPr>
              <w:t>综合</w:t>
            </w:r>
            <w:r>
              <w:rPr>
                <w:sz w:val="24"/>
              </w:rPr>
              <w:t>型：包括</w:t>
            </w:r>
            <w:r>
              <w:rPr>
                <w:rFonts w:hint="eastAsia"/>
                <w:sz w:val="24"/>
              </w:rPr>
              <w:t>中心城区、高沟、红窑、五港、梁岔、黄营6个</w:t>
            </w:r>
            <w:r>
              <w:rPr>
                <w:rFonts w:hint="eastAsia"/>
                <w:sz w:val="24"/>
                <w:lang w:eastAsia="zh-CN"/>
              </w:rPr>
              <w:t>综合型</w:t>
            </w:r>
            <w:r>
              <w:rPr>
                <w:rFonts w:hint="eastAsia"/>
                <w:sz w:val="24"/>
              </w:rPr>
              <w:t>城镇。其中涟水县城是全县政治、经济、文化和商贸中心；高沟、红窑、五港、梁岔、黄营5个重点镇，综合发展工业、农业和商贸，成为服务周边城镇的县域次中心，并形成各具特色的产业集群</w:t>
            </w:r>
            <w:r>
              <w:rPr>
                <w:sz w:val="24"/>
              </w:rPr>
              <w:t>。</w:t>
            </w:r>
          </w:p>
          <w:p w14:paraId="56C59525">
            <w:pPr>
              <w:adjustRightInd w:val="0"/>
              <w:snapToGrid w:val="0"/>
              <w:spacing w:line="360" w:lineRule="auto"/>
              <w:ind w:firstLine="480"/>
              <w:rPr>
                <w:sz w:val="24"/>
              </w:rPr>
            </w:pPr>
            <w:r>
              <w:rPr>
                <w:sz w:val="24"/>
              </w:rPr>
              <w:t>2、产业发展策略：加强技术革新力度，培育高产优质高效农业；产业转移与工农互动相结合，构筑</w:t>
            </w:r>
            <w:r>
              <w:rPr>
                <w:rFonts w:hint="eastAsia"/>
                <w:sz w:val="24"/>
                <w:lang w:eastAsia="zh-CN"/>
              </w:rPr>
              <w:t>现代化产业体系</w:t>
            </w:r>
            <w:r>
              <w:rPr>
                <w:sz w:val="24"/>
              </w:rPr>
              <w:t>；发挥交通枢纽地位，发展现代物流业；做大中心城区，提升县城服务业水平；构建内生与外生相结合、大型企业与中小企业相结合、核心园区与乡镇集中区相结合的多维产业发展机制。</w:t>
            </w:r>
          </w:p>
          <w:p w14:paraId="58EDD0AA">
            <w:pPr>
              <w:adjustRightInd w:val="0"/>
              <w:snapToGrid w:val="0"/>
              <w:spacing w:line="360" w:lineRule="auto"/>
              <w:ind w:firstLine="480"/>
              <w:rPr>
                <w:rFonts w:hint="eastAsia"/>
                <w:sz w:val="24"/>
              </w:rPr>
            </w:pPr>
            <w:r>
              <w:rPr>
                <w:sz w:val="24"/>
              </w:rPr>
              <w:t>本项目位于涟水县</w:t>
            </w:r>
            <w:r>
              <w:rPr>
                <w:rFonts w:hint="eastAsia"/>
                <w:sz w:val="24"/>
              </w:rPr>
              <w:t>高沟</w:t>
            </w:r>
            <w:r>
              <w:rPr>
                <w:sz w:val="24"/>
              </w:rPr>
              <w:t>镇</w:t>
            </w:r>
            <w:r>
              <w:rPr>
                <w:rFonts w:hint="eastAsia"/>
                <w:sz w:val="24"/>
              </w:rPr>
              <w:t>高秀</w:t>
            </w:r>
            <w:r>
              <w:rPr>
                <w:sz w:val="24"/>
              </w:rPr>
              <w:t>工业集中区</w:t>
            </w:r>
            <w:r>
              <w:rPr>
                <w:rFonts w:hint="eastAsia"/>
                <w:sz w:val="24"/>
              </w:rPr>
              <w:t>，</w:t>
            </w:r>
            <w:r>
              <w:rPr>
                <w:sz w:val="24"/>
              </w:rPr>
              <w:t>该地块用地规划为工业用地，且区域地理位置优越，交通便利，园区内现已完成道路、电力、供水等基础设施建设，具有良好的投资和发展前景。</w:t>
            </w:r>
            <w:r>
              <w:rPr>
                <w:rFonts w:hint="eastAsia"/>
                <w:sz w:val="24"/>
              </w:rPr>
              <w:t>本项目符合</w:t>
            </w:r>
            <w:r>
              <w:rPr>
                <w:sz w:val="24"/>
              </w:rPr>
              <w:t>《涟水县城市总体规划》（2013—2030）中</w:t>
            </w:r>
            <w:r>
              <w:rPr>
                <w:rFonts w:hint="eastAsia"/>
                <w:sz w:val="24"/>
              </w:rPr>
              <w:t>高沟</w:t>
            </w:r>
            <w:r>
              <w:rPr>
                <w:sz w:val="24"/>
              </w:rPr>
              <w:t>镇的职能定位和产业发展策略</w:t>
            </w:r>
            <w:r>
              <w:rPr>
                <w:rFonts w:hint="eastAsia"/>
                <w:sz w:val="24"/>
              </w:rPr>
              <w:t>。</w:t>
            </w:r>
          </w:p>
          <w:p w14:paraId="1F62EA46">
            <w:pPr>
              <w:adjustRightInd w:val="0"/>
              <w:snapToGrid w:val="0"/>
              <w:spacing w:line="360" w:lineRule="auto"/>
              <w:ind w:firstLine="480"/>
              <w:rPr>
                <w:rFonts w:hint="eastAsia"/>
                <w:color w:val="auto"/>
                <w:sz w:val="24"/>
                <w:lang w:eastAsia="zh-CN"/>
              </w:rPr>
            </w:pPr>
            <w:r>
              <w:rPr>
                <w:rFonts w:hint="eastAsia"/>
                <w:color w:val="auto"/>
                <w:sz w:val="24"/>
                <w:lang w:eastAsia="zh-CN"/>
              </w:rPr>
              <w:t>三、基础设施规划及实际建设情况</w:t>
            </w:r>
          </w:p>
          <w:p w14:paraId="044C5114">
            <w:pPr>
              <w:adjustRightInd w:val="0"/>
              <w:snapToGrid w:val="0"/>
              <w:spacing w:line="360" w:lineRule="auto"/>
              <w:ind w:firstLine="480"/>
              <w:rPr>
                <w:color w:val="auto"/>
                <w:sz w:val="24"/>
              </w:rPr>
            </w:pPr>
            <w:r>
              <w:rPr>
                <w:rFonts w:hint="eastAsia"/>
                <w:color w:val="auto"/>
                <w:sz w:val="24"/>
                <w:lang w:eastAsia="zh-CN"/>
              </w:rPr>
              <w:t>高沟镇</w:t>
            </w:r>
            <w:r>
              <w:rPr>
                <w:color w:val="auto"/>
                <w:sz w:val="24"/>
              </w:rPr>
              <w:t>基础设施规划主要包括给水、雨水、污水、燃气、供电等规划，见</w:t>
            </w:r>
            <w:r>
              <w:rPr>
                <w:rFonts w:hint="eastAsia"/>
                <w:color w:val="auto"/>
                <w:sz w:val="24"/>
              </w:rPr>
              <w:t>下表</w:t>
            </w:r>
            <w:r>
              <w:rPr>
                <w:rFonts w:hint="eastAsia"/>
                <w:color w:val="auto"/>
                <w:sz w:val="24"/>
                <w:lang w:val="en-US" w:eastAsia="zh-CN"/>
              </w:rPr>
              <w:t>1-1</w:t>
            </w:r>
            <w:r>
              <w:rPr>
                <w:color w:val="auto"/>
                <w:sz w:val="24"/>
              </w:rPr>
              <w:t>。</w:t>
            </w:r>
          </w:p>
          <w:p w14:paraId="5522EF0A">
            <w:pPr>
              <w:contextualSpacing/>
              <w:jc w:val="center"/>
              <w:rPr>
                <w:rFonts w:cs="Times New Roman"/>
                <w:b/>
                <w:color w:val="auto"/>
                <w:sz w:val="24"/>
              </w:rPr>
            </w:pPr>
            <w:r>
              <w:rPr>
                <w:rFonts w:cs="Times New Roman"/>
                <w:b/>
                <w:color w:val="auto"/>
                <w:sz w:val="24"/>
              </w:rPr>
              <w:t>表</w:t>
            </w:r>
            <w:r>
              <w:rPr>
                <w:rFonts w:hint="eastAsia" w:cs="Times New Roman"/>
                <w:b/>
                <w:color w:val="auto"/>
                <w:sz w:val="24"/>
                <w:lang w:val="en-US" w:eastAsia="zh-CN"/>
              </w:rPr>
              <w:t>1-1</w:t>
            </w:r>
            <w:r>
              <w:rPr>
                <w:rFonts w:cs="Times New Roman"/>
                <w:b/>
                <w:color w:val="auto"/>
                <w:sz w:val="24"/>
              </w:rPr>
              <w:t xml:space="preserve">  规划基础设施建设一览表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3601"/>
              <w:gridCol w:w="1469"/>
              <w:gridCol w:w="1639"/>
            </w:tblGrid>
            <w:tr w14:paraId="4798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537" w:type="pct"/>
                  <w:shd w:val="clear" w:color="auto" w:fill="auto"/>
                  <w:vAlign w:val="center"/>
                </w:tcPr>
                <w:p w14:paraId="36D78AE1">
                  <w:pPr>
                    <w:pStyle w:val="290"/>
                    <w:widowControl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2394" w:type="pct"/>
                  <w:shd w:val="clear" w:color="auto" w:fill="auto"/>
                  <w:vAlign w:val="center"/>
                </w:tcPr>
                <w:p w14:paraId="17B4DDB0">
                  <w:pPr>
                    <w:pStyle w:val="290"/>
                    <w:widowControl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977" w:type="pct"/>
                  <w:shd w:val="clear" w:color="auto" w:fill="auto"/>
                  <w:vAlign w:val="center"/>
                </w:tcPr>
                <w:p w14:paraId="6BBF84B9">
                  <w:pPr>
                    <w:pStyle w:val="290"/>
                    <w:widowControl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规模</w:t>
                  </w:r>
                </w:p>
              </w:tc>
              <w:tc>
                <w:tcPr>
                  <w:tcW w:w="1090" w:type="pct"/>
                  <w:shd w:val="clear" w:color="auto" w:fill="auto"/>
                  <w:vAlign w:val="center"/>
                </w:tcPr>
                <w:p w14:paraId="0DDA0D6C">
                  <w:pPr>
                    <w:pStyle w:val="290"/>
                    <w:widowControl w:val="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性质</w:t>
                  </w:r>
                </w:p>
              </w:tc>
            </w:tr>
            <w:tr w14:paraId="705D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vMerge w:val="restart"/>
                  <w:shd w:val="clear" w:color="auto" w:fill="auto"/>
                  <w:vAlign w:val="center"/>
                </w:tcPr>
                <w:p w14:paraId="07EAC783">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w:t>
                  </w:r>
                </w:p>
              </w:tc>
              <w:tc>
                <w:tcPr>
                  <w:tcW w:w="2394" w:type="pct"/>
                  <w:shd w:val="clear" w:color="auto" w:fill="auto"/>
                  <w:vAlign w:val="center"/>
                </w:tcPr>
                <w:p w14:paraId="7FBCDF20">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涟水区域供水水厂</w:t>
                  </w:r>
                </w:p>
              </w:tc>
              <w:tc>
                <w:tcPr>
                  <w:tcW w:w="977" w:type="pct"/>
                  <w:shd w:val="clear" w:color="auto" w:fill="auto"/>
                  <w:vAlign w:val="center"/>
                </w:tcPr>
                <w:p w14:paraId="4900C626">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090" w:type="pct"/>
                  <w:shd w:val="clear" w:color="auto" w:fill="auto"/>
                  <w:vAlign w:val="center"/>
                </w:tcPr>
                <w:p w14:paraId="3295352B">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r w14:paraId="6AD9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vMerge w:val="continue"/>
                  <w:shd w:val="clear" w:color="auto" w:fill="auto"/>
                  <w:vAlign w:val="center"/>
                </w:tcPr>
                <w:p w14:paraId="1697DEA1">
                  <w:pPr>
                    <w:pStyle w:val="290"/>
                    <w:widowControl w:val="0"/>
                    <w:rPr>
                      <w:rFonts w:hint="default" w:ascii="Times New Roman" w:hAnsi="Times New Roman" w:eastAsia="宋体" w:cs="Times New Roman"/>
                      <w:color w:val="auto"/>
                      <w:sz w:val="21"/>
                      <w:szCs w:val="21"/>
                    </w:rPr>
                  </w:pPr>
                </w:p>
              </w:tc>
              <w:tc>
                <w:tcPr>
                  <w:tcW w:w="2394" w:type="pct"/>
                  <w:shd w:val="clear" w:color="auto" w:fill="auto"/>
                  <w:vAlign w:val="center"/>
                </w:tcPr>
                <w:p w14:paraId="67B03E34">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977" w:type="pct"/>
                  <w:shd w:val="clear" w:color="auto" w:fill="auto"/>
                  <w:vAlign w:val="center"/>
                </w:tcPr>
                <w:p w14:paraId="05A0A46D">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172.5万/年</w:t>
                  </w:r>
                </w:p>
              </w:tc>
              <w:tc>
                <w:tcPr>
                  <w:tcW w:w="1090" w:type="pct"/>
                  <w:shd w:val="clear" w:color="auto" w:fill="auto"/>
                  <w:vAlign w:val="center"/>
                </w:tcPr>
                <w:p w14:paraId="65D9BD27">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r w14:paraId="35EF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shd w:val="clear" w:color="auto" w:fill="auto"/>
                  <w:vAlign w:val="center"/>
                </w:tcPr>
                <w:p w14:paraId="64FAC7BB">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2394" w:type="pct"/>
                  <w:shd w:val="clear" w:color="auto" w:fill="auto"/>
                  <w:vAlign w:val="center"/>
                </w:tcPr>
                <w:p w14:paraId="12319BA4">
                  <w:pPr>
                    <w:pStyle w:val="290"/>
                    <w:widowControl w:val="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高沟镇污水处理厂</w:t>
                  </w:r>
                </w:p>
              </w:tc>
              <w:tc>
                <w:tcPr>
                  <w:tcW w:w="977" w:type="pct"/>
                  <w:shd w:val="clear" w:color="auto" w:fill="auto"/>
                  <w:vAlign w:val="center"/>
                </w:tcPr>
                <w:p w14:paraId="6130A9AF">
                  <w:pPr>
                    <w:pStyle w:val="290"/>
                    <w:widowControl w:val="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090" w:type="pct"/>
                  <w:shd w:val="clear" w:color="auto" w:fill="auto"/>
                  <w:vAlign w:val="center"/>
                </w:tcPr>
                <w:p w14:paraId="6246DE2D">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r w14:paraId="6C6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shd w:val="clear" w:color="auto" w:fill="auto"/>
                  <w:vAlign w:val="center"/>
                </w:tcPr>
                <w:p w14:paraId="08382A38">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w:t>
                  </w:r>
                </w:p>
              </w:tc>
              <w:tc>
                <w:tcPr>
                  <w:tcW w:w="2394" w:type="pct"/>
                  <w:shd w:val="clear" w:color="auto" w:fill="auto"/>
                  <w:vAlign w:val="center"/>
                </w:tcPr>
                <w:p w14:paraId="7ADC9AD3">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重力流方式就近排入河道</w:t>
                  </w:r>
                </w:p>
              </w:tc>
              <w:tc>
                <w:tcPr>
                  <w:tcW w:w="977" w:type="pct"/>
                  <w:shd w:val="clear" w:color="auto" w:fill="auto"/>
                  <w:vAlign w:val="center"/>
                </w:tcPr>
                <w:p w14:paraId="62F6215F">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0" w:type="pct"/>
                  <w:shd w:val="clear" w:color="auto" w:fill="auto"/>
                  <w:vAlign w:val="center"/>
                </w:tcPr>
                <w:p w14:paraId="3E254CB1">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r w14:paraId="308B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shd w:val="clear" w:color="auto" w:fill="auto"/>
                  <w:vAlign w:val="center"/>
                </w:tcPr>
                <w:p w14:paraId="25DB107E">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供气</w:t>
                  </w:r>
                </w:p>
              </w:tc>
              <w:tc>
                <w:tcPr>
                  <w:tcW w:w="2394" w:type="pct"/>
                  <w:shd w:val="clear" w:color="auto" w:fill="auto"/>
                  <w:vAlign w:val="center"/>
                </w:tcPr>
                <w:p w14:paraId="663AC9D0">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镇区调压站</w:t>
                  </w:r>
                </w:p>
              </w:tc>
              <w:tc>
                <w:tcPr>
                  <w:tcW w:w="977" w:type="pct"/>
                  <w:shd w:val="clear" w:color="auto" w:fill="auto"/>
                  <w:vAlign w:val="center"/>
                </w:tcPr>
                <w:p w14:paraId="0CEAAA46">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0" w:type="pct"/>
                  <w:shd w:val="clear" w:color="auto" w:fill="auto"/>
                  <w:vAlign w:val="center"/>
                </w:tcPr>
                <w:p w14:paraId="5C993B3A">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r w14:paraId="7AD6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shd w:val="clear" w:color="auto" w:fill="auto"/>
                  <w:vAlign w:val="center"/>
                </w:tcPr>
                <w:p w14:paraId="5B664760">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供热</w:t>
                  </w:r>
                </w:p>
              </w:tc>
              <w:tc>
                <w:tcPr>
                  <w:tcW w:w="2394" w:type="pct"/>
                  <w:shd w:val="clear" w:color="auto" w:fill="auto"/>
                  <w:vAlign w:val="center"/>
                </w:tcPr>
                <w:p w14:paraId="1355EA73">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光大生物能源（涟水）有限公司</w:t>
                  </w:r>
                </w:p>
              </w:tc>
              <w:tc>
                <w:tcPr>
                  <w:tcW w:w="977" w:type="pct"/>
                  <w:shd w:val="clear" w:color="auto" w:fill="auto"/>
                  <w:tcMar>
                    <w:left w:w="0" w:type="dxa"/>
                    <w:right w:w="0" w:type="dxa"/>
                  </w:tcMar>
                  <w:vAlign w:val="center"/>
                </w:tcPr>
                <w:p w14:paraId="568A9712">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250t/h</w:t>
                  </w:r>
                </w:p>
              </w:tc>
              <w:tc>
                <w:tcPr>
                  <w:tcW w:w="1090" w:type="pct"/>
                  <w:shd w:val="clear" w:color="auto" w:fill="auto"/>
                  <w:tcMar>
                    <w:left w:w="0" w:type="dxa"/>
                    <w:right w:w="0" w:type="dxa"/>
                  </w:tcMar>
                  <w:vAlign w:val="center"/>
                </w:tcPr>
                <w:p w14:paraId="01F9335A">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150t/h已建，100t/h在建</w:t>
                  </w:r>
                </w:p>
              </w:tc>
            </w:tr>
            <w:tr w14:paraId="2FBA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37" w:type="pct"/>
                  <w:shd w:val="clear" w:color="auto" w:fill="auto"/>
                  <w:vAlign w:val="center"/>
                </w:tcPr>
                <w:p w14:paraId="37B70780">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2394" w:type="pct"/>
                  <w:shd w:val="clear" w:color="auto" w:fill="auto"/>
                  <w:vAlign w:val="center"/>
                </w:tcPr>
                <w:p w14:paraId="6E000A85">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区外变电站</w:t>
                  </w:r>
                </w:p>
              </w:tc>
              <w:tc>
                <w:tcPr>
                  <w:tcW w:w="977" w:type="pct"/>
                  <w:shd w:val="clear" w:color="auto" w:fill="auto"/>
                  <w:vAlign w:val="center"/>
                </w:tcPr>
                <w:p w14:paraId="7ADC8D1E">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110千伏</w:t>
                  </w:r>
                </w:p>
              </w:tc>
              <w:tc>
                <w:tcPr>
                  <w:tcW w:w="1090" w:type="pct"/>
                  <w:shd w:val="clear" w:color="auto" w:fill="auto"/>
                  <w:vAlign w:val="center"/>
                </w:tcPr>
                <w:p w14:paraId="287AAB2F">
                  <w:pPr>
                    <w:pStyle w:val="290"/>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w:t>
                  </w:r>
                </w:p>
              </w:tc>
            </w:tr>
          </w:tbl>
          <w:p w14:paraId="16F9CC1A">
            <w:pPr>
              <w:adjustRightInd w:val="0"/>
              <w:snapToGrid w:val="0"/>
              <w:spacing w:line="360" w:lineRule="auto"/>
              <w:ind w:firstLine="480"/>
              <w:rPr>
                <w:rFonts w:hint="eastAsia"/>
                <w:sz w:val="24"/>
              </w:rPr>
            </w:pPr>
          </w:p>
        </w:tc>
      </w:tr>
    </w:tbl>
    <w:p w14:paraId="39449128">
      <w:pPr>
        <w:autoSpaceDE w:val="0"/>
        <w:autoSpaceDN w:val="0"/>
        <w:adjustRightInd w:val="0"/>
        <w:snapToGrid w:val="0"/>
        <w:jc w:val="center"/>
        <w:rPr>
          <w:kern w:val="0"/>
          <w:szCs w:val="21"/>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15602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55" w:type="dxa"/>
            <w:vAlign w:val="center"/>
          </w:tcPr>
          <w:p w14:paraId="12C3F621">
            <w:pPr>
              <w:autoSpaceDE w:val="0"/>
              <w:autoSpaceDN w:val="0"/>
              <w:adjustRightInd w:val="0"/>
              <w:snapToGrid w:val="0"/>
              <w:jc w:val="center"/>
              <w:rPr>
                <w:color w:val="auto"/>
                <w:kern w:val="0"/>
                <w:szCs w:val="21"/>
              </w:rPr>
            </w:pPr>
            <w:r>
              <w:rPr>
                <w:color w:val="auto"/>
                <w:kern w:val="0"/>
                <w:szCs w:val="21"/>
              </w:rPr>
              <w:t>其他符合性分析</w:t>
            </w:r>
          </w:p>
        </w:tc>
        <w:tc>
          <w:tcPr>
            <w:tcW w:w="8515" w:type="dxa"/>
            <w:vAlign w:val="center"/>
          </w:tcPr>
          <w:p w14:paraId="5999B2AA">
            <w:pPr>
              <w:adjustRightInd w:val="0"/>
              <w:snapToGrid w:val="0"/>
              <w:spacing w:line="360" w:lineRule="auto"/>
              <w:ind w:firstLine="482" w:firstLineChars="200"/>
              <w:jc w:val="left"/>
              <w:rPr>
                <w:b/>
                <w:color w:val="auto"/>
                <w:sz w:val="24"/>
              </w:rPr>
            </w:pPr>
            <w:r>
              <w:rPr>
                <w:b/>
                <w:color w:val="auto"/>
                <w:sz w:val="24"/>
              </w:rPr>
              <w:t>1、与</w:t>
            </w:r>
            <w:r>
              <w:rPr>
                <w:rStyle w:val="50"/>
                <w:b/>
                <w:color w:val="auto"/>
                <w:sz w:val="24"/>
              </w:rPr>
              <w:t>项目所在地</w:t>
            </w:r>
            <w:r>
              <w:rPr>
                <w:b/>
                <w:color w:val="auto"/>
                <w:sz w:val="24"/>
              </w:rPr>
              <w:t>“三线一单”相符性分析</w:t>
            </w:r>
          </w:p>
          <w:p w14:paraId="14F4296F">
            <w:pPr>
              <w:pStyle w:val="89"/>
              <w:adjustRightInd w:val="0"/>
              <w:snapToGrid w:val="0"/>
              <w:spacing w:line="360" w:lineRule="auto"/>
              <w:ind w:firstLine="482"/>
              <w:jc w:val="left"/>
              <w:rPr>
                <w:color w:val="auto"/>
                <w:sz w:val="24"/>
              </w:rPr>
            </w:pPr>
            <w:r>
              <w:rPr>
                <w:b/>
                <w:color w:val="auto"/>
                <w:sz w:val="24"/>
              </w:rPr>
              <w:t>（1</w:t>
            </w:r>
            <w:r>
              <w:rPr>
                <w:color w:val="auto"/>
                <w:sz w:val="24"/>
              </w:rPr>
              <w:t>）</w:t>
            </w:r>
            <w:r>
              <w:rPr>
                <w:b/>
                <w:bCs/>
                <w:color w:val="auto"/>
                <w:sz w:val="24"/>
              </w:rPr>
              <w:t>生态红线</w:t>
            </w:r>
          </w:p>
          <w:p w14:paraId="3B91CEE3">
            <w:pPr>
              <w:adjustRightInd w:val="0"/>
              <w:snapToGrid w:val="0"/>
              <w:spacing w:line="360" w:lineRule="auto"/>
              <w:ind w:firstLine="482" w:firstLineChars="200"/>
              <w:rPr>
                <w:color w:val="auto"/>
                <w:sz w:val="24"/>
              </w:rPr>
            </w:pPr>
            <w:r>
              <w:rPr>
                <w:rFonts w:hint="eastAsia" w:ascii="宋体" w:hAnsi="宋体" w:cs="宋体"/>
                <w:b/>
                <w:bCs/>
                <w:color w:val="auto"/>
                <w:sz w:val="24"/>
              </w:rPr>
              <w:t>①</w:t>
            </w:r>
            <w:r>
              <w:rPr>
                <w:b/>
                <w:bCs/>
                <w:color w:val="auto"/>
                <w:sz w:val="24"/>
              </w:rPr>
              <w:t>与《省政府关于印发江苏省国家级生态保护红线规划的通知》（苏政发</w:t>
            </w:r>
            <w:r>
              <w:rPr>
                <w:rFonts w:hint="eastAsia"/>
                <w:b/>
                <w:bCs/>
                <w:color w:val="auto"/>
                <w:sz w:val="24"/>
                <w:lang w:eastAsia="zh-CN"/>
              </w:rPr>
              <w:t>〔2018〕74号</w:t>
            </w:r>
            <w:r>
              <w:rPr>
                <w:b/>
                <w:bCs/>
                <w:color w:val="auto"/>
                <w:sz w:val="24"/>
              </w:rPr>
              <w:t>）相符性分析</w:t>
            </w:r>
          </w:p>
          <w:p w14:paraId="373FA236">
            <w:pPr>
              <w:adjustRightInd w:val="0"/>
              <w:snapToGrid w:val="0"/>
              <w:spacing w:line="360" w:lineRule="auto"/>
              <w:ind w:firstLine="480" w:firstLineChars="200"/>
              <w:rPr>
                <w:color w:val="auto"/>
                <w:sz w:val="24"/>
              </w:rPr>
            </w:pPr>
            <w:r>
              <w:rPr>
                <w:color w:val="auto"/>
                <w:sz w:val="24"/>
              </w:rPr>
              <w:t>建设项目与《省政府关于印发江苏省国家级生态保护红线规划的通知》（苏政发</w:t>
            </w:r>
            <w:r>
              <w:rPr>
                <w:rFonts w:hint="eastAsia"/>
                <w:color w:val="auto"/>
                <w:sz w:val="24"/>
                <w:lang w:eastAsia="zh-CN"/>
              </w:rPr>
              <w:t>〔2018〕74号</w:t>
            </w:r>
            <w:r>
              <w:rPr>
                <w:color w:val="auto"/>
                <w:sz w:val="24"/>
              </w:rPr>
              <w:t>）相符性分析见表1.3-1。</w:t>
            </w:r>
          </w:p>
          <w:p w14:paraId="062B0952">
            <w:pPr>
              <w:adjustRightInd w:val="0"/>
              <w:snapToGrid w:val="0"/>
              <w:jc w:val="center"/>
              <w:rPr>
                <w:bCs/>
                <w:color w:val="auto"/>
                <w:sz w:val="24"/>
              </w:rPr>
            </w:pPr>
            <w:r>
              <w:rPr>
                <w:b/>
                <w:color w:val="auto"/>
                <w:sz w:val="24"/>
              </w:rPr>
              <w:t>表1.3-1  建设项目与《江苏省国家级生态保护红线规划》相符性分析</w:t>
            </w:r>
          </w:p>
          <w:tbl>
            <w:tblPr>
              <w:tblStyle w:val="42"/>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78"/>
              <w:gridCol w:w="714"/>
              <w:gridCol w:w="1432"/>
              <w:gridCol w:w="1573"/>
              <w:gridCol w:w="2295"/>
              <w:gridCol w:w="761"/>
              <w:gridCol w:w="1052"/>
            </w:tblGrid>
            <w:tr w14:paraId="6AE30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769" w:type="pct"/>
                  <w:gridSpan w:val="2"/>
                  <w:tcBorders>
                    <w:top w:val="single" w:color="auto" w:sz="12" w:space="0"/>
                    <w:left w:val="nil"/>
                    <w:bottom w:val="single" w:color="auto" w:sz="4" w:space="0"/>
                    <w:right w:val="single" w:color="auto" w:sz="4" w:space="0"/>
                  </w:tcBorders>
                  <w:vAlign w:val="center"/>
                </w:tcPr>
                <w:p w14:paraId="1284B156">
                  <w:pPr>
                    <w:adjustRightInd w:val="0"/>
                    <w:snapToGrid w:val="0"/>
                    <w:jc w:val="center"/>
                    <w:rPr>
                      <w:b/>
                      <w:snapToGrid w:val="0"/>
                      <w:color w:val="auto"/>
                      <w:sz w:val="18"/>
                      <w:szCs w:val="18"/>
                    </w:rPr>
                  </w:pPr>
                  <w:r>
                    <w:rPr>
                      <w:b/>
                      <w:snapToGrid w:val="0"/>
                      <w:color w:val="auto"/>
                      <w:sz w:val="18"/>
                      <w:szCs w:val="18"/>
                    </w:rPr>
                    <w:t>所在行政区域</w:t>
                  </w:r>
                </w:p>
              </w:tc>
              <w:tc>
                <w:tcPr>
                  <w:tcW w:w="852" w:type="pct"/>
                  <w:vMerge w:val="restart"/>
                  <w:tcBorders>
                    <w:top w:val="single" w:color="auto" w:sz="12" w:space="0"/>
                    <w:left w:val="single" w:color="auto" w:sz="4" w:space="0"/>
                    <w:bottom w:val="single" w:color="auto" w:sz="4" w:space="0"/>
                    <w:right w:val="single" w:color="auto" w:sz="4" w:space="0"/>
                  </w:tcBorders>
                  <w:vAlign w:val="center"/>
                </w:tcPr>
                <w:p w14:paraId="434CEEC4">
                  <w:pPr>
                    <w:adjustRightInd w:val="0"/>
                    <w:snapToGrid w:val="0"/>
                    <w:jc w:val="center"/>
                    <w:rPr>
                      <w:b/>
                      <w:snapToGrid w:val="0"/>
                      <w:color w:val="auto"/>
                      <w:sz w:val="18"/>
                      <w:szCs w:val="18"/>
                    </w:rPr>
                  </w:pPr>
                  <w:r>
                    <w:rPr>
                      <w:b/>
                      <w:snapToGrid w:val="0"/>
                      <w:color w:val="auto"/>
                      <w:sz w:val="18"/>
                      <w:szCs w:val="18"/>
                    </w:rPr>
                    <w:t>生态保护红线名称</w:t>
                  </w:r>
                </w:p>
              </w:tc>
              <w:tc>
                <w:tcPr>
                  <w:tcW w:w="936" w:type="pct"/>
                  <w:vMerge w:val="restart"/>
                  <w:tcBorders>
                    <w:top w:val="single" w:color="auto" w:sz="12" w:space="0"/>
                    <w:left w:val="single" w:color="auto" w:sz="4" w:space="0"/>
                    <w:bottom w:val="single" w:color="auto" w:sz="4" w:space="0"/>
                    <w:right w:val="single" w:color="auto" w:sz="4" w:space="0"/>
                  </w:tcBorders>
                  <w:vAlign w:val="center"/>
                </w:tcPr>
                <w:p w14:paraId="4C82AF39">
                  <w:pPr>
                    <w:adjustRightInd w:val="0"/>
                    <w:snapToGrid w:val="0"/>
                    <w:jc w:val="center"/>
                    <w:rPr>
                      <w:b/>
                      <w:snapToGrid w:val="0"/>
                      <w:color w:val="auto"/>
                      <w:sz w:val="18"/>
                      <w:szCs w:val="18"/>
                    </w:rPr>
                  </w:pPr>
                  <w:r>
                    <w:rPr>
                      <w:b/>
                      <w:snapToGrid w:val="0"/>
                      <w:color w:val="auto"/>
                      <w:sz w:val="18"/>
                      <w:szCs w:val="18"/>
                    </w:rPr>
                    <w:t>类型</w:t>
                  </w:r>
                </w:p>
              </w:tc>
              <w:tc>
                <w:tcPr>
                  <w:tcW w:w="1365" w:type="pct"/>
                  <w:vMerge w:val="restart"/>
                  <w:tcBorders>
                    <w:top w:val="single" w:color="auto" w:sz="12" w:space="0"/>
                    <w:left w:val="single" w:color="auto" w:sz="4" w:space="0"/>
                    <w:bottom w:val="single" w:color="auto" w:sz="4" w:space="0"/>
                    <w:right w:val="single" w:color="auto" w:sz="4" w:space="0"/>
                  </w:tcBorders>
                  <w:vAlign w:val="center"/>
                </w:tcPr>
                <w:p w14:paraId="318097BB">
                  <w:pPr>
                    <w:adjustRightInd w:val="0"/>
                    <w:snapToGrid w:val="0"/>
                    <w:jc w:val="center"/>
                    <w:rPr>
                      <w:b/>
                      <w:snapToGrid w:val="0"/>
                      <w:color w:val="auto"/>
                      <w:sz w:val="18"/>
                      <w:szCs w:val="18"/>
                    </w:rPr>
                  </w:pPr>
                  <w:r>
                    <w:rPr>
                      <w:b/>
                      <w:snapToGrid w:val="0"/>
                      <w:color w:val="auto"/>
                      <w:sz w:val="18"/>
                      <w:szCs w:val="18"/>
                    </w:rPr>
                    <w:t>地理位置</w:t>
                  </w:r>
                </w:p>
              </w:tc>
              <w:tc>
                <w:tcPr>
                  <w:tcW w:w="453" w:type="pct"/>
                  <w:vMerge w:val="restart"/>
                  <w:tcBorders>
                    <w:top w:val="single" w:color="auto" w:sz="12" w:space="0"/>
                    <w:left w:val="single" w:color="auto" w:sz="4" w:space="0"/>
                    <w:bottom w:val="single" w:color="auto" w:sz="4" w:space="0"/>
                    <w:right w:val="single" w:color="auto" w:sz="4" w:space="0"/>
                  </w:tcBorders>
                  <w:vAlign w:val="center"/>
                </w:tcPr>
                <w:p w14:paraId="5B6F3A0A">
                  <w:pPr>
                    <w:adjustRightInd w:val="0"/>
                    <w:snapToGrid w:val="0"/>
                    <w:jc w:val="center"/>
                    <w:rPr>
                      <w:b/>
                      <w:snapToGrid w:val="0"/>
                      <w:color w:val="auto"/>
                      <w:sz w:val="18"/>
                      <w:szCs w:val="18"/>
                    </w:rPr>
                  </w:pPr>
                  <w:r>
                    <w:rPr>
                      <w:b/>
                      <w:snapToGrid w:val="0"/>
                      <w:color w:val="auto"/>
                      <w:sz w:val="18"/>
                      <w:szCs w:val="18"/>
                    </w:rPr>
                    <w:t>区域面积（平方公里）</w:t>
                  </w:r>
                </w:p>
              </w:tc>
              <w:tc>
                <w:tcPr>
                  <w:tcW w:w="625" w:type="pct"/>
                  <w:vMerge w:val="restart"/>
                  <w:tcBorders>
                    <w:top w:val="single" w:color="auto" w:sz="12" w:space="0"/>
                    <w:left w:val="single" w:color="auto" w:sz="4" w:space="0"/>
                    <w:bottom w:val="single" w:color="auto" w:sz="4" w:space="0"/>
                    <w:right w:val="nil"/>
                  </w:tcBorders>
                  <w:vAlign w:val="center"/>
                </w:tcPr>
                <w:p w14:paraId="23A16BE9">
                  <w:pPr>
                    <w:adjustRightInd w:val="0"/>
                    <w:snapToGrid w:val="0"/>
                    <w:jc w:val="center"/>
                    <w:rPr>
                      <w:b/>
                      <w:color w:val="auto"/>
                      <w:sz w:val="18"/>
                      <w:szCs w:val="18"/>
                    </w:rPr>
                  </w:pPr>
                  <w:r>
                    <w:rPr>
                      <w:b/>
                      <w:color w:val="auto"/>
                      <w:sz w:val="18"/>
                      <w:szCs w:val="18"/>
                    </w:rPr>
                    <w:t>相符性分析</w:t>
                  </w:r>
                </w:p>
              </w:tc>
            </w:tr>
            <w:tr w14:paraId="06D61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44" w:type="pct"/>
                  <w:tcBorders>
                    <w:top w:val="single" w:color="auto" w:sz="4" w:space="0"/>
                    <w:left w:val="nil"/>
                    <w:bottom w:val="single" w:color="auto" w:sz="4" w:space="0"/>
                    <w:right w:val="single" w:color="auto" w:sz="4" w:space="0"/>
                  </w:tcBorders>
                  <w:vAlign w:val="center"/>
                </w:tcPr>
                <w:p w14:paraId="5154C2D9">
                  <w:pPr>
                    <w:adjustRightInd w:val="0"/>
                    <w:snapToGrid w:val="0"/>
                    <w:jc w:val="center"/>
                    <w:rPr>
                      <w:b/>
                      <w:snapToGrid w:val="0"/>
                      <w:color w:val="auto"/>
                      <w:sz w:val="18"/>
                      <w:szCs w:val="18"/>
                    </w:rPr>
                  </w:pPr>
                  <w:r>
                    <w:rPr>
                      <w:b/>
                      <w:snapToGrid w:val="0"/>
                      <w:color w:val="auto"/>
                      <w:sz w:val="18"/>
                      <w:szCs w:val="18"/>
                    </w:rPr>
                    <w:t>市级</w:t>
                  </w:r>
                </w:p>
              </w:tc>
              <w:tc>
                <w:tcPr>
                  <w:tcW w:w="425" w:type="pct"/>
                  <w:tcBorders>
                    <w:top w:val="single" w:color="auto" w:sz="4" w:space="0"/>
                    <w:left w:val="single" w:color="auto" w:sz="4" w:space="0"/>
                    <w:bottom w:val="single" w:color="auto" w:sz="4" w:space="0"/>
                    <w:right w:val="single" w:color="auto" w:sz="4" w:space="0"/>
                  </w:tcBorders>
                  <w:vAlign w:val="center"/>
                </w:tcPr>
                <w:p w14:paraId="12AD173B">
                  <w:pPr>
                    <w:adjustRightInd w:val="0"/>
                    <w:snapToGrid w:val="0"/>
                    <w:jc w:val="center"/>
                    <w:rPr>
                      <w:b/>
                      <w:snapToGrid w:val="0"/>
                      <w:color w:val="auto"/>
                      <w:sz w:val="18"/>
                      <w:szCs w:val="18"/>
                    </w:rPr>
                  </w:pPr>
                  <w:r>
                    <w:rPr>
                      <w:b/>
                      <w:snapToGrid w:val="0"/>
                      <w:color w:val="auto"/>
                      <w:sz w:val="18"/>
                      <w:szCs w:val="18"/>
                    </w:rPr>
                    <w:t>县级</w:t>
                  </w:r>
                </w:p>
              </w:tc>
              <w:tc>
                <w:tcPr>
                  <w:tcW w:w="852" w:type="pct"/>
                  <w:vMerge w:val="continue"/>
                  <w:tcBorders>
                    <w:top w:val="single" w:color="auto" w:sz="12" w:space="0"/>
                    <w:left w:val="single" w:color="auto" w:sz="4" w:space="0"/>
                    <w:bottom w:val="single" w:color="auto" w:sz="4" w:space="0"/>
                    <w:right w:val="single" w:color="auto" w:sz="4" w:space="0"/>
                  </w:tcBorders>
                  <w:vAlign w:val="center"/>
                </w:tcPr>
                <w:p w14:paraId="60E4E2AA">
                  <w:pPr>
                    <w:adjustRightInd w:val="0"/>
                    <w:snapToGrid w:val="0"/>
                    <w:jc w:val="center"/>
                    <w:rPr>
                      <w:b/>
                      <w:snapToGrid w:val="0"/>
                      <w:color w:val="auto"/>
                      <w:sz w:val="18"/>
                      <w:szCs w:val="18"/>
                    </w:rPr>
                  </w:pPr>
                </w:p>
              </w:tc>
              <w:tc>
                <w:tcPr>
                  <w:tcW w:w="936" w:type="pct"/>
                  <w:vMerge w:val="continue"/>
                  <w:tcBorders>
                    <w:top w:val="single" w:color="auto" w:sz="12" w:space="0"/>
                    <w:left w:val="single" w:color="auto" w:sz="4" w:space="0"/>
                    <w:bottom w:val="single" w:color="auto" w:sz="4" w:space="0"/>
                    <w:right w:val="single" w:color="auto" w:sz="4" w:space="0"/>
                  </w:tcBorders>
                  <w:vAlign w:val="center"/>
                </w:tcPr>
                <w:p w14:paraId="315DD4FE">
                  <w:pPr>
                    <w:adjustRightInd w:val="0"/>
                    <w:snapToGrid w:val="0"/>
                    <w:jc w:val="center"/>
                    <w:rPr>
                      <w:b/>
                      <w:snapToGrid w:val="0"/>
                      <w:color w:val="auto"/>
                      <w:sz w:val="18"/>
                      <w:szCs w:val="18"/>
                    </w:rPr>
                  </w:pPr>
                </w:p>
              </w:tc>
              <w:tc>
                <w:tcPr>
                  <w:tcW w:w="1365" w:type="pct"/>
                  <w:vMerge w:val="continue"/>
                  <w:tcBorders>
                    <w:top w:val="single" w:color="auto" w:sz="12" w:space="0"/>
                    <w:left w:val="single" w:color="auto" w:sz="4" w:space="0"/>
                    <w:bottom w:val="single" w:color="auto" w:sz="4" w:space="0"/>
                    <w:right w:val="single" w:color="auto" w:sz="4" w:space="0"/>
                  </w:tcBorders>
                  <w:vAlign w:val="center"/>
                </w:tcPr>
                <w:p w14:paraId="53091DED">
                  <w:pPr>
                    <w:adjustRightInd w:val="0"/>
                    <w:snapToGrid w:val="0"/>
                    <w:jc w:val="center"/>
                    <w:rPr>
                      <w:b/>
                      <w:snapToGrid w:val="0"/>
                      <w:color w:val="auto"/>
                      <w:sz w:val="18"/>
                      <w:szCs w:val="18"/>
                    </w:rPr>
                  </w:pPr>
                </w:p>
              </w:tc>
              <w:tc>
                <w:tcPr>
                  <w:tcW w:w="453" w:type="pct"/>
                  <w:vMerge w:val="continue"/>
                  <w:tcBorders>
                    <w:top w:val="single" w:color="auto" w:sz="12" w:space="0"/>
                    <w:left w:val="single" w:color="auto" w:sz="4" w:space="0"/>
                    <w:bottom w:val="single" w:color="auto" w:sz="4" w:space="0"/>
                    <w:right w:val="single" w:color="auto" w:sz="4" w:space="0"/>
                  </w:tcBorders>
                  <w:vAlign w:val="center"/>
                </w:tcPr>
                <w:p w14:paraId="5B18D6EC">
                  <w:pPr>
                    <w:adjustRightInd w:val="0"/>
                    <w:snapToGrid w:val="0"/>
                    <w:jc w:val="center"/>
                    <w:rPr>
                      <w:b/>
                      <w:snapToGrid w:val="0"/>
                      <w:color w:val="auto"/>
                      <w:sz w:val="18"/>
                      <w:szCs w:val="18"/>
                    </w:rPr>
                  </w:pPr>
                </w:p>
              </w:tc>
              <w:tc>
                <w:tcPr>
                  <w:tcW w:w="625" w:type="pct"/>
                  <w:vMerge w:val="continue"/>
                  <w:tcBorders>
                    <w:top w:val="single" w:color="auto" w:sz="12" w:space="0"/>
                    <w:left w:val="single" w:color="auto" w:sz="4" w:space="0"/>
                    <w:bottom w:val="single" w:color="auto" w:sz="4" w:space="0"/>
                    <w:right w:val="nil"/>
                  </w:tcBorders>
                  <w:vAlign w:val="center"/>
                </w:tcPr>
                <w:p w14:paraId="01D5E478">
                  <w:pPr>
                    <w:adjustRightInd w:val="0"/>
                    <w:snapToGrid w:val="0"/>
                    <w:jc w:val="center"/>
                    <w:rPr>
                      <w:b/>
                      <w:color w:val="auto"/>
                      <w:sz w:val="18"/>
                      <w:szCs w:val="18"/>
                    </w:rPr>
                  </w:pPr>
                </w:p>
              </w:tc>
            </w:tr>
            <w:tr w14:paraId="5B144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72" w:type="dxa"/>
                  <w:tcBorders>
                    <w:top w:val="single" w:color="auto" w:sz="4" w:space="0"/>
                    <w:left w:val="nil"/>
                    <w:bottom w:val="single" w:color="auto" w:sz="12" w:space="0"/>
                    <w:right w:val="single" w:color="auto" w:sz="4" w:space="0"/>
                  </w:tcBorders>
                  <w:vAlign w:val="center"/>
                </w:tcPr>
                <w:p w14:paraId="01FA1B32">
                  <w:pPr>
                    <w:adjustRightInd w:val="0"/>
                    <w:snapToGrid w:val="0"/>
                    <w:jc w:val="center"/>
                    <w:rPr>
                      <w:color w:val="auto"/>
                      <w:sz w:val="18"/>
                      <w:szCs w:val="18"/>
                    </w:rPr>
                  </w:pPr>
                  <w:r>
                    <w:rPr>
                      <w:rFonts w:hint="eastAsia"/>
                      <w:color w:val="auto"/>
                      <w:sz w:val="18"/>
                      <w:szCs w:val="18"/>
                    </w:rPr>
                    <w:t>连云港</w:t>
                  </w:r>
                  <w:r>
                    <w:rPr>
                      <w:color w:val="auto"/>
                      <w:sz w:val="18"/>
                      <w:szCs w:val="18"/>
                    </w:rPr>
                    <w:t>市</w:t>
                  </w:r>
                </w:p>
              </w:tc>
              <w:tc>
                <w:tcPr>
                  <w:tcW w:w="708" w:type="dxa"/>
                  <w:tcBorders>
                    <w:top w:val="single" w:color="auto" w:sz="4" w:space="0"/>
                    <w:left w:val="single" w:color="auto" w:sz="4" w:space="0"/>
                    <w:bottom w:val="single" w:color="auto" w:sz="12" w:space="0"/>
                    <w:right w:val="single" w:color="auto" w:sz="4" w:space="0"/>
                  </w:tcBorders>
                  <w:vAlign w:val="center"/>
                </w:tcPr>
                <w:p w14:paraId="5D722D49">
                  <w:pPr>
                    <w:adjustRightInd w:val="0"/>
                    <w:snapToGrid w:val="0"/>
                    <w:jc w:val="center"/>
                    <w:rPr>
                      <w:color w:val="auto"/>
                      <w:sz w:val="18"/>
                      <w:szCs w:val="18"/>
                    </w:rPr>
                  </w:pPr>
                  <w:r>
                    <w:rPr>
                      <w:rFonts w:hint="eastAsia"/>
                      <w:color w:val="auto"/>
                      <w:sz w:val="18"/>
                      <w:szCs w:val="18"/>
                    </w:rPr>
                    <w:t>灌南县</w:t>
                  </w:r>
                </w:p>
              </w:tc>
              <w:tc>
                <w:tcPr>
                  <w:tcW w:w="1419" w:type="dxa"/>
                  <w:tcBorders>
                    <w:top w:val="single" w:color="auto" w:sz="4" w:space="0"/>
                    <w:left w:val="single" w:color="auto" w:sz="4" w:space="0"/>
                    <w:bottom w:val="single" w:color="auto" w:sz="12" w:space="0"/>
                    <w:right w:val="single" w:color="auto" w:sz="4" w:space="0"/>
                  </w:tcBorders>
                  <w:vAlign w:val="center"/>
                </w:tcPr>
                <w:p w14:paraId="0795243D">
                  <w:pPr>
                    <w:adjustRightInd w:val="0"/>
                    <w:snapToGrid w:val="0"/>
                    <w:jc w:val="center"/>
                    <w:rPr>
                      <w:color w:val="auto"/>
                      <w:sz w:val="18"/>
                      <w:szCs w:val="18"/>
                    </w:rPr>
                  </w:pPr>
                  <w:r>
                    <w:rPr>
                      <w:rFonts w:hint="eastAsia"/>
                      <w:color w:val="auto"/>
                      <w:sz w:val="18"/>
                      <w:szCs w:val="18"/>
                    </w:rPr>
                    <w:t>灌南县北六塘河饮用水水源保护区</w:t>
                  </w:r>
                </w:p>
              </w:tc>
              <w:tc>
                <w:tcPr>
                  <w:tcW w:w="1558" w:type="dxa"/>
                  <w:tcBorders>
                    <w:top w:val="single" w:color="auto" w:sz="4" w:space="0"/>
                    <w:left w:val="single" w:color="auto" w:sz="4" w:space="0"/>
                    <w:bottom w:val="single" w:color="auto" w:sz="12" w:space="0"/>
                    <w:right w:val="single" w:color="auto" w:sz="4" w:space="0"/>
                  </w:tcBorders>
                  <w:vAlign w:val="center"/>
                </w:tcPr>
                <w:p w14:paraId="67C9672A">
                  <w:pPr>
                    <w:adjustRightInd w:val="0"/>
                    <w:snapToGrid w:val="0"/>
                    <w:jc w:val="center"/>
                    <w:rPr>
                      <w:color w:val="auto"/>
                      <w:sz w:val="18"/>
                      <w:szCs w:val="18"/>
                    </w:rPr>
                  </w:pPr>
                  <w:r>
                    <w:rPr>
                      <w:rFonts w:hint="eastAsia"/>
                      <w:color w:val="auto"/>
                      <w:sz w:val="18"/>
                      <w:szCs w:val="18"/>
                    </w:rPr>
                    <w:t>饮用水水源保护区</w:t>
                  </w:r>
                </w:p>
              </w:tc>
              <w:tc>
                <w:tcPr>
                  <w:tcW w:w="2273" w:type="dxa"/>
                  <w:tcBorders>
                    <w:top w:val="single" w:color="auto" w:sz="4" w:space="0"/>
                    <w:left w:val="single" w:color="auto" w:sz="4" w:space="0"/>
                    <w:bottom w:val="single" w:color="auto" w:sz="12" w:space="0"/>
                    <w:right w:val="single" w:color="auto" w:sz="4" w:space="0"/>
                  </w:tcBorders>
                  <w:vAlign w:val="center"/>
                </w:tcPr>
                <w:p w14:paraId="481C1DD1">
                  <w:pPr>
                    <w:adjustRightInd w:val="0"/>
                    <w:snapToGrid w:val="0"/>
                    <w:jc w:val="center"/>
                    <w:rPr>
                      <w:color w:val="auto"/>
                      <w:sz w:val="18"/>
                      <w:szCs w:val="18"/>
                    </w:rPr>
                  </w:pPr>
                  <w:r>
                    <w:rPr>
                      <w:rFonts w:hint="eastAsia"/>
                      <w:color w:val="auto"/>
                      <w:sz w:val="18"/>
                      <w:szCs w:val="18"/>
                    </w:rPr>
                    <w:t>一级保护区：取水口上游</w:t>
                  </w:r>
                  <w:r>
                    <w:rPr>
                      <w:color w:val="auto"/>
                      <w:sz w:val="18"/>
                      <w:szCs w:val="18"/>
                    </w:rPr>
                    <w:t>1000</w:t>
                  </w:r>
                  <w:r>
                    <w:rPr>
                      <w:rFonts w:hint="eastAsia"/>
                      <w:color w:val="auto"/>
                      <w:sz w:val="18"/>
                      <w:szCs w:val="18"/>
                    </w:rPr>
                    <w:t>米至下游</w:t>
                  </w:r>
                  <w:r>
                    <w:rPr>
                      <w:color w:val="auto"/>
                      <w:sz w:val="18"/>
                      <w:szCs w:val="18"/>
                    </w:rPr>
                    <w:t>500</w:t>
                  </w:r>
                  <w:r>
                    <w:rPr>
                      <w:rFonts w:hint="eastAsia"/>
                      <w:color w:val="auto"/>
                      <w:sz w:val="18"/>
                      <w:szCs w:val="18"/>
                    </w:rPr>
                    <w:t>米，及其两岸背水坡之间的水域范围和一级保护区水域与两岸背水坡堤脚之间的陆域范围；</w:t>
                  </w:r>
                </w:p>
                <w:p w14:paraId="42432789">
                  <w:pPr>
                    <w:adjustRightInd w:val="0"/>
                    <w:snapToGrid w:val="0"/>
                    <w:jc w:val="center"/>
                    <w:rPr>
                      <w:color w:val="auto"/>
                      <w:sz w:val="18"/>
                      <w:szCs w:val="18"/>
                    </w:rPr>
                  </w:pPr>
                  <w:r>
                    <w:rPr>
                      <w:rFonts w:hint="eastAsia"/>
                      <w:color w:val="auto"/>
                      <w:sz w:val="18"/>
                      <w:szCs w:val="18"/>
                    </w:rPr>
                    <w:t>二级保护区：一级保护区以外上溯</w:t>
                  </w:r>
                  <w:r>
                    <w:rPr>
                      <w:color w:val="auto"/>
                      <w:sz w:val="18"/>
                      <w:szCs w:val="18"/>
                    </w:rPr>
                    <w:t>2000</w:t>
                  </w:r>
                  <w:r>
                    <w:rPr>
                      <w:rFonts w:hint="eastAsia"/>
                      <w:color w:val="auto"/>
                      <w:sz w:val="18"/>
                      <w:szCs w:val="18"/>
                    </w:rPr>
                    <w:t>米、下延</w:t>
                  </w:r>
                  <w:r>
                    <w:rPr>
                      <w:color w:val="auto"/>
                      <w:sz w:val="18"/>
                      <w:szCs w:val="18"/>
                    </w:rPr>
                    <w:t>500</w:t>
                  </w:r>
                  <w:r>
                    <w:rPr>
                      <w:rFonts w:hint="eastAsia"/>
                      <w:color w:val="auto"/>
                      <w:sz w:val="18"/>
                      <w:szCs w:val="18"/>
                    </w:rPr>
                    <w:t xml:space="preserve">米的水域范围和二级保护区水域与两岸背水坡堤脚之间的陆域范围。 </w:t>
                  </w:r>
                </w:p>
                <w:p w14:paraId="7948B0C2">
                  <w:pPr>
                    <w:adjustRightInd w:val="0"/>
                    <w:snapToGrid w:val="0"/>
                    <w:jc w:val="center"/>
                    <w:rPr>
                      <w:color w:val="auto"/>
                      <w:sz w:val="18"/>
                      <w:szCs w:val="18"/>
                    </w:rPr>
                  </w:pPr>
                  <w:r>
                    <w:rPr>
                      <w:rFonts w:hint="eastAsia"/>
                      <w:color w:val="auto"/>
                      <w:sz w:val="18"/>
                      <w:szCs w:val="18"/>
                    </w:rPr>
                    <w:t>准保护区：二级保护区以外上溯</w:t>
                  </w:r>
                  <w:r>
                    <w:rPr>
                      <w:color w:val="auto"/>
                      <w:sz w:val="18"/>
                      <w:szCs w:val="18"/>
                    </w:rPr>
                    <w:t>2000</w:t>
                  </w:r>
                  <w:r>
                    <w:rPr>
                      <w:rFonts w:hint="eastAsia"/>
                      <w:color w:val="auto"/>
                      <w:sz w:val="18"/>
                      <w:szCs w:val="18"/>
                    </w:rPr>
                    <w:t>米、下延</w:t>
                  </w:r>
                  <w:r>
                    <w:rPr>
                      <w:color w:val="auto"/>
                      <w:sz w:val="18"/>
                      <w:szCs w:val="18"/>
                    </w:rPr>
                    <w:t>1000</w:t>
                  </w:r>
                  <w:r>
                    <w:rPr>
                      <w:rFonts w:hint="eastAsia"/>
                      <w:color w:val="auto"/>
                      <w:sz w:val="18"/>
                      <w:szCs w:val="18"/>
                    </w:rPr>
                    <w:t>米的水域范围以及准保护区水域与相对应的两岸背水坡堤脚外</w:t>
                  </w:r>
                  <w:r>
                    <w:rPr>
                      <w:color w:val="auto"/>
                      <w:sz w:val="18"/>
                      <w:szCs w:val="18"/>
                    </w:rPr>
                    <w:t>100</w:t>
                  </w:r>
                  <w:r>
                    <w:rPr>
                      <w:rFonts w:hint="eastAsia"/>
                      <w:color w:val="auto"/>
                      <w:sz w:val="18"/>
                      <w:szCs w:val="18"/>
                    </w:rPr>
                    <w:t>米之间的范围</w:t>
                  </w:r>
                </w:p>
              </w:tc>
              <w:tc>
                <w:tcPr>
                  <w:tcW w:w="754" w:type="dxa"/>
                  <w:tcBorders>
                    <w:top w:val="single" w:color="auto" w:sz="4" w:space="0"/>
                    <w:left w:val="single" w:color="auto" w:sz="4" w:space="0"/>
                    <w:bottom w:val="single" w:color="auto" w:sz="12" w:space="0"/>
                    <w:right w:val="single" w:color="auto" w:sz="4" w:space="0"/>
                  </w:tcBorders>
                  <w:vAlign w:val="center"/>
                </w:tcPr>
                <w:p w14:paraId="46A7B540">
                  <w:pPr>
                    <w:adjustRightInd w:val="0"/>
                    <w:snapToGrid w:val="0"/>
                    <w:jc w:val="center"/>
                    <w:rPr>
                      <w:color w:val="auto"/>
                      <w:sz w:val="18"/>
                      <w:szCs w:val="18"/>
                    </w:rPr>
                  </w:pPr>
                  <w:r>
                    <w:rPr>
                      <w:rFonts w:hint="eastAsia"/>
                      <w:color w:val="auto"/>
                      <w:sz w:val="18"/>
                      <w:szCs w:val="18"/>
                    </w:rPr>
                    <w:t>3.40</w:t>
                  </w:r>
                </w:p>
              </w:tc>
              <w:tc>
                <w:tcPr>
                  <w:tcW w:w="1041" w:type="dxa"/>
                  <w:tcBorders>
                    <w:top w:val="single" w:color="auto" w:sz="4" w:space="0"/>
                    <w:left w:val="single" w:color="auto" w:sz="4" w:space="0"/>
                    <w:bottom w:val="single" w:color="auto" w:sz="12" w:space="0"/>
                    <w:right w:val="nil"/>
                  </w:tcBorders>
                  <w:vAlign w:val="center"/>
                </w:tcPr>
                <w:p w14:paraId="064E73AA">
                  <w:pPr>
                    <w:adjustRightInd w:val="0"/>
                    <w:snapToGrid w:val="0"/>
                    <w:jc w:val="center"/>
                    <w:rPr>
                      <w:color w:val="auto"/>
                      <w:sz w:val="18"/>
                      <w:szCs w:val="18"/>
                    </w:rPr>
                  </w:pPr>
                  <w:r>
                    <w:rPr>
                      <w:rFonts w:hint="eastAsia"/>
                      <w:color w:val="auto"/>
                      <w:sz w:val="18"/>
                      <w:szCs w:val="18"/>
                    </w:rPr>
                    <w:t>建设项目</w:t>
                  </w:r>
                  <w:r>
                    <w:rPr>
                      <w:color w:val="auto"/>
                      <w:sz w:val="18"/>
                      <w:szCs w:val="18"/>
                    </w:rPr>
                    <w:t>在生态红线</w:t>
                  </w:r>
                  <w:r>
                    <w:rPr>
                      <w:rFonts w:hint="eastAsia"/>
                      <w:color w:val="auto"/>
                      <w:sz w:val="18"/>
                      <w:szCs w:val="18"/>
                    </w:rPr>
                    <w:t>西南</w:t>
                  </w:r>
                  <w:r>
                    <w:rPr>
                      <w:color w:val="auto"/>
                      <w:sz w:val="18"/>
                      <w:szCs w:val="18"/>
                    </w:rPr>
                    <w:t>方向</w:t>
                  </w:r>
                  <w:r>
                    <w:rPr>
                      <w:rFonts w:hint="eastAsia"/>
                      <w:color w:val="auto"/>
                      <w:sz w:val="18"/>
                      <w:szCs w:val="18"/>
                    </w:rPr>
                    <w:t>9.73</w:t>
                  </w:r>
                  <w:r>
                    <w:rPr>
                      <w:color w:val="auto"/>
                      <w:sz w:val="18"/>
                      <w:szCs w:val="18"/>
                    </w:rPr>
                    <w:t>km左右，不在管控范围之内</w:t>
                  </w:r>
                </w:p>
              </w:tc>
            </w:tr>
          </w:tbl>
          <w:p w14:paraId="4C034DAE">
            <w:pPr>
              <w:adjustRightInd w:val="0"/>
              <w:snapToGrid w:val="0"/>
              <w:spacing w:before="120" w:beforeLines="50" w:line="360" w:lineRule="auto"/>
              <w:ind w:firstLine="480" w:firstLineChars="200"/>
              <w:rPr>
                <w:color w:val="auto"/>
                <w:sz w:val="24"/>
              </w:rPr>
            </w:pPr>
            <w:r>
              <w:rPr>
                <w:color w:val="auto"/>
                <w:sz w:val="24"/>
              </w:rPr>
              <w:t>建设项目与江苏省国家级生态保护红线区域位置关系详见</w:t>
            </w:r>
            <w:r>
              <w:rPr>
                <w:b/>
                <w:color w:val="auto"/>
                <w:sz w:val="24"/>
              </w:rPr>
              <w:t>附图</w:t>
            </w:r>
            <w:r>
              <w:rPr>
                <w:rFonts w:hint="eastAsia"/>
                <w:b/>
                <w:color w:val="auto"/>
                <w:sz w:val="24"/>
              </w:rPr>
              <w:t>1</w:t>
            </w:r>
            <w:r>
              <w:rPr>
                <w:color w:val="auto"/>
                <w:sz w:val="24"/>
              </w:rPr>
              <w:t>，距离最近的为</w:t>
            </w:r>
            <w:r>
              <w:rPr>
                <w:rFonts w:hint="eastAsia"/>
                <w:color w:val="auto"/>
                <w:sz w:val="24"/>
                <w:lang w:eastAsia="zh-CN"/>
              </w:rPr>
              <w:t>东北</w:t>
            </w:r>
            <w:r>
              <w:rPr>
                <w:color w:val="auto"/>
                <w:sz w:val="24"/>
              </w:rPr>
              <w:t>侧</w:t>
            </w:r>
            <w:r>
              <w:rPr>
                <w:rFonts w:hint="eastAsia"/>
                <w:color w:val="auto"/>
                <w:sz w:val="24"/>
              </w:rPr>
              <w:t>9.73</w:t>
            </w:r>
            <w:r>
              <w:rPr>
                <w:color w:val="auto"/>
                <w:sz w:val="24"/>
              </w:rPr>
              <w:t>km左右</w:t>
            </w:r>
            <w:r>
              <w:rPr>
                <w:rFonts w:hint="eastAsia" w:eastAsiaTheme="minorEastAsia"/>
                <w:color w:val="auto"/>
                <w:kern w:val="0"/>
                <w:sz w:val="24"/>
                <w:lang w:val="zh-CN"/>
              </w:rPr>
              <w:t>的</w:t>
            </w:r>
            <w:r>
              <w:rPr>
                <w:rFonts w:hint="eastAsia" w:eastAsiaTheme="minorEastAsia"/>
                <w:color w:val="auto"/>
                <w:kern w:val="0"/>
                <w:sz w:val="24"/>
              </w:rPr>
              <w:t>灌南县北六塘河饮用水水源保护区</w:t>
            </w:r>
            <w:r>
              <w:rPr>
                <w:rFonts w:hint="eastAsia" w:eastAsiaTheme="minorEastAsia"/>
                <w:color w:val="auto"/>
                <w:kern w:val="0"/>
                <w:sz w:val="24"/>
                <w:lang w:val="zh-CN"/>
              </w:rPr>
              <w:t>，</w:t>
            </w:r>
            <w:r>
              <w:rPr>
                <w:color w:val="auto"/>
                <w:sz w:val="24"/>
              </w:rPr>
              <w:t>不在确定的江苏省国家级生态保护红线区域之内。建设项目生活</w:t>
            </w:r>
            <w:r>
              <w:rPr>
                <w:rFonts w:hint="eastAsia"/>
                <w:color w:val="auto"/>
                <w:sz w:val="24"/>
              </w:rPr>
              <w:t>污</w:t>
            </w:r>
            <w:r>
              <w:rPr>
                <w:color w:val="auto"/>
                <w:sz w:val="24"/>
              </w:rPr>
              <w:t>水经化粪池处理</w:t>
            </w:r>
            <w:r>
              <w:rPr>
                <w:rFonts w:hint="eastAsia"/>
                <w:color w:val="auto"/>
                <w:sz w:val="24"/>
              </w:rPr>
              <w:t>后</w:t>
            </w:r>
            <w:r>
              <w:rPr>
                <w:rFonts w:hint="eastAsia" w:eastAsiaTheme="minorEastAsia"/>
                <w:color w:val="auto"/>
                <w:kern w:val="0"/>
                <w:sz w:val="24"/>
                <w:lang w:val="zh-CN"/>
              </w:rPr>
              <w:t>接管高沟镇污水处理厂</w:t>
            </w:r>
            <w:r>
              <w:rPr>
                <w:rFonts w:hint="eastAsia" w:hAnsi="宋体"/>
                <w:color w:val="auto"/>
                <w:sz w:val="24"/>
              </w:rPr>
              <w:t>。</w:t>
            </w:r>
            <w:r>
              <w:rPr>
                <w:color w:val="auto"/>
                <w:sz w:val="24"/>
              </w:rPr>
              <w:t>与江苏省国家级生态保护红线区域无直接的水力交换关系。因此项目的建设符合《省政府关于印发江苏省国家级生态保护红线规划的通知》（苏政发〔2018〕74号）的要求。</w:t>
            </w:r>
          </w:p>
          <w:p w14:paraId="64A372B9">
            <w:pPr>
              <w:adjustRightInd w:val="0"/>
              <w:snapToGrid w:val="0"/>
              <w:spacing w:before="120" w:beforeLines="50" w:line="360" w:lineRule="auto"/>
              <w:ind w:firstLine="480" w:firstLineChars="200"/>
              <w:rPr>
                <w:rFonts w:hint="eastAsia" w:hAnsi="宋体"/>
                <w:bCs/>
                <w:color w:val="auto"/>
                <w:sz w:val="24"/>
              </w:rPr>
            </w:pPr>
            <w:r>
              <w:rPr>
                <w:rFonts w:hint="eastAsia" w:hAnsi="宋体"/>
                <w:bCs/>
                <w:color w:val="auto"/>
                <w:sz w:val="24"/>
              </w:rPr>
              <w:t>对照《2023年生态环境分区管控成果动态更新工作方案》（环办环评函﹝2023﹞81号）以及江苏省生态环境厅发布的江苏省生态环境分区管控服务平台（http://ywxt.sthjt.jiangsu.gov.cn:8089/sxydOuter/#/Homepage），本项目位于重点管控单元（单元名称；涟水县高沟镇工业集中区；单元编码：</w:t>
            </w:r>
            <w:r>
              <w:rPr>
                <w:rFonts w:hint="eastAsia" w:hAnsi="宋体"/>
                <w:bCs/>
                <w:color w:val="auto"/>
                <w:sz w:val="24"/>
                <w:lang w:val="en-US" w:eastAsia="zh-CN"/>
              </w:rPr>
              <w:t>ZH32082620198</w:t>
            </w:r>
            <w:r>
              <w:rPr>
                <w:rFonts w:hint="eastAsia" w:hAnsi="宋体"/>
                <w:bCs/>
                <w:color w:val="auto"/>
                <w:sz w:val="24"/>
              </w:rPr>
              <w:t>），与管控单元相符性见下表1.3-2。</w:t>
            </w:r>
          </w:p>
          <w:p w14:paraId="22DC58FF">
            <w:pPr>
              <w:adjustRightInd w:val="0"/>
              <w:snapToGrid w:val="0"/>
              <w:spacing w:line="360" w:lineRule="auto"/>
              <w:ind w:firstLine="480" w:firstLineChars="200"/>
              <w:rPr>
                <w:rFonts w:hint="eastAsia" w:ascii="宋体" w:hAnsi="宋体" w:cs="宋体"/>
                <w:color w:val="auto"/>
                <w:sz w:val="24"/>
              </w:rPr>
            </w:pPr>
          </w:p>
          <w:p w14:paraId="48808720">
            <w:pPr>
              <w:pStyle w:val="52"/>
              <w:snapToGrid w:val="0"/>
              <w:spacing w:before="120" w:beforeLines="50" w:line="360" w:lineRule="auto"/>
              <w:jc w:val="center"/>
              <w:rPr>
                <w:rFonts w:ascii="Times New Roman"/>
                <w:b/>
                <w:bCs/>
                <w:color w:val="auto"/>
                <w:sz w:val="21"/>
                <w:szCs w:val="21"/>
              </w:rPr>
            </w:pPr>
            <w:r>
              <w:rPr>
                <w:color w:val="auto"/>
              </w:rPr>
              <w:drawing>
                <wp:inline distT="0" distB="0" distL="114300" distR="114300">
                  <wp:extent cx="5344160" cy="2492375"/>
                  <wp:effectExtent l="0" t="0" r="889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344160" cy="2492375"/>
                          </a:xfrm>
                          <a:prstGeom prst="rect">
                            <a:avLst/>
                          </a:prstGeom>
                          <a:noFill/>
                          <a:ln>
                            <a:noFill/>
                          </a:ln>
                        </pic:spPr>
                      </pic:pic>
                    </a:graphicData>
                  </a:graphic>
                </wp:inline>
              </w:drawing>
            </w:r>
          </w:p>
          <w:p w14:paraId="3A78DD15">
            <w:pPr>
              <w:pStyle w:val="52"/>
              <w:snapToGrid w:val="0"/>
              <w:spacing w:before="120" w:beforeLines="50" w:line="300" w:lineRule="exact"/>
              <w:jc w:val="center"/>
              <w:rPr>
                <w:rFonts w:ascii="Times New Roman"/>
                <w:b/>
                <w:bCs/>
                <w:color w:val="auto"/>
                <w:sz w:val="21"/>
                <w:szCs w:val="21"/>
              </w:rPr>
            </w:pPr>
            <w:r>
              <w:rPr>
                <w:rFonts w:hint="eastAsia" w:ascii="Times New Roman"/>
                <w:b/>
                <w:bCs/>
                <w:color w:val="auto"/>
                <w:sz w:val="21"/>
                <w:szCs w:val="21"/>
              </w:rPr>
              <w:t>图1-1江苏省生态空间管控综合服务系统准入分析查询结果图</w:t>
            </w:r>
          </w:p>
          <w:p w14:paraId="3268D712">
            <w:pPr>
              <w:adjustRightInd w:val="0"/>
              <w:snapToGrid w:val="0"/>
              <w:jc w:val="center"/>
              <w:rPr>
                <w:color w:val="auto"/>
              </w:rPr>
            </w:pPr>
            <w:r>
              <w:rPr>
                <w:rFonts w:hAnsi="宋体"/>
                <w:b/>
                <w:color w:val="auto"/>
                <w:sz w:val="24"/>
              </w:rPr>
              <w:t>表</w:t>
            </w:r>
            <w:r>
              <w:rPr>
                <w:b/>
                <w:color w:val="auto"/>
                <w:sz w:val="24"/>
              </w:rPr>
              <w:t>1</w:t>
            </w:r>
            <w:r>
              <w:rPr>
                <w:rFonts w:hint="eastAsia"/>
                <w:b/>
                <w:color w:val="auto"/>
                <w:sz w:val="24"/>
              </w:rPr>
              <w:t>.3</w:t>
            </w:r>
            <w:r>
              <w:rPr>
                <w:b/>
                <w:color w:val="auto"/>
                <w:sz w:val="24"/>
              </w:rPr>
              <w:t>-</w:t>
            </w:r>
            <w:r>
              <w:rPr>
                <w:rFonts w:hint="eastAsia"/>
                <w:b/>
                <w:color w:val="auto"/>
                <w:sz w:val="24"/>
              </w:rPr>
              <w:t>2</w:t>
            </w:r>
            <w:r>
              <w:rPr>
                <w:b/>
                <w:color w:val="auto"/>
                <w:sz w:val="24"/>
              </w:rPr>
              <w:t xml:space="preserve">  </w:t>
            </w:r>
            <w:r>
              <w:rPr>
                <w:rFonts w:hint="eastAsia"/>
                <w:b/>
                <w:color w:val="auto"/>
                <w:sz w:val="24"/>
              </w:rPr>
              <w:t>淮安市环境管控单元名录(涟水县)</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0"/>
              <w:gridCol w:w="581"/>
              <w:gridCol w:w="1529"/>
              <w:gridCol w:w="4246"/>
              <w:gridCol w:w="1502"/>
            </w:tblGrid>
            <w:tr w14:paraId="788CD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bottom w:val="single" w:color="auto" w:sz="12" w:space="0"/>
                  </w:tcBorders>
                  <w:vAlign w:val="center"/>
                </w:tcPr>
                <w:p w14:paraId="1FEE14A1">
                  <w:pPr>
                    <w:adjustRightInd w:val="0"/>
                    <w:snapToGrid w:val="0"/>
                    <w:jc w:val="center"/>
                    <w:rPr>
                      <w:b/>
                      <w:color w:val="auto"/>
                      <w:szCs w:val="21"/>
                    </w:rPr>
                  </w:pPr>
                  <w:r>
                    <w:rPr>
                      <w:b/>
                      <w:color w:val="auto"/>
                      <w:szCs w:val="21"/>
                    </w:rPr>
                    <w:t>行政区</w:t>
                  </w:r>
                </w:p>
              </w:tc>
              <w:tc>
                <w:tcPr>
                  <w:tcW w:w="345" w:type="pct"/>
                  <w:tcBorders>
                    <w:top w:val="single" w:color="auto" w:sz="12" w:space="0"/>
                    <w:bottom w:val="single" w:color="auto" w:sz="12" w:space="0"/>
                  </w:tcBorders>
                  <w:vAlign w:val="center"/>
                </w:tcPr>
                <w:p w14:paraId="71CFBD1E">
                  <w:pPr>
                    <w:adjustRightInd w:val="0"/>
                    <w:snapToGrid w:val="0"/>
                    <w:jc w:val="center"/>
                    <w:rPr>
                      <w:b/>
                      <w:color w:val="auto"/>
                      <w:szCs w:val="21"/>
                    </w:rPr>
                  </w:pPr>
                  <w:r>
                    <w:rPr>
                      <w:b/>
                      <w:color w:val="auto"/>
                      <w:szCs w:val="21"/>
                    </w:rPr>
                    <w:t>单元总数</w:t>
                  </w:r>
                </w:p>
              </w:tc>
              <w:tc>
                <w:tcPr>
                  <w:tcW w:w="908" w:type="pct"/>
                  <w:tcBorders>
                    <w:top w:val="single" w:color="auto" w:sz="12" w:space="0"/>
                    <w:bottom w:val="single" w:color="auto" w:sz="12" w:space="0"/>
                  </w:tcBorders>
                  <w:vAlign w:val="center"/>
                </w:tcPr>
                <w:p w14:paraId="79BF58F3">
                  <w:pPr>
                    <w:adjustRightInd w:val="0"/>
                    <w:snapToGrid w:val="0"/>
                    <w:jc w:val="center"/>
                    <w:rPr>
                      <w:b/>
                      <w:color w:val="auto"/>
                      <w:szCs w:val="21"/>
                    </w:rPr>
                  </w:pPr>
                  <w:r>
                    <w:rPr>
                      <w:b/>
                      <w:color w:val="auto"/>
                      <w:szCs w:val="21"/>
                    </w:rPr>
                    <w:t>优先保护单元（生态保护红线、生态空间管控区域）</w:t>
                  </w:r>
                </w:p>
              </w:tc>
              <w:tc>
                <w:tcPr>
                  <w:tcW w:w="2522" w:type="pct"/>
                  <w:tcBorders>
                    <w:top w:val="single" w:color="auto" w:sz="12" w:space="0"/>
                    <w:bottom w:val="single" w:color="auto" w:sz="12" w:space="0"/>
                  </w:tcBorders>
                  <w:vAlign w:val="center"/>
                </w:tcPr>
                <w:p w14:paraId="2E1B381B">
                  <w:pPr>
                    <w:adjustRightInd w:val="0"/>
                    <w:snapToGrid w:val="0"/>
                    <w:jc w:val="center"/>
                    <w:rPr>
                      <w:b/>
                      <w:color w:val="auto"/>
                      <w:szCs w:val="21"/>
                    </w:rPr>
                  </w:pPr>
                  <w:r>
                    <w:rPr>
                      <w:b/>
                      <w:color w:val="auto"/>
                      <w:szCs w:val="21"/>
                    </w:rPr>
                    <w:t>重点管控单元（产业园区、中心城区）</w:t>
                  </w:r>
                </w:p>
              </w:tc>
              <w:tc>
                <w:tcPr>
                  <w:tcW w:w="890" w:type="pct"/>
                  <w:tcBorders>
                    <w:top w:val="single" w:color="auto" w:sz="12" w:space="0"/>
                    <w:bottom w:val="single" w:color="auto" w:sz="12" w:space="0"/>
                    <w:right w:val="nil"/>
                  </w:tcBorders>
                  <w:vAlign w:val="center"/>
                </w:tcPr>
                <w:p w14:paraId="1BC1F7B3">
                  <w:pPr>
                    <w:adjustRightInd w:val="0"/>
                    <w:snapToGrid w:val="0"/>
                    <w:jc w:val="center"/>
                    <w:rPr>
                      <w:b/>
                      <w:color w:val="auto"/>
                      <w:szCs w:val="21"/>
                    </w:rPr>
                  </w:pPr>
                  <w:r>
                    <w:rPr>
                      <w:b/>
                      <w:color w:val="auto"/>
                      <w:szCs w:val="21"/>
                    </w:rPr>
                    <w:t>一般管控单元</w:t>
                  </w:r>
                </w:p>
              </w:tc>
            </w:tr>
            <w:tr w14:paraId="54BD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bottom w:val="single" w:color="auto" w:sz="12" w:space="0"/>
                  </w:tcBorders>
                  <w:vAlign w:val="center"/>
                </w:tcPr>
                <w:p w14:paraId="6598193D">
                  <w:pPr>
                    <w:adjustRightInd w:val="0"/>
                    <w:snapToGrid w:val="0"/>
                    <w:rPr>
                      <w:color w:val="auto"/>
                      <w:sz w:val="18"/>
                      <w:szCs w:val="18"/>
                    </w:rPr>
                  </w:pPr>
                  <w:r>
                    <w:rPr>
                      <w:color w:val="auto"/>
                      <w:sz w:val="18"/>
                      <w:szCs w:val="18"/>
                    </w:rPr>
                    <w:t>涟水县</w:t>
                  </w:r>
                </w:p>
              </w:tc>
              <w:tc>
                <w:tcPr>
                  <w:tcW w:w="345" w:type="pct"/>
                  <w:tcBorders>
                    <w:top w:val="single" w:color="auto" w:sz="12" w:space="0"/>
                    <w:bottom w:val="single" w:color="auto" w:sz="12" w:space="0"/>
                  </w:tcBorders>
                  <w:vAlign w:val="center"/>
                </w:tcPr>
                <w:p w14:paraId="71FB7EAF">
                  <w:pPr>
                    <w:adjustRightInd w:val="0"/>
                    <w:snapToGrid w:val="0"/>
                    <w:rPr>
                      <w:color w:val="auto"/>
                      <w:sz w:val="18"/>
                      <w:szCs w:val="18"/>
                    </w:rPr>
                  </w:pPr>
                  <w:r>
                    <w:rPr>
                      <w:color w:val="auto"/>
                      <w:sz w:val="18"/>
                      <w:szCs w:val="18"/>
                    </w:rPr>
                    <w:t>58</w:t>
                  </w:r>
                </w:p>
              </w:tc>
              <w:tc>
                <w:tcPr>
                  <w:tcW w:w="908" w:type="pct"/>
                  <w:tcBorders>
                    <w:top w:val="single" w:color="auto" w:sz="12" w:space="0"/>
                    <w:bottom w:val="single" w:color="auto" w:sz="12" w:space="0"/>
                  </w:tcBorders>
                  <w:vAlign w:val="center"/>
                </w:tcPr>
                <w:p w14:paraId="5D66DFE7">
                  <w:pPr>
                    <w:adjustRightInd w:val="0"/>
                    <w:snapToGrid w:val="0"/>
                    <w:rPr>
                      <w:color w:val="auto"/>
                      <w:sz w:val="18"/>
                      <w:szCs w:val="18"/>
                    </w:rPr>
                  </w:pPr>
                  <w:r>
                    <w:rPr>
                      <w:color w:val="auto"/>
                      <w:sz w:val="18"/>
                      <w:szCs w:val="18"/>
                    </w:rPr>
                    <w:t>3个</w:t>
                  </w:r>
                </w:p>
                <w:p w14:paraId="5ECAC191">
                  <w:pPr>
                    <w:adjustRightInd w:val="0"/>
                    <w:snapToGrid w:val="0"/>
                    <w:rPr>
                      <w:color w:val="auto"/>
                      <w:sz w:val="18"/>
                      <w:szCs w:val="18"/>
                    </w:rPr>
                  </w:pPr>
                  <w:r>
                    <w:rPr>
                      <w:color w:val="auto"/>
                      <w:sz w:val="18"/>
                      <w:szCs w:val="18"/>
                    </w:rPr>
                    <w:t>古黄河（涟水）饮用水水源保护区、江苏涟水涟漪湖黄嘴白鹭省级自然保护区、废黄河（涟水县）重要湿地</w:t>
                  </w:r>
                </w:p>
              </w:tc>
              <w:tc>
                <w:tcPr>
                  <w:tcW w:w="2522" w:type="pct"/>
                  <w:tcBorders>
                    <w:top w:val="single" w:color="auto" w:sz="12" w:space="0"/>
                    <w:bottom w:val="single" w:color="auto" w:sz="12" w:space="0"/>
                  </w:tcBorders>
                  <w:vAlign w:val="center"/>
                </w:tcPr>
                <w:p w14:paraId="5DB36E00">
                  <w:pPr>
                    <w:adjustRightInd w:val="0"/>
                    <w:snapToGrid w:val="0"/>
                    <w:rPr>
                      <w:color w:val="auto"/>
                      <w:sz w:val="18"/>
                      <w:szCs w:val="18"/>
                    </w:rPr>
                  </w:pPr>
                  <w:r>
                    <w:rPr>
                      <w:color w:val="auto"/>
                      <w:sz w:val="18"/>
                      <w:szCs w:val="18"/>
                    </w:rPr>
                    <w:t>36个</w:t>
                  </w:r>
                </w:p>
                <w:p w14:paraId="38796622">
                  <w:pPr>
                    <w:adjustRightInd w:val="0"/>
                    <w:snapToGrid w:val="0"/>
                    <w:rPr>
                      <w:color w:val="auto"/>
                      <w:sz w:val="18"/>
                      <w:szCs w:val="18"/>
                    </w:rPr>
                  </w:pPr>
                  <w:r>
                    <w:rPr>
                      <w:b/>
                      <w:color w:val="auto"/>
                      <w:sz w:val="18"/>
                      <w:szCs w:val="18"/>
                    </w:rPr>
                    <w:t>江苏涟水经济开发区</w:t>
                  </w:r>
                  <w:r>
                    <w:rPr>
                      <w:color w:val="auto"/>
                      <w:sz w:val="18"/>
                      <w:szCs w:val="18"/>
                    </w:rPr>
                    <w:t>、淮安(薛行）循环经济产业园、凌庄新型金属材料工业集中区、淮安(涟水)空港产业园、涟城街道工业集中区、红窑镇工业集中区、粱岔镇工业集中区、涟城街道(徐集)工业集中区、东胡集镇扶贫产业园、东胡集镇(嵇</w:t>
                  </w:r>
                  <w:r>
                    <w:rPr>
                      <w:rFonts w:hint="eastAsia"/>
                      <w:color w:val="auto"/>
                      <w:sz w:val="18"/>
                      <w:szCs w:val="18"/>
                      <w:lang w:eastAsia="zh-CN"/>
                    </w:rPr>
                    <w:t>集</w:t>
                  </w:r>
                  <w:r>
                    <w:rPr>
                      <w:color w:val="auto"/>
                      <w:sz w:val="18"/>
                      <w:szCs w:val="18"/>
                    </w:rPr>
                    <w:t>)工业集中区、陈师街道工业集中区、大东镇工业集中区、岔庙镇工业集中区、黄营镇工业集中区、黄营镇(北集)工业集中区、南集镇工业集中区、朱码街道工业集中区、朱码街道民营经济产业、朱码街道双河工业区、朱码街道河网工业区、成集镇工业集中区、红窑镇(义兴)工业集中区、高沟镇(灰墩)工业集中区、高沟镇（前进)工业集中区、唐集镇工业集中区、</w:t>
                  </w:r>
                  <w:r>
                    <w:rPr>
                      <w:b/>
                      <w:bCs/>
                      <w:color w:val="auto"/>
                      <w:sz w:val="18"/>
                      <w:szCs w:val="18"/>
                    </w:rPr>
                    <w:t>高沟镇工业集中区</w:t>
                  </w:r>
                  <w:r>
                    <w:rPr>
                      <w:color w:val="auto"/>
                      <w:sz w:val="18"/>
                      <w:szCs w:val="18"/>
                    </w:rPr>
                    <w:t>、高沟镇(高杨)集中区、食品产业园、五港镇工业集中区、五港</w:t>
                  </w:r>
                  <w:r>
                    <w:rPr>
                      <w:rFonts w:hint="eastAsia"/>
                      <w:color w:val="auto"/>
                      <w:sz w:val="18"/>
                      <w:szCs w:val="18"/>
                      <w:lang w:eastAsia="zh-CN"/>
                    </w:rPr>
                    <w:t>镇</w:t>
                  </w:r>
                  <w:r>
                    <w:rPr>
                      <w:color w:val="auto"/>
                      <w:sz w:val="18"/>
                      <w:szCs w:val="18"/>
                    </w:rPr>
                    <w:t>工业集中区拓展区</w:t>
                  </w:r>
                  <w:r>
                    <w:rPr>
                      <w:rFonts w:hint="eastAsia"/>
                      <w:color w:val="auto"/>
                      <w:sz w:val="18"/>
                      <w:szCs w:val="18"/>
                    </w:rPr>
                    <w:t>（</w:t>
                  </w:r>
                  <w:r>
                    <w:rPr>
                      <w:color w:val="auto"/>
                      <w:sz w:val="18"/>
                      <w:szCs w:val="18"/>
                    </w:rPr>
                    <w:t>再生纸</w:t>
                  </w:r>
                  <w:r>
                    <w:rPr>
                      <w:rFonts w:hint="eastAsia"/>
                      <w:color w:val="auto"/>
                      <w:sz w:val="18"/>
                      <w:szCs w:val="18"/>
                    </w:rPr>
                    <w:t>产业园）</w:t>
                  </w:r>
                  <w:r>
                    <w:rPr>
                      <w:color w:val="auto"/>
                      <w:sz w:val="18"/>
                      <w:szCs w:val="18"/>
                    </w:rPr>
                    <w:t>、石湖镇瓦房工业集中区、石湖镇外口工业集中区、石湖镇东兴</w:t>
                  </w:r>
                  <w:r>
                    <w:rPr>
                      <w:rFonts w:hint="eastAsia"/>
                      <w:color w:val="auto"/>
                      <w:sz w:val="18"/>
                      <w:szCs w:val="18"/>
                      <w:lang w:eastAsia="zh-CN"/>
                    </w:rPr>
                    <w:t>工业</w:t>
                  </w:r>
                  <w:r>
                    <w:rPr>
                      <w:color w:val="auto"/>
                      <w:sz w:val="18"/>
                      <w:szCs w:val="18"/>
                    </w:rPr>
                    <w:t>集中区、保滩街道（周集)工业集中区、保滩街道（十堡)工业集中区、淮安（薛行）循环经济产业园西区</w:t>
                  </w:r>
                </w:p>
              </w:tc>
              <w:tc>
                <w:tcPr>
                  <w:tcW w:w="890" w:type="pct"/>
                  <w:tcBorders>
                    <w:top w:val="single" w:color="auto" w:sz="12" w:space="0"/>
                    <w:bottom w:val="single" w:color="auto" w:sz="12" w:space="0"/>
                    <w:right w:val="nil"/>
                  </w:tcBorders>
                  <w:vAlign w:val="center"/>
                </w:tcPr>
                <w:p w14:paraId="72683C3C">
                  <w:pPr>
                    <w:adjustRightInd w:val="0"/>
                    <w:snapToGrid w:val="0"/>
                    <w:rPr>
                      <w:color w:val="auto"/>
                      <w:sz w:val="18"/>
                      <w:szCs w:val="18"/>
                    </w:rPr>
                  </w:pPr>
                  <w:r>
                    <w:rPr>
                      <w:color w:val="auto"/>
                      <w:sz w:val="18"/>
                      <w:szCs w:val="18"/>
                    </w:rPr>
                    <w:t>19个</w:t>
                  </w:r>
                </w:p>
                <w:p w14:paraId="7F95843C">
                  <w:pPr>
                    <w:adjustRightInd w:val="0"/>
                    <w:snapToGrid w:val="0"/>
                    <w:rPr>
                      <w:color w:val="auto"/>
                      <w:sz w:val="18"/>
                      <w:szCs w:val="18"/>
                    </w:rPr>
                  </w:pPr>
                  <w:r>
                    <w:rPr>
                      <w:color w:val="auto"/>
                      <w:sz w:val="18"/>
                      <w:szCs w:val="18"/>
                    </w:rPr>
                    <w:t>保滩街道、徐集乡(涟城街道)、黄营镇、涟城街道、高沟镇、唐集镇、大东镇、五港镇、梁岔镇、朱码街道、岔庙镇、东胡集镇、南集镇、义兴镇(红窑镇)、成集镇、红窑镇、陈师街道、前进镇(高沟镇)、石湖镇</w:t>
                  </w:r>
                </w:p>
              </w:tc>
            </w:tr>
            <w:tr w14:paraId="5380E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5"/>
                  <w:tcBorders>
                    <w:top w:val="single" w:color="auto" w:sz="12" w:space="0"/>
                    <w:left w:val="nil"/>
                    <w:right w:val="nil"/>
                  </w:tcBorders>
                  <w:vAlign w:val="center"/>
                </w:tcPr>
                <w:p w14:paraId="6063F1DB">
                  <w:pPr>
                    <w:spacing w:before="30" w:line="366" w:lineRule="auto"/>
                    <w:ind w:left="128" w:right="111" w:hanging="18"/>
                    <w:rPr>
                      <w:color w:val="auto"/>
                      <w:szCs w:val="21"/>
                    </w:rPr>
                  </w:pPr>
                  <w:bookmarkStart w:id="41" w:name="_GoBack"/>
                  <w:r>
                    <w:rPr>
                      <w:rFonts w:ascii="宋体" w:hAnsi="宋体" w:cs="宋体"/>
                      <w:color w:val="auto"/>
                      <w:spacing w:val="-5"/>
                      <w:sz w:val="18"/>
                      <w:szCs w:val="18"/>
                    </w:rPr>
                    <w:t>*</w:t>
                  </w:r>
                  <w:bookmarkEnd w:id="41"/>
                  <w:r>
                    <w:rPr>
                      <w:rFonts w:ascii="宋体" w:hAnsi="宋体" w:cs="宋体"/>
                      <w:color w:val="auto"/>
                      <w:spacing w:val="-5"/>
                      <w:sz w:val="18"/>
                      <w:szCs w:val="18"/>
                    </w:rPr>
                    <w:t>注： 本意见一般管控单元指各镇区扣除生态保护红线、生态空间管控区域、各级各类</w:t>
                  </w:r>
                  <w:r>
                    <w:rPr>
                      <w:rFonts w:ascii="宋体" w:hAnsi="宋体" w:cs="宋体"/>
                      <w:color w:val="auto"/>
                      <w:spacing w:val="-4"/>
                      <w:sz w:val="18"/>
                      <w:szCs w:val="18"/>
                    </w:rPr>
                    <w:t>产</w:t>
                  </w:r>
                  <w:r>
                    <w:rPr>
                      <w:rFonts w:ascii="宋体" w:hAnsi="宋体" w:cs="宋体"/>
                      <w:color w:val="auto"/>
                      <w:sz w:val="18"/>
                      <w:szCs w:val="18"/>
                    </w:rPr>
                    <w:t>业</w:t>
                  </w:r>
                  <w:r>
                    <w:rPr>
                      <w:rFonts w:ascii="宋体" w:hAnsi="宋体" w:cs="宋体"/>
                      <w:color w:val="auto"/>
                      <w:spacing w:val="-2"/>
                      <w:sz w:val="18"/>
                      <w:szCs w:val="18"/>
                    </w:rPr>
                    <w:t>园区和中心城区后的区域，</w:t>
                  </w:r>
                  <w:r>
                    <w:rPr>
                      <w:rFonts w:ascii="宋体" w:hAnsi="宋体" w:cs="宋体"/>
                      <w:color w:val="auto"/>
                      <w:spacing w:val="-1"/>
                      <w:sz w:val="18"/>
                      <w:szCs w:val="18"/>
                    </w:rPr>
                    <w:t>统一以乡镇/街道名称命名。</w:t>
                  </w:r>
                </w:p>
              </w:tc>
            </w:tr>
          </w:tbl>
          <w:p w14:paraId="2D1E712C">
            <w:pPr>
              <w:adjustRightInd w:val="0"/>
              <w:snapToGrid w:val="0"/>
              <w:spacing w:line="360" w:lineRule="auto"/>
              <w:ind w:firstLine="480" w:firstLineChars="200"/>
              <w:rPr>
                <w:rFonts w:hint="eastAsia" w:eastAsia="宋体"/>
                <w:color w:val="auto"/>
                <w:sz w:val="24"/>
                <w:lang w:val="en-US" w:eastAsia="zh-CN"/>
              </w:rPr>
            </w:pPr>
            <w:r>
              <w:rPr>
                <w:color w:val="auto"/>
                <w:sz w:val="24"/>
              </w:rPr>
              <w:t>对照表1</w:t>
            </w:r>
            <w:r>
              <w:rPr>
                <w:rFonts w:hint="eastAsia"/>
                <w:color w:val="auto"/>
                <w:sz w:val="24"/>
              </w:rPr>
              <w:t>.3</w:t>
            </w:r>
            <w:r>
              <w:rPr>
                <w:color w:val="auto"/>
                <w:sz w:val="24"/>
              </w:rPr>
              <w:t>-</w:t>
            </w:r>
            <w:r>
              <w:rPr>
                <w:rFonts w:hint="eastAsia"/>
                <w:color w:val="auto"/>
                <w:sz w:val="24"/>
              </w:rPr>
              <w:t>2淮安市环境管控单元名录(涟水县)</w:t>
            </w:r>
            <w:r>
              <w:rPr>
                <w:color w:val="auto"/>
                <w:sz w:val="24"/>
              </w:rPr>
              <w:t>，</w:t>
            </w:r>
            <w:r>
              <w:rPr>
                <w:rFonts w:hint="eastAsia"/>
                <w:color w:val="auto"/>
                <w:sz w:val="24"/>
              </w:rPr>
              <w:t>建设项目位于涟水县高沟镇工业集中区</w:t>
            </w:r>
            <w:r>
              <w:rPr>
                <w:color w:val="auto"/>
                <w:sz w:val="24"/>
              </w:rPr>
              <w:t>，属于</w:t>
            </w:r>
            <w:r>
              <w:rPr>
                <w:rFonts w:hint="eastAsia"/>
                <w:color w:val="auto"/>
                <w:sz w:val="24"/>
              </w:rPr>
              <w:t>重点</w:t>
            </w:r>
            <w:r>
              <w:rPr>
                <w:color w:val="auto"/>
                <w:sz w:val="24"/>
              </w:rPr>
              <w:t>管控单元</w:t>
            </w:r>
            <w:r>
              <w:rPr>
                <w:rFonts w:hint="eastAsia"/>
                <w:color w:val="auto"/>
                <w:sz w:val="24"/>
              </w:rPr>
              <w:t>事宜</w:t>
            </w:r>
            <w:r>
              <w:rPr>
                <w:rFonts w:hint="eastAsia"/>
                <w:color w:val="auto"/>
                <w:sz w:val="24"/>
                <w:lang w:eastAsia="zh-CN"/>
              </w:rPr>
              <w:t>。</w:t>
            </w:r>
          </w:p>
          <w:p w14:paraId="2A3EA534">
            <w:pPr>
              <w:adjustRightInd w:val="0"/>
              <w:snapToGrid w:val="0"/>
              <w:spacing w:line="360" w:lineRule="auto"/>
              <w:ind w:firstLine="482" w:firstLineChars="200"/>
              <w:rPr>
                <w:b/>
                <w:bCs/>
                <w:color w:val="auto"/>
                <w:sz w:val="24"/>
              </w:rPr>
            </w:pPr>
            <w:r>
              <w:rPr>
                <w:rFonts w:hint="eastAsia" w:ascii="宋体" w:hAnsi="宋体" w:cs="宋体"/>
                <w:b/>
                <w:bCs/>
                <w:color w:val="auto"/>
                <w:sz w:val="24"/>
              </w:rPr>
              <w:t>②</w:t>
            </w:r>
            <w:r>
              <w:rPr>
                <w:b/>
                <w:bCs/>
                <w:color w:val="auto"/>
                <w:sz w:val="24"/>
              </w:rPr>
              <w:t>与《江苏省生态空间管控区域规划》（苏政发〔2020〕1号）相符性分析</w:t>
            </w:r>
          </w:p>
          <w:p w14:paraId="709B4A81">
            <w:pPr>
              <w:adjustRightInd w:val="0"/>
              <w:snapToGrid w:val="0"/>
              <w:spacing w:line="360" w:lineRule="auto"/>
              <w:ind w:firstLine="480" w:firstLineChars="200"/>
              <w:rPr>
                <w:color w:val="auto"/>
                <w:sz w:val="24"/>
              </w:rPr>
            </w:pPr>
            <w:r>
              <w:rPr>
                <w:color w:val="auto"/>
                <w:sz w:val="24"/>
              </w:rPr>
              <w:t>建设项目与《江苏省生态空间管控区域规划》（苏政发〔2020〕1号）相符性分析见表1.3-</w:t>
            </w:r>
            <w:r>
              <w:rPr>
                <w:rFonts w:hint="eastAsia"/>
                <w:color w:val="auto"/>
                <w:sz w:val="24"/>
              </w:rPr>
              <w:t>3</w:t>
            </w:r>
            <w:r>
              <w:rPr>
                <w:color w:val="auto"/>
                <w:sz w:val="24"/>
              </w:rPr>
              <w:t>。</w:t>
            </w:r>
          </w:p>
          <w:p w14:paraId="31AD6F42">
            <w:pPr>
              <w:adjustRightInd w:val="0"/>
              <w:snapToGrid w:val="0"/>
              <w:jc w:val="center"/>
              <w:rPr>
                <w:b/>
                <w:color w:val="auto"/>
                <w:sz w:val="24"/>
              </w:rPr>
            </w:pPr>
            <w:r>
              <w:rPr>
                <w:b/>
                <w:color w:val="auto"/>
                <w:sz w:val="24"/>
              </w:rPr>
              <w:t>表1.3-</w:t>
            </w:r>
            <w:r>
              <w:rPr>
                <w:rFonts w:hint="eastAsia"/>
                <w:b/>
                <w:color w:val="auto"/>
                <w:sz w:val="24"/>
              </w:rPr>
              <w:t>3</w:t>
            </w:r>
            <w:r>
              <w:rPr>
                <w:b/>
                <w:color w:val="auto"/>
                <w:sz w:val="24"/>
              </w:rPr>
              <w:t xml:space="preserve">  建设项目与《江苏省生态空间管控区域规划》相符性分析</w:t>
            </w:r>
          </w:p>
          <w:tbl>
            <w:tblPr>
              <w:tblStyle w:val="4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71"/>
              <w:gridCol w:w="734"/>
              <w:gridCol w:w="689"/>
              <w:gridCol w:w="576"/>
              <w:gridCol w:w="1374"/>
              <w:gridCol w:w="1514"/>
              <w:gridCol w:w="761"/>
              <w:gridCol w:w="797"/>
              <w:gridCol w:w="530"/>
              <w:gridCol w:w="1067"/>
            </w:tblGrid>
            <w:tr w14:paraId="6F703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232" w:type="pct"/>
                  <w:vMerge w:val="restart"/>
                  <w:vAlign w:val="center"/>
                </w:tcPr>
                <w:p w14:paraId="684DE5CF">
                  <w:pPr>
                    <w:adjustRightInd w:val="0"/>
                    <w:snapToGrid w:val="0"/>
                    <w:jc w:val="center"/>
                    <w:rPr>
                      <w:b/>
                      <w:snapToGrid w:val="0"/>
                      <w:color w:val="auto"/>
                      <w:szCs w:val="21"/>
                    </w:rPr>
                  </w:pPr>
                  <w:r>
                    <w:rPr>
                      <w:b/>
                      <w:snapToGrid w:val="0"/>
                      <w:color w:val="auto"/>
                      <w:szCs w:val="21"/>
                    </w:rPr>
                    <w:t>序号</w:t>
                  </w:r>
                </w:p>
              </w:tc>
              <w:tc>
                <w:tcPr>
                  <w:tcW w:w="474" w:type="pct"/>
                  <w:vMerge w:val="restart"/>
                  <w:vAlign w:val="center"/>
                </w:tcPr>
                <w:p w14:paraId="16242475">
                  <w:pPr>
                    <w:adjustRightInd w:val="0"/>
                    <w:snapToGrid w:val="0"/>
                    <w:jc w:val="center"/>
                    <w:rPr>
                      <w:b/>
                      <w:snapToGrid w:val="0"/>
                      <w:color w:val="auto"/>
                      <w:szCs w:val="21"/>
                    </w:rPr>
                  </w:pPr>
                  <w:r>
                    <w:rPr>
                      <w:b/>
                      <w:color w:val="auto"/>
                      <w:szCs w:val="21"/>
                    </w:rPr>
                    <w:t>生态空间保护区域名称</w:t>
                  </w:r>
                </w:p>
              </w:tc>
              <w:tc>
                <w:tcPr>
                  <w:tcW w:w="342" w:type="pct"/>
                  <w:vMerge w:val="restart"/>
                  <w:vAlign w:val="center"/>
                </w:tcPr>
                <w:p w14:paraId="56C16432">
                  <w:pPr>
                    <w:adjustRightInd w:val="0"/>
                    <w:snapToGrid w:val="0"/>
                    <w:jc w:val="center"/>
                    <w:rPr>
                      <w:b/>
                      <w:snapToGrid w:val="0"/>
                      <w:color w:val="auto"/>
                      <w:szCs w:val="21"/>
                    </w:rPr>
                  </w:pPr>
                  <w:r>
                    <w:rPr>
                      <w:b/>
                      <w:color w:val="auto"/>
                      <w:szCs w:val="21"/>
                    </w:rPr>
                    <w:t>县（市、区）</w:t>
                  </w:r>
                </w:p>
              </w:tc>
              <w:tc>
                <w:tcPr>
                  <w:tcW w:w="367" w:type="pct"/>
                  <w:vMerge w:val="restart"/>
                  <w:vAlign w:val="center"/>
                </w:tcPr>
                <w:p w14:paraId="398B68FF">
                  <w:pPr>
                    <w:adjustRightInd w:val="0"/>
                    <w:snapToGrid w:val="0"/>
                    <w:jc w:val="center"/>
                    <w:rPr>
                      <w:b/>
                      <w:snapToGrid w:val="0"/>
                      <w:color w:val="auto"/>
                      <w:szCs w:val="21"/>
                    </w:rPr>
                  </w:pPr>
                  <w:r>
                    <w:rPr>
                      <w:b/>
                      <w:color w:val="auto"/>
                      <w:szCs w:val="21"/>
                    </w:rPr>
                    <w:t>主导生态功能</w:t>
                  </w:r>
                </w:p>
              </w:tc>
              <w:tc>
                <w:tcPr>
                  <w:tcW w:w="1765" w:type="pct"/>
                  <w:gridSpan w:val="2"/>
                  <w:vAlign w:val="center"/>
                </w:tcPr>
                <w:p w14:paraId="7DEAD9DA">
                  <w:pPr>
                    <w:adjustRightInd w:val="0"/>
                    <w:snapToGrid w:val="0"/>
                    <w:jc w:val="center"/>
                    <w:rPr>
                      <w:b/>
                      <w:snapToGrid w:val="0"/>
                      <w:color w:val="auto"/>
                      <w:szCs w:val="21"/>
                    </w:rPr>
                  </w:pPr>
                  <w:r>
                    <w:rPr>
                      <w:b/>
                      <w:snapToGrid w:val="0"/>
                      <w:color w:val="auto"/>
                      <w:szCs w:val="21"/>
                    </w:rPr>
                    <w:t>范围</w:t>
                  </w:r>
                </w:p>
              </w:tc>
              <w:tc>
                <w:tcPr>
                  <w:tcW w:w="1159" w:type="pct"/>
                  <w:gridSpan w:val="3"/>
                  <w:vAlign w:val="center"/>
                </w:tcPr>
                <w:p w14:paraId="67133227">
                  <w:pPr>
                    <w:adjustRightInd w:val="0"/>
                    <w:snapToGrid w:val="0"/>
                    <w:jc w:val="center"/>
                    <w:rPr>
                      <w:b/>
                      <w:snapToGrid w:val="0"/>
                      <w:color w:val="auto"/>
                      <w:szCs w:val="21"/>
                    </w:rPr>
                  </w:pPr>
                  <w:r>
                    <w:rPr>
                      <w:b/>
                      <w:snapToGrid w:val="0"/>
                      <w:color w:val="auto"/>
                      <w:szCs w:val="21"/>
                    </w:rPr>
                    <w:t>面积（平方公里）</w:t>
                  </w:r>
                </w:p>
              </w:tc>
              <w:tc>
                <w:tcPr>
                  <w:tcW w:w="658" w:type="pct"/>
                  <w:vMerge w:val="restart"/>
                  <w:vAlign w:val="center"/>
                </w:tcPr>
                <w:p w14:paraId="7475CC9C">
                  <w:pPr>
                    <w:adjustRightInd w:val="0"/>
                    <w:snapToGrid w:val="0"/>
                    <w:jc w:val="center"/>
                    <w:rPr>
                      <w:b/>
                      <w:color w:val="auto"/>
                      <w:szCs w:val="21"/>
                    </w:rPr>
                  </w:pPr>
                  <w:r>
                    <w:rPr>
                      <w:b/>
                      <w:color w:val="auto"/>
                      <w:szCs w:val="21"/>
                    </w:rPr>
                    <w:t>相符性分析</w:t>
                  </w:r>
                </w:p>
              </w:tc>
            </w:tr>
            <w:tr w14:paraId="6E006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232" w:type="pct"/>
                  <w:vMerge w:val="continue"/>
                  <w:vAlign w:val="center"/>
                </w:tcPr>
                <w:p w14:paraId="0FDB1840">
                  <w:pPr>
                    <w:adjustRightInd w:val="0"/>
                    <w:snapToGrid w:val="0"/>
                    <w:jc w:val="center"/>
                    <w:rPr>
                      <w:b/>
                      <w:snapToGrid w:val="0"/>
                      <w:color w:val="auto"/>
                      <w:szCs w:val="21"/>
                    </w:rPr>
                  </w:pPr>
                </w:p>
              </w:tc>
              <w:tc>
                <w:tcPr>
                  <w:tcW w:w="474" w:type="pct"/>
                  <w:vMerge w:val="continue"/>
                  <w:vAlign w:val="center"/>
                </w:tcPr>
                <w:p w14:paraId="11850BAA">
                  <w:pPr>
                    <w:adjustRightInd w:val="0"/>
                    <w:snapToGrid w:val="0"/>
                    <w:jc w:val="center"/>
                    <w:rPr>
                      <w:b/>
                      <w:color w:val="auto"/>
                      <w:szCs w:val="21"/>
                    </w:rPr>
                  </w:pPr>
                </w:p>
              </w:tc>
              <w:tc>
                <w:tcPr>
                  <w:tcW w:w="342" w:type="pct"/>
                  <w:vMerge w:val="continue"/>
                  <w:vAlign w:val="center"/>
                </w:tcPr>
                <w:p w14:paraId="4E2A0D52">
                  <w:pPr>
                    <w:adjustRightInd w:val="0"/>
                    <w:snapToGrid w:val="0"/>
                    <w:jc w:val="center"/>
                    <w:rPr>
                      <w:b/>
                      <w:color w:val="auto"/>
                      <w:szCs w:val="21"/>
                    </w:rPr>
                  </w:pPr>
                </w:p>
              </w:tc>
              <w:tc>
                <w:tcPr>
                  <w:tcW w:w="367" w:type="pct"/>
                  <w:vMerge w:val="continue"/>
                  <w:vAlign w:val="center"/>
                </w:tcPr>
                <w:p w14:paraId="755BE385">
                  <w:pPr>
                    <w:adjustRightInd w:val="0"/>
                    <w:snapToGrid w:val="0"/>
                    <w:jc w:val="center"/>
                    <w:rPr>
                      <w:b/>
                      <w:color w:val="auto"/>
                      <w:szCs w:val="21"/>
                    </w:rPr>
                  </w:pPr>
                </w:p>
              </w:tc>
              <w:tc>
                <w:tcPr>
                  <w:tcW w:w="841" w:type="pct"/>
                  <w:vAlign w:val="center"/>
                </w:tcPr>
                <w:p w14:paraId="7ECE3D1B">
                  <w:pPr>
                    <w:adjustRightInd w:val="0"/>
                    <w:snapToGrid w:val="0"/>
                    <w:jc w:val="center"/>
                    <w:textAlignment w:val="center"/>
                    <w:rPr>
                      <w:b/>
                      <w:color w:val="auto"/>
                      <w:szCs w:val="21"/>
                    </w:rPr>
                  </w:pPr>
                  <w:r>
                    <w:rPr>
                      <w:b/>
                      <w:color w:val="auto"/>
                      <w:szCs w:val="21"/>
                    </w:rPr>
                    <w:t>国家级生态保护红线范围</w:t>
                  </w:r>
                </w:p>
              </w:tc>
              <w:tc>
                <w:tcPr>
                  <w:tcW w:w="924" w:type="pct"/>
                  <w:vAlign w:val="center"/>
                </w:tcPr>
                <w:p w14:paraId="18AA9650">
                  <w:pPr>
                    <w:adjustRightInd w:val="0"/>
                    <w:snapToGrid w:val="0"/>
                    <w:jc w:val="center"/>
                    <w:textAlignment w:val="center"/>
                    <w:rPr>
                      <w:b/>
                      <w:color w:val="auto"/>
                      <w:szCs w:val="21"/>
                    </w:rPr>
                  </w:pPr>
                  <w:r>
                    <w:rPr>
                      <w:b/>
                      <w:color w:val="auto"/>
                      <w:szCs w:val="21"/>
                    </w:rPr>
                    <w:t>生态空间管控区域范围</w:t>
                  </w:r>
                </w:p>
              </w:tc>
              <w:tc>
                <w:tcPr>
                  <w:tcW w:w="477" w:type="pct"/>
                  <w:vAlign w:val="center"/>
                </w:tcPr>
                <w:p w14:paraId="2F82ACF6">
                  <w:pPr>
                    <w:adjustRightInd w:val="0"/>
                    <w:snapToGrid w:val="0"/>
                    <w:jc w:val="center"/>
                    <w:textAlignment w:val="center"/>
                    <w:rPr>
                      <w:b/>
                      <w:color w:val="auto"/>
                      <w:szCs w:val="21"/>
                    </w:rPr>
                  </w:pPr>
                  <w:r>
                    <w:rPr>
                      <w:b/>
                      <w:color w:val="auto"/>
                      <w:szCs w:val="21"/>
                    </w:rPr>
                    <w:t>国家级生态保护红线面积</w:t>
                  </w:r>
                </w:p>
              </w:tc>
              <w:tc>
                <w:tcPr>
                  <w:tcW w:w="448" w:type="pct"/>
                  <w:vAlign w:val="center"/>
                </w:tcPr>
                <w:p w14:paraId="54803E3C">
                  <w:pPr>
                    <w:adjustRightInd w:val="0"/>
                    <w:snapToGrid w:val="0"/>
                    <w:jc w:val="center"/>
                    <w:textAlignment w:val="center"/>
                    <w:rPr>
                      <w:b/>
                      <w:color w:val="auto"/>
                      <w:szCs w:val="21"/>
                    </w:rPr>
                  </w:pPr>
                  <w:r>
                    <w:rPr>
                      <w:b/>
                      <w:color w:val="auto"/>
                      <w:szCs w:val="21"/>
                    </w:rPr>
                    <w:t>生态空间管控区域面积</w:t>
                  </w:r>
                </w:p>
              </w:tc>
              <w:tc>
                <w:tcPr>
                  <w:tcW w:w="233" w:type="pct"/>
                  <w:vAlign w:val="center"/>
                </w:tcPr>
                <w:p w14:paraId="5C88C798">
                  <w:pPr>
                    <w:adjustRightInd w:val="0"/>
                    <w:snapToGrid w:val="0"/>
                    <w:jc w:val="center"/>
                    <w:textAlignment w:val="center"/>
                    <w:rPr>
                      <w:b/>
                      <w:color w:val="auto"/>
                      <w:szCs w:val="21"/>
                    </w:rPr>
                  </w:pPr>
                  <w:r>
                    <w:rPr>
                      <w:b/>
                      <w:color w:val="auto"/>
                      <w:szCs w:val="21"/>
                    </w:rPr>
                    <w:t>总面积</w:t>
                  </w:r>
                </w:p>
              </w:tc>
              <w:tc>
                <w:tcPr>
                  <w:tcW w:w="658" w:type="pct"/>
                  <w:vMerge w:val="continue"/>
                  <w:vAlign w:val="center"/>
                </w:tcPr>
                <w:p w14:paraId="3D224183">
                  <w:pPr>
                    <w:adjustRightInd w:val="0"/>
                    <w:snapToGrid w:val="0"/>
                    <w:jc w:val="center"/>
                    <w:rPr>
                      <w:b/>
                      <w:color w:val="auto"/>
                      <w:szCs w:val="21"/>
                    </w:rPr>
                  </w:pPr>
                </w:p>
              </w:tc>
            </w:tr>
            <w:tr w14:paraId="4A6F7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232" w:type="pct"/>
                  <w:vAlign w:val="center"/>
                </w:tcPr>
                <w:p w14:paraId="55BCC447">
                  <w:pPr>
                    <w:jc w:val="center"/>
                    <w:rPr>
                      <w:color w:val="auto"/>
                      <w:szCs w:val="21"/>
                    </w:rPr>
                  </w:pPr>
                  <w:r>
                    <w:rPr>
                      <w:rFonts w:hint="eastAsia"/>
                      <w:color w:val="auto"/>
                      <w:szCs w:val="21"/>
                    </w:rPr>
                    <w:t>783</w:t>
                  </w:r>
                </w:p>
              </w:tc>
              <w:tc>
                <w:tcPr>
                  <w:tcW w:w="474" w:type="pct"/>
                  <w:vAlign w:val="center"/>
                </w:tcPr>
                <w:p w14:paraId="74209F95">
                  <w:pPr>
                    <w:jc w:val="center"/>
                    <w:rPr>
                      <w:color w:val="auto"/>
                      <w:szCs w:val="21"/>
                      <w:lang w:val="zh-CN"/>
                    </w:rPr>
                  </w:pPr>
                  <w:r>
                    <w:rPr>
                      <w:rFonts w:hint="eastAsia"/>
                      <w:color w:val="auto"/>
                      <w:szCs w:val="21"/>
                      <w:lang w:val="zh-CN"/>
                    </w:rPr>
                    <w:t>六塘河（沭阳县）洪水调蓄区</w:t>
                  </w:r>
                </w:p>
              </w:tc>
              <w:tc>
                <w:tcPr>
                  <w:tcW w:w="342" w:type="pct"/>
                  <w:vAlign w:val="center"/>
                </w:tcPr>
                <w:p w14:paraId="1EF77072">
                  <w:pPr>
                    <w:jc w:val="center"/>
                    <w:rPr>
                      <w:color w:val="auto"/>
                      <w:szCs w:val="21"/>
                      <w:lang w:val="zh-CN"/>
                    </w:rPr>
                  </w:pPr>
                  <w:r>
                    <w:rPr>
                      <w:rFonts w:hint="eastAsia"/>
                      <w:color w:val="auto"/>
                      <w:szCs w:val="21"/>
                      <w:lang w:val="zh-CN"/>
                    </w:rPr>
                    <w:t>沭阳县</w:t>
                  </w:r>
                </w:p>
              </w:tc>
              <w:tc>
                <w:tcPr>
                  <w:tcW w:w="367" w:type="pct"/>
                  <w:vAlign w:val="center"/>
                </w:tcPr>
                <w:p w14:paraId="5C391E47">
                  <w:pPr>
                    <w:jc w:val="center"/>
                    <w:rPr>
                      <w:color w:val="auto"/>
                      <w:szCs w:val="21"/>
                      <w:lang w:val="zh-CN"/>
                    </w:rPr>
                  </w:pPr>
                  <w:r>
                    <w:rPr>
                      <w:rFonts w:hint="eastAsia"/>
                      <w:color w:val="auto"/>
                      <w:szCs w:val="21"/>
                      <w:lang w:val="zh-CN"/>
                    </w:rPr>
                    <w:t>洪水调蓄</w:t>
                  </w:r>
                </w:p>
              </w:tc>
              <w:tc>
                <w:tcPr>
                  <w:tcW w:w="841" w:type="pct"/>
                  <w:vAlign w:val="center"/>
                </w:tcPr>
                <w:p w14:paraId="3080ED58">
                  <w:pPr>
                    <w:adjustRightInd w:val="0"/>
                    <w:snapToGrid w:val="0"/>
                    <w:jc w:val="center"/>
                    <w:rPr>
                      <w:color w:val="auto"/>
                      <w:szCs w:val="21"/>
                    </w:rPr>
                  </w:pPr>
                  <w:r>
                    <w:rPr>
                      <w:rFonts w:hint="eastAsia"/>
                      <w:color w:val="auto"/>
                      <w:szCs w:val="21"/>
                    </w:rPr>
                    <w:t>/</w:t>
                  </w:r>
                </w:p>
              </w:tc>
              <w:tc>
                <w:tcPr>
                  <w:tcW w:w="924" w:type="pct"/>
                  <w:vAlign w:val="center"/>
                </w:tcPr>
                <w:p w14:paraId="26BCB959">
                  <w:pPr>
                    <w:jc w:val="center"/>
                    <w:rPr>
                      <w:color w:val="auto"/>
                      <w:szCs w:val="21"/>
                    </w:rPr>
                  </w:pPr>
                  <w:r>
                    <w:rPr>
                      <w:rFonts w:hint="eastAsia"/>
                      <w:color w:val="auto"/>
                      <w:szCs w:val="21"/>
                      <w:lang w:val="zh-CN"/>
                    </w:rPr>
                    <w:t>六塘河两岸河堤之间</w:t>
                  </w:r>
                </w:p>
              </w:tc>
              <w:tc>
                <w:tcPr>
                  <w:tcW w:w="477" w:type="pct"/>
                  <w:vAlign w:val="center"/>
                </w:tcPr>
                <w:p w14:paraId="4054A7E0">
                  <w:pPr>
                    <w:jc w:val="center"/>
                    <w:rPr>
                      <w:color w:val="auto"/>
                      <w:szCs w:val="21"/>
                    </w:rPr>
                  </w:pPr>
                  <w:r>
                    <w:rPr>
                      <w:rFonts w:hint="eastAsia"/>
                      <w:color w:val="auto"/>
                      <w:szCs w:val="21"/>
                    </w:rPr>
                    <w:t>/</w:t>
                  </w:r>
                </w:p>
              </w:tc>
              <w:tc>
                <w:tcPr>
                  <w:tcW w:w="448" w:type="pct"/>
                  <w:vAlign w:val="center"/>
                </w:tcPr>
                <w:p w14:paraId="51E01E1E">
                  <w:pPr>
                    <w:jc w:val="center"/>
                    <w:rPr>
                      <w:color w:val="auto"/>
                      <w:szCs w:val="21"/>
                    </w:rPr>
                  </w:pPr>
                  <w:r>
                    <w:rPr>
                      <w:rFonts w:hint="eastAsia"/>
                      <w:color w:val="auto"/>
                      <w:szCs w:val="21"/>
                    </w:rPr>
                    <w:t>12.01</w:t>
                  </w:r>
                  <w:r>
                    <w:rPr>
                      <w:color w:val="auto"/>
                      <w:szCs w:val="21"/>
                    </w:rPr>
                    <w:t>km</w:t>
                  </w:r>
                </w:p>
              </w:tc>
              <w:tc>
                <w:tcPr>
                  <w:tcW w:w="233" w:type="pct"/>
                  <w:vAlign w:val="center"/>
                </w:tcPr>
                <w:p w14:paraId="09D058E7">
                  <w:pPr>
                    <w:adjustRightInd w:val="0"/>
                    <w:snapToGrid w:val="0"/>
                    <w:jc w:val="center"/>
                    <w:rPr>
                      <w:color w:val="auto"/>
                      <w:szCs w:val="21"/>
                    </w:rPr>
                  </w:pPr>
                  <w:r>
                    <w:rPr>
                      <w:rFonts w:hint="eastAsia"/>
                      <w:color w:val="auto"/>
                      <w:szCs w:val="21"/>
                    </w:rPr>
                    <w:t>12.01</w:t>
                  </w:r>
                </w:p>
              </w:tc>
              <w:tc>
                <w:tcPr>
                  <w:tcW w:w="658" w:type="pct"/>
                  <w:vAlign w:val="center"/>
                </w:tcPr>
                <w:p w14:paraId="28CD0916">
                  <w:pPr>
                    <w:adjustRightInd w:val="0"/>
                    <w:snapToGrid w:val="0"/>
                    <w:jc w:val="center"/>
                    <w:rPr>
                      <w:color w:val="auto"/>
                      <w:szCs w:val="21"/>
                    </w:rPr>
                  </w:pPr>
                  <w:r>
                    <w:rPr>
                      <w:rFonts w:hint="eastAsia"/>
                      <w:color w:val="auto"/>
                      <w:szCs w:val="21"/>
                    </w:rPr>
                    <w:t>建设项目</w:t>
                  </w:r>
                  <w:r>
                    <w:rPr>
                      <w:color w:val="auto"/>
                      <w:szCs w:val="21"/>
                    </w:rPr>
                    <w:t>在生态红线</w:t>
                  </w:r>
                  <w:r>
                    <w:rPr>
                      <w:rFonts w:hint="eastAsia"/>
                      <w:color w:val="auto"/>
                      <w:szCs w:val="21"/>
                    </w:rPr>
                    <w:t>东南</w:t>
                  </w:r>
                  <w:r>
                    <w:rPr>
                      <w:color w:val="auto"/>
                      <w:szCs w:val="21"/>
                    </w:rPr>
                    <w:t>方向</w:t>
                  </w:r>
                  <w:r>
                    <w:rPr>
                      <w:rFonts w:hint="eastAsia"/>
                      <w:color w:val="auto"/>
                      <w:szCs w:val="21"/>
                    </w:rPr>
                    <w:t>4.31</w:t>
                  </w:r>
                  <w:r>
                    <w:rPr>
                      <w:color w:val="auto"/>
                      <w:szCs w:val="21"/>
                    </w:rPr>
                    <w:t>km左右，不在管控范围之内</w:t>
                  </w:r>
                </w:p>
              </w:tc>
            </w:tr>
          </w:tbl>
          <w:p w14:paraId="250D3661">
            <w:pPr>
              <w:adjustRightInd w:val="0"/>
              <w:snapToGrid w:val="0"/>
              <w:spacing w:before="120" w:beforeLines="50" w:line="360" w:lineRule="auto"/>
              <w:ind w:firstLine="480" w:firstLineChars="200"/>
              <w:rPr>
                <w:color w:val="auto"/>
                <w:sz w:val="24"/>
              </w:rPr>
            </w:pPr>
            <w:r>
              <w:rPr>
                <w:color w:val="auto"/>
                <w:sz w:val="24"/>
              </w:rPr>
              <w:t>建设项目与江苏省生态空间管控区域位置关系详见</w:t>
            </w:r>
            <w:r>
              <w:rPr>
                <w:b/>
                <w:color w:val="auto"/>
                <w:sz w:val="24"/>
              </w:rPr>
              <w:t>附图</w:t>
            </w:r>
            <w:r>
              <w:rPr>
                <w:rFonts w:hint="eastAsia"/>
                <w:b/>
                <w:color w:val="auto"/>
                <w:sz w:val="24"/>
              </w:rPr>
              <w:t>2</w:t>
            </w:r>
            <w:r>
              <w:rPr>
                <w:b/>
                <w:color w:val="auto"/>
                <w:sz w:val="24"/>
              </w:rPr>
              <w:t>，</w:t>
            </w:r>
            <w:r>
              <w:rPr>
                <w:color w:val="auto"/>
                <w:sz w:val="24"/>
              </w:rPr>
              <w:t>距离最近的</w:t>
            </w:r>
            <w:r>
              <w:rPr>
                <w:rFonts w:hint="eastAsia"/>
                <w:color w:val="auto"/>
                <w:sz w:val="24"/>
              </w:rPr>
              <w:t>西北</w:t>
            </w:r>
            <w:r>
              <w:rPr>
                <w:color w:val="auto"/>
                <w:sz w:val="24"/>
              </w:rPr>
              <w:t>侧</w:t>
            </w:r>
            <w:r>
              <w:rPr>
                <w:rFonts w:hint="eastAsia"/>
                <w:color w:val="auto"/>
                <w:sz w:val="24"/>
              </w:rPr>
              <w:t>4.31</w:t>
            </w:r>
            <w:r>
              <w:rPr>
                <w:color w:val="auto"/>
                <w:sz w:val="24"/>
              </w:rPr>
              <w:t>km左右</w:t>
            </w:r>
            <w:r>
              <w:rPr>
                <w:rFonts w:hint="eastAsia" w:hAnsi="宋体"/>
                <w:color w:val="auto"/>
                <w:sz w:val="24"/>
              </w:rPr>
              <w:t>的</w:t>
            </w:r>
            <w:r>
              <w:rPr>
                <w:rFonts w:hint="eastAsia" w:hAnsi="宋体"/>
                <w:color w:val="auto"/>
                <w:sz w:val="24"/>
                <w:lang w:val="zh-CN"/>
              </w:rPr>
              <w:t>六塘河（沭阳县）洪水调蓄区</w:t>
            </w:r>
            <w:r>
              <w:rPr>
                <w:color w:val="auto"/>
                <w:sz w:val="24"/>
              </w:rPr>
              <w:t>，不在确定的江苏省生态空间保护区域之内。建设项目生活</w:t>
            </w:r>
            <w:r>
              <w:rPr>
                <w:rFonts w:hint="eastAsia"/>
                <w:color w:val="auto"/>
                <w:sz w:val="24"/>
              </w:rPr>
              <w:t>污</w:t>
            </w:r>
            <w:r>
              <w:rPr>
                <w:color w:val="auto"/>
                <w:sz w:val="24"/>
              </w:rPr>
              <w:t>水经化粪池处理</w:t>
            </w:r>
            <w:r>
              <w:rPr>
                <w:rFonts w:hint="eastAsia"/>
                <w:color w:val="auto"/>
                <w:sz w:val="24"/>
              </w:rPr>
              <w:t>后</w:t>
            </w:r>
            <w:r>
              <w:rPr>
                <w:rFonts w:hint="eastAsia" w:eastAsiaTheme="minorEastAsia"/>
                <w:color w:val="auto"/>
                <w:kern w:val="0"/>
                <w:sz w:val="24"/>
                <w:lang w:val="zh-CN"/>
              </w:rPr>
              <w:t>接管高沟镇污水处理厂</w:t>
            </w:r>
            <w:r>
              <w:rPr>
                <w:rFonts w:hint="eastAsia" w:hAnsi="宋体"/>
                <w:color w:val="auto"/>
                <w:sz w:val="24"/>
              </w:rPr>
              <w:t>。</w:t>
            </w:r>
            <w:r>
              <w:rPr>
                <w:color w:val="auto"/>
                <w:sz w:val="24"/>
              </w:rPr>
              <w:t>与江苏省生态空间保护区域无直接的水力交换关系。因此项目的建设符合《省政府关于印发江苏省生态空间管控区域规划的通知》（苏政发〔2020〕1号）的要求。</w:t>
            </w:r>
          </w:p>
          <w:p w14:paraId="3ABBCFB1">
            <w:pPr>
              <w:adjustRightInd w:val="0"/>
              <w:snapToGrid w:val="0"/>
              <w:spacing w:line="360" w:lineRule="auto"/>
              <w:ind w:firstLine="482" w:firstLineChars="200"/>
              <w:rPr>
                <w:b/>
                <w:color w:val="auto"/>
                <w:sz w:val="24"/>
              </w:rPr>
            </w:pPr>
            <w:r>
              <w:rPr>
                <w:rFonts w:hint="eastAsia" w:ascii="宋体" w:hAnsi="宋体" w:cs="宋体"/>
                <w:b/>
                <w:color w:val="auto"/>
                <w:sz w:val="24"/>
              </w:rPr>
              <w:t>③</w:t>
            </w:r>
            <w:r>
              <w:rPr>
                <w:rFonts w:hint="eastAsia"/>
                <w:b/>
                <w:bCs/>
                <w:color w:val="auto"/>
                <w:sz w:val="24"/>
              </w:rPr>
              <w:t>与</w:t>
            </w:r>
            <w:r>
              <w:rPr>
                <w:b/>
                <w:bCs/>
                <w:color w:val="auto"/>
                <w:sz w:val="24"/>
              </w:rPr>
              <w:t>《2023年生态环境分区管控成果动态更新工作方案》（环办环评函﹝2023﹞81号）</w:t>
            </w:r>
            <w:r>
              <w:rPr>
                <w:rFonts w:hint="eastAsia"/>
                <w:b/>
                <w:bCs/>
                <w:color w:val="auto"/>
                <w:sz w:val="24"/>
              </w:rPr>
              <w:t>相符性分析</w:t>
            </w:r>
          </w:p>
          <w:p w14:paraId="6491A2EB">
            <w:pPr>
              <w:adjustRightInd w:val="0"/>
              <w:snapToGrid w:val="0"/>
              <w:spacing w:line="360" w:lineRule="auto"/>
              <w:ind w:firstLine="480" w:firstLineChars="200"/>
              <w:rPr>
                <w:color w:val="auto"/>
                <w:sz w:val="24"/>
              </w:rPr>
            </w:pPr>
            <w:r>
              <w:rPr>
                <w:color w:val="auto"/>
                <w:sz w:val="24"/>
              </w:rPr>
              <w:t>对</w:t>
            </w:r>
            <w:r>
              <w:rPr>
                <w:rFonts w:hint="eastAsia"/>
                <w:color w:val="auto"/>
                <w:sz w:val="24"/>
              </w:rPr>
              <w:t>《江苏省2023年度生态环境分区管控动态更新成果公告》</w:t>
            </w:r>
            <w:r>
              <w:rPr>
                <w:color w:val="auto"/>
                <w:sz w:val="24"/>
              </w:rPr>
              <w:t>，</w:t>
            </w:r>
            <w:r>
              <w:rPr>
                <w:bCs/>
                <w:color w:val="auto"/>
                <w:sz w:val="24"/>
              </w:rPr>
              <w:t>建设项目</w:t>
            </w:r>
            <w:r>
              <w:rPr>
                <w:color w:val="auto"/>
                <w:sz w:val="24"/>
              </w:rPr>
              <w:t>所在地位于淮河流域，属于重点管控单元，相符性分析见表1.3-</w:t>
            </w:r>
            <w:r>
              <w:rPr>
                <w:rFonts w:hint="eastAsia"/>
                <w:color w:val="auto"/>
                <w:sz w:val="24"/>
              </w:rPr>
              <w:t>4。江苏省生态环境分区管控综合查询报告书见附件1</w:t>
            </w:r>
            <w:r>
              <w:rPr>
                <w:rFonts w:hint="eastAsia"/>
                <w:color w:val="auto"/>
                <w:sz w:val="24"/>
                <w:lang w:val="en-US" w:eastAsia="zh-CN"/>
              </w:rPr>
              <w:t>3。</w:t>
            </w:r>
          </w:p>
          <w:p w14:paraId="3E8371B6">
            <w:pPr>
              <w:adjustRightInd w:val="0"/>
              <w:snapToGrid w:val="0"/>
              <w:jc w:val="center"/>
              <w:rPr>
                <w:b/>
                <w:bCs/>
                <w:color w:val="auto"/>
                <w:sz w:val="24"/>
              </w:rPr>
            </w:pPr>
            <w:r>
              <w:rPr>
                <w:b/>
                <w:bCs/>
                <w:color w:val="auto"/>
                <w:sz w:val="24"/>
              </w:rPr>
              <w:t>表1.3-</w:t>
            </w:r>
            <w:r>
              <w:rPr>
                <w:rFonts w:hint="eastAsia"/>
                <w:b/>
                <w:bCs/>
                <w:color w:val="auto"/>
                <w:sz w:val="24"/>
              </w:rPr>
              <w:t xml:space="preserve">4  </w:t>
            </w:r>
            <w:r>
              <w:rPr>
                <w:b/>
                <w:bCs/>
                <w:color w:val="auto"/>
                <w:sz w:val="24"/>
              </w:rPr>
              <w:t>建设项目与《江苏省“三线一单”生态环境分区管控方案》相符性分析</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4031"/>
              <w:gridCol w:w="3307"/>
              <w:gridCol w:w="509"/>
            </w:tblGrid>
            <w:tr w14:paraId="740D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12" w:space="0"/>
                  </w:tcBorders>
                  <w:vAlign w:val="center"/>
                </w:tcPr>
                <w:p w14:paraId="2784A990">
                  <w:pPr>
                    <w:jc w:val="center"/>
                    <w:rPr>
                      <w:b/>
                      <w:color w:val="auto"/>
                      <w:szCs w:val="21"/>
                    </w:rPr>
                  </w:pPr>
                  <w:r>
                    <w:rPr>
                      <w:b/>
                      <w:color w:val="auto"/>
                      <w:szCs w:val="21"/>
                    </w:rPr>
                    <w:t>管控类别</w:t>
                  </w:r>
                </w:p>
              </w:tc>
              <w:tc>
                <w:tcPr>
                  <w:tcW w:w="2397" w:type="pct"/>
                  <w:tcBorders>
                    <w:top w:val="single" w:color="auto" w:sz="12" w:space="0"/>
                  </w:tcBorders>
                  <w:vAlign w:val="center"/>
                </w:tcPr>
                <w:p w14:paraId="1E971E3D">
                  <w:pPr>
                    <w:jc w:val="center"/>
                    <w:rPr>
                      <w:b/>
                      <w:color w:val="auto"/>
                      <w:szCs w:val="21"/>
                    </w:rPr>
                  </w:pPr>
                  <w:r>
                    <w:rPr>
                      <w:b/>
                      <w:color w:val="auto"/>
                      <w:szCs w:val="21"/>
                    </w:rPr>
                    <w:t>重点管控要求</w:t>
                  </w:r>
                </w:p>
              </w:tc>
              <w:tc>
                <w:tcPr>
                  <w:tcW w:w="1967" w:type="pct"/>
                  <w:vMerge w:val="restart"/>
                  <w:tcBorders>
                    <w:top w:val="single" w:color="auto" w:sz="12" w:space="0"/>
                  </w:tcBorders>
                  <w:vAlign w:val="center"/>
                </w:tcPr>
                <w:p w14:paraId="498A9CA3">
                  <w:pPr>
                    <w:jc w:val="center"/>
                    <w:rPr>
                      <w:b/>
                      <w:color w:val="auto"/>
                      <w:szCs w:val="21"/>
                    </w:rPr>
                  </w:pPr>
                  <w:r>
                    <w:rPr>
                      <w:b/>
                      <w:color w:val="auto"/>
                      <w:szCs w:val="21"/>
                    </w:rPr>
                    <w:t>本项目建设情况</w:t>
                  </w:r>
                </w:p>
              </w:tc>
              <w:tc>
                <w:tcPr>
                  <w:tcW w:w="301" w:type="pct"/>
                  <w:vMerge w:val="restart"/>
                  <w:tcBorders>
                    <w:top w:val="single" w:color="auto" w:sz="12" w:space="0"/>
                    <w:right w:val="nil"/>
                  </w:tcBorders>
                  <w:vAlign w:val="center"/>
                </w:tcPr>
                <w:p w14:paraId="771FEAD3">
                  <w:pPr>
                    <w:jc w:val="center"/>
                    <w:rPr>
                      <w:b/>
                      <w:color w:val="auto"/>
                      <w:szCs w:val="21"/>
                    </w:rPr>
                  </w:pPr>
                  <w:r>
                    <w:rPr>
                      <w:b/>
                      <w:color w:val="auto"/>
                      <w:szCs w:val="21"/>
                    </w:rPr>
                    <w:t>相符性分析</w:t>
                  </w:r>
                </w:p>
              </w:tc>
            </w:tr>
            <w:tr w14:paraId="45BB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0" w:type="pct"/>
                  <w:gridSpan w:val="2"/>
                  <w:tcBorders>
                    <w:left w:val="nil"/>
                  </w:tcBorders>
                  <w:vAlign w:val="center"/>
                </w:tcPr>
                <w:p w14:paraId="45BF3ADC">
                  <w:pPr>
                    <w:jc w:val="center"/>
                    <w:rPr>
                      <w:b/>
                      <w:color w:val="auto"/>
                      <w:szCs w:val="21"/>
                    </w:rPr>
                  </w:pPr>
                  <w:r>
                    <w:rPr>
                      <w:b/>
                      <w:color w:val="auto"/>
                      <w:szCs w:val="21"/>
                    </w:rPr>
                    <w:t>三、淮河流域</w:t>
                  </w:r>
                </w:p>
              </w:tc>
              <w:tc>
                <w:tcPr>
                  <w:tcW w:w="1967" w:type="pct"/>
                  <w:vMerge w:val="continue"/>
                  <w:vAlign w:val="center"/>
                </w:tcPr>
                <w:p w14:paraId="767ECBD2">
                  <w:pPr>
                    <w:jc w:val="center"/>
                    <w:rPr>
                      <w:b/>
                      <w:color w:val="auto"/>
                      <w:szCs w:val="21"/>
                    </w:rPr>
                  </w:pPr>
                </w:p>
              </w:tc>
              <w:tc>
                <w:tcPr>
                  <w:tcW w:w="301" w:type="pct"/>
                  <w:vMerge w:val="continue"/>
                  <w:tcBorders>
                    <w:right w:val="nil"/>
                  </w:tcBorders>
                  <w:vAlign w:val="center"/>
                </w:tcPr>
                <w:p w14:paraId="344BC159">
                  <w:pPr>
                    <w:jc w:val="center"/>
                    <w:rPr>
                      <w:b/>
                      <w:color w:val="auto"/>
                      <w:szCs w:val="21"/>
                    </w:rPr>
                  </w:pPr>
                </w:p>
              </w:tc>
            </w:tr>
            <w:tr w14:paraId="72B2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429BCB98">
                  <w:pPr>
                    <w:jc w:val="center"/>
                    <w:rPr>
                      <w:color w:val="auto"/>
                      <w:szCs w:val="21"/>
                    </w:rPr>
                  </w:pPr>
                  <w:r>
                    <w:rPr>
                      <w:color w:val="auto"/>
                      <w:szCs w:val="21"/>
                    </w:rPr>
                    <w:t>空间布局约束</w:t>
                  </w:r>
                </w:p>
              </w:tc>
              <w:tc>
                <w:tcPr>
                  <w:tcW w:w="2397" w:type="pct"/>
                  <w:vAlign w:val="center"/>
                </w:tcPr>
                <w:p w14:paraId="07711A4F">
                  <w:pPr>
                    <w:jc w:val="center"/>
                    <w:rPr>
                      <w:color w:val="auto"/>
                      <w:szCs w:val="21"/>
                    </w:rPr>
                  </w:pPr>
                  <w:r>
                    <w:rPr>
                      <w:color w:val="auto"/>
                      <w:szCs w:val="21"/>
                    </w:rPr>
                    <w:t>1．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Cs w:val="21"/>
                      <w:lang w:eastAsia="zh-CN"/>
                    </w:rPr>
                    <w:t>压延</w:t>
                  </w:r>
                  <w:r>
                    <w:rPr>
                      <w:color w:val="auto"/>
                      <w:szCs w:val="21"/>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1967" w:type="pct"/>
                  <w:vAlign w:val="center"/>
                </w:tcPr>
                <w:p w14:paraId="4F74F4D1">
                  <w:pPr>
                    <w:jc w:val="center"/>
                    <w:rPr>
                      <w:color w:val="auto"/>
                      <w:szCs w:val="21"/>
                    </w:rPr>
                  </w:pPr>
                  <w:r>
                    <w:rPr>
                      <w:color w:val="auto"/>
                      <w:szCs w:val="21"/>
                    </w:rPr>
                    <w:t>本项目为</w:t>
                  </w:r>
                  <w:r>
                    <w:rPr>
                      <w:rFonts w:hint="eastAsia" w:eastAsiaTheme="minorEastAsia"/>
                      <w:color w:val="auto"/>
                      <w:szCs w:val="21"/>
                    </w:rPr>
                    <w:t>胶合板生产</w:t>
                  </w:r>
                  <w:r>
                    <w:rPr>
                      <w:rFonts w:eastAsiaTheme="minorEastAsia"/>
                      <w:color w:val="auto"/>
                      <w:szCs w:val="21"/>
                    </w:rPr>
                    <w:t>项目</w:t>
                  </w:r>
                  <w:r>
                    <w:rPr>
                      <w:color w:val="auto"/>
                      <w:szCs w:val="21"/>
                    </w:rPr>
                    <w:t>，不属于制革、化工、印染、电镀、酿造等污染严重的小型企业。本项目不位于通榆河一级保护区、二级保护区内。</w:t>
                  </w:r>
                </w:p>
              </w:tc>
              <w:tc>
                <w:tcPr>
                  <w:tcW w:w="301" w:type="pct"/>
                  <w:tcBorders>
                    <w:right w:val="nil"/>
                  </w:tcBorders>
                  <w:vAlign w:val="center"/>
                </w:tcPr>
                <w:p w14:paraId="2323032C">
                  <w:pPr>
                    <w:jc w:val="center"/>
                    <w:rPr>
                      <w:color w:val="auto"/>
                      <w:szCs w:val="21"/>
                    </w:rPr>
                  </w:pPr>
                  <w:r>
                    <w:rPr>
                      <w:color w:val="auto"/>
                      <w:szCs w:val="21"/>
                    </w:rPr>
                    <w:t>符合</w:t>
                  </w:r>
                </w:p>
              </w:tc>
            </w:tr>
            <w:tr w14:paraId="2AB3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60BEF5DF">
                  <w:pPr>
                    <w:jc w:val="center"/>
                    <w:rPr>
                      <w:color w:val="auto"/>
                      <w:szCs w:val="21"/>
                    </w:rPr>
                  </w:pPr>
                  <w:r>
                    <w:rPr>
                      <w:color w:val="auto"/>
                      <w:szCs w:val="21"/>
                    </w:rPr>
                    <w:t>污染物排放管控</w:t>
                  </w:r>
                </w:p>
              </w:tc>
              <w:tc>
                <w:tcPr>
                  <w:tcW w:w="2397" w:type="pct"/>
                  <w:vAlign w:val="center"/>
                </w:tcPr>
                <w:p w14:paraId="5DFBA2F6">
                  <w:pPr>
                    <w:jc w:val="center"/>
                    <w:rPr>
                      <w:color w:val="auto"/>
                      <w:szCs w:val="21"/>
                    </w:rPr>
                  </w:pPr>
                  <w:r>
                    <w:rPr>
                      <w:color w:val="auto"/>
                      <w:szCs w:val="21"/>
                    </w:rPr>
                    <w:t>按照《</w:t>
                  </w:r>
                  <w:r>
                    <w:rPr>
                      <w:rFonts w:hint="eastAsia"/>
                      <w:color w:val="auto"/>
                      <w:szCs w:val="21"/>
                      <w:lang w:eastAsia="zh-CN"/>
                    </w:rPr>
                    <w:t>淮河流域水污染防治暂行条例</w:t>
                  </w:r>
                  <w:r>
                    <w:rPr>
                      <w:color w:val="auto"/>
                      <w:szCs w:val="21"/>
                    </w:rPr>
                    <w:t>》实施排污总量控制制度。</w:t>
                  </w:r>
                </w:p>
              </w:tc>
              <w:tc>
                <w:tcPr>
                  <w:tcW w:w="1967" w:type="pct"/>
                  <w:vAlign w:val="center"/>
                </w:tcPr>
                <w:p w14:paraId="7BF002E3">
                  <w:pPr>
                    <w:jc w:val="center"/>
                    <w:rPr>
                      <w:color w:val="auto"/>
                      <w:szCs w:val="21"/>
                    </w:rPr>
                  </w:pPr>
                  <w:r>
                    <w:rPr>
                      <w:color w:val="auto"/>
                      <w:szCs w:val="21"/>
                    </w:rPr>
                    <w:t>本项目按照相关规定实施总量控制。</w:t>
                  </w:r>
                </w:p>
              </w:tc>
              <w:tc>
                <w:tcPr>
                  <w:tcW w:w="301" w:type="pct"/>
                  <w:tcBorders>
                    <w:right w:val="nil"/>
                  </w:tcBorders>
                  <w:vAlign w:val="center"/>
                </w:tcPr>
                <w:p w14:paraId="0BB28A70">
                  <w:pPr>
                    <w:jc w:val="center"/>
                    <w:rPr>
                      <w:color w:val="auto"/>
                      <w:szCs w:val="21"/>
                    </w:rPr>
                  </w:pPr>
                  <w:r>
                    <w:rPr>
                      <w:color w:val="auto"/>
                      <w:szCs w:val="21"/>
                    </w:rPr>
                    <w:t>符合</w:t>
                  </w:r>
                </w:p>
              </w:tc>
            </w:tr>
            <w:tr w14:paraId="1B48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05685B75">
                  <w:pPr>
                    <w:jc w:val="center"/>
                    <w:rPr>
                      <w:color w:val="auto"/>
                      <w:szCs w:val="21"/>
                    </w:rPr>
                  </w:pPr>
                  <w:r>
                    <w:rPr>
                      <w:color w:val="auto"/>
                      <w:szCs w:val="21"/>
                    </w:rPr>
                    <w:t>环境风险防控</w:t>
                  </w:r>
                </w:p>
              </w:tc>
              <w:tc>
                <w:tcPr>
                  <w:tcW w:w="2397" w:type="pct"/>
                  <w:vAlign w:val="center"/>
                </w:tcPr>
                <w:p w14:paraId="3BBC703F">
                  <w:pPr>
                    <w:jc w:val="center"/>
                    <w:rPr>
                      <w:color w:val="auto"/>
                      <w:szCs w:val="21"/>
                    </w:rPr>
                  </w:pPr>
                  <w:r>
                    <w:rPr>
                      <w:color w:val="auto"/>
                      <w:szCs w:val="21"/>
                    </w:rPr>
                    <w:t>禁止运输剧毒化学品以及国家规定禁止通过内河运输的其他危险化学品的船舶进入通榆河及主要供水河道。</w:t>
                  </w:r>
                </w:p>
              </w:tc>
              <w:tc>
                <w:tcPr>
                  <w:tcW w:w="1967" w:type="pct"/>
                  <w:vAlign w:val="center"/>
                </w:tcPr>
                <w:p w14:paraId="47868660">
                  <w:pPr>
                    <w:jc w:val="center"/>
                    <w:rPr>
                      <w:color w:val="auto"/>
                      <w:szCs w:val="21"/>
                    </w:rPr>
                  </w:pPr>
                  <w:r>
                    <w:rPr>
                      <w:color w:val="auto"/>
                      <w:szCs w:val="21"/>
                    </w:rPr>
                    <w:t>本项目不涉及剧毒化学品和其他危险化学品，运输均为陆运，不涉及水运。</w:t>
                  </w:r>
                </w:p>
              </w:tc>
              <w:tc>
                <w:tcPr>
                  <w:tcW w:w="301" w:type="pct"/>
                  <w:tcBorders>
                    <w:right w:val="nil"/>
                  </w:tcBorders>
                  <w:vAlign w:val="center"/>
                </w:tcPr>
                <w:p w14:paraId="2979D9EB">
                  <w:pPr>
                    <w:jc w:val="center"/>
                    <w:rPr>
                      <w:color w:val="auto"/>
                      <w:szCs w:val="21"/>
                    </w:rPr>
                  </w:pPr>
                  <w:r>
                    <w:rPr>
                      <w:color w:val="auto"/>
                      <w:szCs w:val="21"/>
                    </w:rPr>
                    <w:t>符合</w:t>
                  </w:r>
                </w:p>
              </w:tc>
            </w:tr>
            <w:tr w14:paraId="1FF4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0A82CD82">
                  <w:pPr>
                    <w:jc w:val="center"/>
                    <w:rPr>
                      <w:color w:val="auto"/>
                      <w:szCs w:val="21"/>
                    </w:rPr>
                  </w:pPr>
                  <w:r>
                    <w:rPr>
                      <w:color w:val="auto"/>
                      <w:szCs w:val="21"/>
                    </w:rPr>
                    <w:t>资源利用效率要求</w:t>
                  </w:r>
                </w:p>
              </w:tc>
              <w:tc>
                <w:tcPr>
                  <w:tcW w:w="2397" w:type="pct"/>
                  <w:vAlign w:val="center"/>
                </w:tcPr>
                <w:p w14:paraId="0D18DA37">
                  <w:pPr>
                    <w:jc w:val="center"/>
                    <w:rPr>
                      <w:color w:val="auto"/>
                      <w:szCs w:val="21"/>
                    </w:rPr>
                  </w:pPr>
                  <w:r>
                    <w:rPr>
                      <w:color w:val="auto"/>
                      <w:szCs w:val="21"/>
                    </w:rPr>
                    <w:t>限制缺水地区发</w:t>
                  </w:r>
                  <w:r>
                    <w:rPr>
                      <w:rFonts w:hint="eastAsia"/>
                      <w:color w:val="auto"/>
                      <w:szCs w:val="21"/>
                    </w:rPr>
                    <w:t>展</w:t>
                  </w:r>
                  <w:r>
                    <w:rPr>
                      <w:color w:val="auto"/>
                      <w:szCs w:val="21"/>
                    </w:rPr>
                    <w:t>耗水型产业，调整缺水地区的产业结构，严格控制高耗水、高耗能和重污染的建设项目。</w:t>
                  </w:r>
                </w:p>
              </w:tc>
              <w:tc>
                <w:tcPr>
                  <w:tcW w:w="1967" w:type="pct"/>
                  <w:vAlign w:val="center"/>
                </w:tcPr>
                <w:p w14:paraId="14AB1F67">
                  <w:pPr>
                    <w:jc w:val="center"/>
                    <w:rPr>
                      <w:color w:val="auto"/>
                      <w:szCs w:val="21"/>
                    </w:rPr>
                  </w:pPr>
                  <w:r>
                    <w:rPr>
                      <w:color w:val="auto"/>
                      <w:szCs w:val="21"/>
                    </w:rPr>
                    <w:t>本项目不属于高耗水、高耗能和重污染的建设项目。</w:t>
                  </w:r>
                </w:p>
              </w:tc>
              <w:tc>
                <w:tcPr>
                  <w:tcW w:w="301" w:type="pct"/>
                  <w:tcBorders>
                    <w:right w:val="nil"/>
                  </w:tcBorders>
                  <w:vAlign w:val="center"/>
                </w:tcPr>
                <w:p w14:paraId="19CB8C34">
                  <w:pPr>
                    <w:jc w:val="center"/>
                    <w:rPr>
                      <w:color w:val="auto"/>
                      <w:szCs w:val="21"/>
                    </w:rPr>
                  </w:pPr>
                  <w:r>
                    <w:rPr>
                      <w:color w:val="auto"/>
                      <w:szCs w:val="21"/>
                    </w:rPr>
                    <w:t>符合</w:t>
                  </w:r>
                </w:p>
              </w:tc>
            </w:tr>
            <w:tr w14:paraId="4CC6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left w:val="nil"/>
                    <w:right w:val="nil"/>
                  </w:tcBorders>
                  <w:vAlign w:val="center"/>
                </w:tcPr>
                <w:p w14:paraId="0E9B66DE">
                  <w:pPr>
                    <w:jc w:val="center"/>
                    <w:rPr>
                      <w:color w:val="auto"/>
                      <w:szCs w:val="21"/>
                    </w:rPr>
                  </w:pPr>
                  <w:r>
                    <w:rPr>
                      <w:b/>
                      <w:bCs/>
                      <w:color w:val="auto"/>
                      <w:szCs w:val="21"/>
                    </w:rPr>
                    <w:t>江苏省省域生态环境管控要求</w:t>
                  </w:r>
                </w:p>
              </w:tc>
            </w:tr>
            <w:tr w14:paraId="0FB7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776B6675">
                  <w:pPr>
                    <w:jc w:val="center"/>
                    <w:rPr>
                      <w:b/>
                      <w:color w:val="auto"/>
                      <w:szCs w:val="21"/>
                    </w:rPr>
                  </w:pPr>
                  <w:r>
                    <w:rPr>
                      <w:b/>
                      <w:color w:val="auto"/>
                      <w:szCs w:val="21"/>
                    </w:rPr>
                    <w:t>管控类别</w:t>
                  </w:r>
                </w:p>
              </w:tc>
              <w:tc>
                <w:tcPr>
                  <w:tcW w:w="2397" w:type="pct"/>
                  <w:vAlign w:val="center"/>
                </w:tcPr>
                <w:p w14:paraId="1F19079A">
                  <w:pPr>
                    <w:jc w:val="center"/>
                    <w:rPr>
                      <w:b/>
                      <w:color w:val="auto"/>
                      <w:szCs w:val="21"/>
                    </w:rPr>
                  </w:pPr>
                  <w:r>
                    <w:rPr>
                      <w:b/>
                      <w:color w:val="auto"/>
                      <w:szCs w:val="21"/>
                    </w:rPr>
                    <w:t>重点管控要求</w:t>
                  </w:r>
                </w:p>
              </w:tc>
              <w:tc>
                <w:tcPr>
                  <w:tcW w:w="1967" w:type="pct"/>
                  <w:vAlign w:val="center"/>
                </w:tcPr>
                <w:p w14:paraId="0FB5B90F">
                  <w:pPr>
                    <w:jc w:val="center"/>
                    <w:rPr>
                      <w:b/>
                      <w:color w:val="auto"/>
                      <w:szCs w:val="21"/>
                    </w:rPr>
                  </w:pPr>
                  <w:r>
                    <w:rPr>
                      <w:b/>
                      <w:color w:val="auto"/>
                      <w:szCs w:val="21"/>
                    </w:rPr>
                    <w:t>本项目建设情况</w:t>
                  </w:r>
                </w:p>
              </w:tc>
              <w:tc>
                <w:tcPr>
                  <w:tcW w:w="301" w:type="pct"/>
                  <w:tcBorders>
                    <w:right w:val="nil"/>
                  </w:tcBorders>
                  <w:vAlign w:val="center"/>
                </w:tcPr>
                <w:p w14:paraId="28139FAC">
                  <w:pPr>
                    <w:jc w:val="center"/>
                    <w:rPr>
                      <w:b/>
                      <w:color w:val="auto"/>
                      <w:szCs w:val="21"/>
                    </w:rPr>
                  </w:pPr>
                  <w:r>
                    <w:rPr>
                      <w:b/>
                      <w:color w:val="auto"/>
                      <w:szCs w:val="21"/>
                    </w:rPr>
                    <w:t>相符性分析</w:t>
                  </w:r>
                </w:p>
              </w:tc>
            </w:tr>
            <w:tr w14:paraId="06B9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597A11B5">
                  <w:pPr>
                    <w:jc w:val="center"/>
                    <w:rPr>
                      <w:b/>
                      <w:color w:val="auto"/>
                      <w:szCs w:val="21"/>
                    </w:rPr>
                  </w:pPr>
                  <w:r>
                    <w:rPr>
                      <w:color w:val="auto"/>
                      <w:szCs w:val="21"/>
                    </w:rPr>
                    <w:t>空间布局约束</w:t>
                  </w:r>
                </w:p>
              </w:tc>
              <w:tc>
                <w:tcPr>
                  <w:tcW w:w="2397" w:type="pct"/>
                  <w:vAlign w:val="center"/>
                </w:tcPr>
                <w:p w14:paraId="17DC6B5D">
                  <w:pPr>
                    <w:jc w:val="center"/>
                    <w:rPr>
                      <w:b/>
                      <w:color w:val="auto"/>
                      <w:szCs w:val="21"/>
                    </w:rPr>
                  </w:pPr>
                  <w:r>
                    <w:rPr>
                      <w:color w:val="auto"/>
                      <w:szCs w:val="21"/>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olor w:val="auto"/>
                      <w:szCs w:val="21"/>
                      <w:lang w:eastAsia="zh-CN"/>
                    </w:rPr>
                    <w:t>〔2023〕880号</w:t>
                  </w:r>
                  <w:r>
                    <w:rPr>
                      <w:color w:val="auto"/>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2．牢牢把握推动长江经济带发展“</w:t>
                  </w:r>
                  <w:r>
                    <w:rPr>
                      <w:rFonts w:hint="eastAsia"/>
                      <w:color w:val="auto"/>
                      <w:szCs w:val="21"/>
                      <w:lang w:eastAsia="zh-CN"/>
                    </w:rPr>
                    <w:t>共抓大保护、不搞大开发</w:t>
                  </w:r>
                  <w:r>
                    <w:rPr>
                      <w:color w:val="auto"/>
                      <w:szCs w:val="21"/>
                    </w:rPr>
                    <w:t>”战略导向，对省域范围内需要重点保护的岸线、河段和区域实行严格管控，管住控好排放量大、耗能高、产能过剩的产业，推动长江经济带高质量发展。3．大幅压减沿长江干支流两侧1公里范围内、环境敏感区域、城镇人口密集区、化工园区外和规模以下化工生产企业，着力破解“重化围江”突出问题，高起点同步推进沿江地区战略性转型和沿海地区战略性布局。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5．对列入国家和省规划，涉及生态保护红线和相关法定保护区的</w:t>
                  </w:r>
                  <w:r>
                    <w:rPr>
                      <w:rFonts w:hint="eastAsia"/>
                      <w:color w:val="auto"/>
                      <w:szCs w:val="21"/>
                      <w:lang w:eastAsia="zh-CN"/>
                    </w:rPr>
                    <w:t>重要民生项目</w:t>
                  </w:r>
                  <w:r>
                    <w:rPr>
                      <w:color w:val="auto"/>
                      <w:szCs w:val="21"/>
                    </w:rPr>
                    <w:t>、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967" w:type="pct"/>
                  <w:vAlign w:val="center"/>
                </w:tcPr>
                <w:p w14:paraId="4362C6BD">
                  <w:pPr>
                    <w:jc w:val="center"/>
                    <w:rPr>
                      <w:bCs/>
                      <w:color w:val="auto"/>
                      <w:szCs w:val="21"/>
                    </w:rPr>
                  </w:pPr>
                  <w:r>
                    <w:rPr>
                      <w:bCs/>
                      <w:color w:val="auto"/>
                      <w:szCs w:val="21"/>
                    </w:rPr>
                    <w:t>1、本项目位于</w:t>
                  </w:r>
                  <w:r>
                    <w:rPr>
                      <w:color w:val="auto"/>
                      <w:szCs w:val="21"/>
                    </w:rPr>
                    <w:t>淮安市</w:t>
                  </w:r>
                  <w:r>
                    <w:rPr>
                      <w:rFonts w:hint="eastAsia"/>
                      <w:color w:val="auto"/>
                      <w:szCs w:val="21"/>
                      <w:lang w:eastAsia="zh-CN"/>
                    </w:rPr>
                    <w:t>涟水县</w:t>
                  </w:r>
                  <w:r>
                    <w:rPr>
                      <w:color w:val="auto"/>
                      <w:szCs w:val="21"/>
                      <w:lang w:val="zh-CN"/>
                    </w:rPr>
                    <w:t>高沟镇高秀工业集中区</w:t>
                  </w:r>
                  <w:r>
                    <w:rPr>
                      <w:bCs/>
                      <w:color w:val="auto"/>
                      <w:szCs w:val="21"/>
                    </w:rPr>
                    <w:t>，不占用生态保护红线；2、本企业不属于</w:t>
                  </w:r>
                  <w:r>
                    <w:rPr>
                      <w:color w:val="auto"/>
                      <w:szCs w:val="21"/>
                    </w:rPr>
                    <w:t>高耗水、高耗能和重污染的建设项目；3、本项目不属于沿长江干支流两侧1公里范围内、环境敏感区域、城镇人口密集区、化工园区外和规模以下化工生产企业；4、本项目不属于钢铁行业；5、本项目不属于列入国家和省规划，涉及生态保护红线和相关法定保护区的</w:t>
                  </w:r>
                  <w:r>
                    <w:rPr>
                      <w:rFonts w:hint="eastAsia"/>
                      <w:color w:val="auto"/>
                      <w:szCs w:val="21"/>
                      <w:lang w:eastAsia="zh-CN"/>
                    </w:rPr>
                    <w:t>重要民生项目</w:t>
                  </w:r>
                  <w:r>
                    <w:rPr>
                      <w:color w:val="auto"/>
                      <w:szCs w:val="21"/>
                    </w:rPr>
                    <w:t>、重大基础设施项目。</w:t>
                  </w:r>
                </w:p>
              </w:tc>
              <w:tc>
                <w:tcPr>
                  <w:tcW w:w="301" w:type="pct"/>
                  <w:tcBorders>
                    <w:right w:val="nil"/>
                  </w:tcBorders>
                  <w:vAlign w:val="center"/>
                </w:tcPr>
                <w:p w14:paraId="57FC5354">
                  <w:pPr>
                    <w:jc w:val="center"/>
                    <w:rPr>
                      <w:bCs/>
                      <w:color w:val="auto"/>
                      <w:szCs w:val="21"/>
                    </w:rPr>
                  </w:pPr>
                  <w:r>
                    <w:rPr>
                      <w:color w:val="auto"/>
                      <w:szCs w:val="21"/>
                    </w:rPr>
                    <w:t>符合</w:t>
                  </w:r>
                </w:p>
              </w:tc>
            </w:tr>
            <w:tr w14:paraId="4CB0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7E741CBD">
                  <w:pPr>
                    <w:jc w:val="center"/>
                    <w:rPr>
                      <w:b/>
                      <w:color w:val="auto"/>
                      <w:szCs w:val="21"/>
                    </w:rPr>
                  </w:pPr>
                  <w:r>
                    <w:rPr>
                      <w:color w:val="auto"/>
                      <w:szCs w:val="21"/>
                    </w:rPr>
                    <w:t>污染物排放管控</w:t>
                  </w:r>
                </w:p>
              </w:tc>
              <w:tc>
                <w:tcPr>
                  <w:tcW w:w="2397" w:type="pct"/>
                  <w:vAlign w:val="center"/>
                </w:tcPr>
                <w:p w14:paraId="0189E792">
                  <w:pPr>
                    <w:jc w:val="center"/>
                    <w:rPr>
                      <w:b/>
                      <w:color w:val="auto"/>
                      <w:szCs w:val="21"/>
                    </w:rPr>
                  </w:pPr>
                  <w:r>
                    <w:rPr>
                      <w:color w:val="auto"/>
                      <w:szCs w:val="21"/>
                    </w:rPr>
                    <w:t>1．坚持生态环境质量只能更好、不能变坏，实施污染物总量控制，以环境容量定产业、定项目、定规模，确保开发建设行为不突破生态环境承载力。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color w:val="auto"/>
                      <w:szCs w:val="21"/>
                      <w:lang w:eastAsia="zh-CN"/>
                    </w:rPr>
                    <w:t>联防</w:t>
                  </w:r>
                  <w:r>
                    <w:rPr>
                      <w:color w:val="auto"/>
                      <w:szCs w:val="21"/>
                    </w:rPr>
                    <w:t>联控。</w:t>
                  </w:r>
                </w:p>
              </w:tc>
              <w:tc>
                <w:tcPr>
                  <w:tcW w:w="1967" w:type="pct"/>
                  <w:vAlign w:val="center"/>
                </w:tcPr>
                <w:p w14:paraId="60FB438E">
                  <w:pPr>
                    <w:jc w:val="left"/>
                    <w:rPr>
                      <w:bCs/>
                      <w:color w:val="auto"/>
                      <w:szCs w:val="21"/>
                    </w:rPr>
                  </w:pPr>
                  <w:r>
                    <w:rPr>
                      <w:bCs/>
                      <w:color w:val="auto"/>
                      <w:szCs w:val="21"/>
                    </w:rPr>
                    <w:t>1、本项目废气、废水污染物在区域内平衡，不突破区域生态环境承载力；2、本项目不是</w:t>
                  </w:r>
                  <w:r>
                    <w:rPr>
                      <w:color w:val="auto"/>
                      <w:szCs w:val="21"/>
                    </w:rPr>
                    <w:t>主要高耗能行业。</w:t>
                  </w:r>
                </w:p>
              </w:tc>
              <w:tc>
                <w:tcPr>
                  <w:tcW w:w="301" w:type="pct"/>
                  <w:tcBorders>
                    <w:right w:val="nil"/>
                  </w:tcBorders>
                  <w:vAlign w:val="center"/>
                </w:tcPr>
                <w:p w14:paraId="49FEFB70">
                  <w:pPr>
                    <w:jc w:val="center"/>
                    <w:rPr>
                      <w:bCs/>
                      <w:color w:val="auto"/>
                      <w:szCs w:val="21"/>
                    </w:rPr>
                  </w:pPr>
                  <w:r>
                    <w:rPr>
                      <w:color w:val="auto"/>
                      <w:szCs w:val="21"/>
                    </w:rPr>
                    <w:t>符合</w:t>
                  </w:r>
                </w:p>
              </w:tc>
            </w:tr>
            <w:tr w14:paraId="281D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tcBorders>
                  <w:vAlign w:val="center"/>
                </w:tcPr>
                <w:p w14:paraId="341E6527">
                  <w:pPr>
                    <w:jc w:val="center"/>
                    <w:rPr>
                      <w:b/>
                      <w:color w:val="auto"/>
                      <w:szCs w:val="21"/>
                    </w:rPr>
                  </w:pPr>
                  <w:r>
                    <w:rPr>
                      <w:color w:val="auto"/>
                      <w:szCs w:val="21"/>
                    </w:rPr>
                    <w:t>环境风险防控</w:t>
                  </w:r>
                </w:p>
              </w:tc>
              <w:tc>
                <w:tcPr>
                  <w:tcW w:w="2397" w:type="pct"/>
                  <w:vAlign w:val="center"/>
                </w:tcPr>
                <w:p w14:paraId="2F18267F">
                  <w:pPr>
                    <w:jc w:val="center"/>
                    <w:rPr>
                      <w:b/>
                      <w:color w:val="auto"/>
                      <w:szCs w:val="21"/>
                    </w:rPr>
                  </w:pPr>
                  <w:r>
                    <w:rPr>
                      <w:color w:val="auto"/>
                      <w:szCs w:val="21"/>
                    </w:rPr>
                    <w:t>1．强化饮用水水源环境风险管控。县级以上城市全部建成应急水源或双源供水。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3．强化环境事故应急管理。深化跨部门、跨区域环境应急协调联动，分区域建立环境应急物资储备库。各级工业园区（集聚区）和企业的环境应急装备和储备物资应纳入储备体系。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967" w:type="pct"/>
                  <w:vAlign w:val="center"/>
                </w:tcPr>
                <w:p w14:paraId="6AD66151">
                  <w:pPr>
                    <w:jc w:val="left"/>
                    <w:rPr>
                      <w:bCs/>
                      <w:color w:val="auto"/>
                      <w:szCs w:val="21"/>
                    </w:rPr>
                  </w:pPr>
                  <w:r>
                    <w:rPr>
                      <w:bCs/>
                      <w:color w:val="auto"/>
                      <w:szCs w:val="21"/>
                    </w:rPr>
                    <w:t>1</w:t>
                  </w:r>
                  <w:r>
                    <w:rPr>
                      <w:rFonts w:hint="eastAsia"/>
                      <w:bCs/>
                      <w:color w:val="auto"/>
                      <w:szCs w:val="21"/>
                      <w:lang w:eastAsia="zh-CN"/>
                    </w:rPr>
                    <w:t>、</w:t>
                  </w:r>
                  <w:r>
                    <w:rPr>
                      <w:bCs/>
                      <w:color w:val="auto"/>
                      <w:szCs w:val="21"/>
                    </w:rPr>
                    <w:t>本项目不涉及饮用水水源保护区；2</w:t>
                  </w:r>
                  <w:r>
                    <w:rPr>
                      <w:rFonts w:hint="eastAsia"/>
                      <w:bCs/>
                      <w:color w:val="auto"/>
                      <w:szCs w:val="21"/>
                    </w:rPr>
                    <w:t>、</w:t>
                  </w:r>
                  <w:r>
                    <w:rPr>
                      <w:bCs/>
                      <w:color w:val="auto"/>
                      <w:szCs w:val="21"/>
                    </w:rPr>
                    <w:t>建设单位已按照相关要求建立环境风险防控措施，降低对周边水环境的风险，本项目严格执行转移联单制度；3</w:t>
                  </w:r>
                  <w:r>
                    <w:rPr>
                      <w:rFonts w:hint="eastAsia"/>
                      <w:bCs/>
                      <w:color w:val="auto"/>
                      <w:szCs w:val="21"/>
                    </w:rPr>
                    <w:t>、</w:t>
                  </w:r>
                  <w:r>
                    <w:rPr>
                      <w:bCs/>
                      <w:color w:val="auto"/>
                      <w:szCs w:val="21"/>
                    </w:rPr>
                    <w:t>建设单位</w:t>
                  </w:r>
                  <w:r>
                    <w:rPr>
                      <w:rFonts w:hint="eastAsia"/>
                      <w:bCs/>
                      <w:color w:val="auto"/>
                      <w:szCs w:val="21"/>
                    </w:rPr>
                    <w:t>将</w:t>
                  </w:r>
                  <w:r>
                    <w:rPr>
                      <w:bCs/>
                      <w:color w:val="auto"/>
                      <w:szCs w:val="21"/>
                    </w:rPr>
                    <w:t>建立环境应急装备、储备物资和应急队伍；4、本项目应急装备、储备物资和应急队伍与</w:t>
                  </w:r>
                  <w:r>
                    <w:rPr>
                      <w:rFonts w:hint="eastAsia"/>
                      <w:bCs/>
                      <w:color w:val="auto"/>
                      <w:szCs w:val="21"/>
                    </w:rPr>
                    <w:t>涟水县</w:t>
                  </w:r>
                  <w:r>
                    <w:rPr>
                      <w:bCs/>
                      <w:color w:val="auto"/>
                      <w:szCs w:val="21"/>
                    </w:rPr>
                    <w:t>有效衔接，实行突发环境风险预警联防联控。</w:t>
                  </w:r>
                </w:p>
              </w:tc>
              <w:tc>
                <w:tcPr>
                  <w:tcW w:w="301" w:type="pct"/>
                  <w:tcBorders>
                    <w:right w:val="nil"/>
                  </w:tcBorders>
                  <w:vAlign w:val="center"/>
                </w:tcPr>
                <w:p w14:paraId="0046A9B7">
                  <w:pPr>
                    <w:jc w:val="center"/>
                    <w:rPr>
                      <w:bCs/>
                      <w:color w:val="auto"/>
                      <w:szCs w:val="21"/>
                    </w:rPr>
                  </w:pPr>
                  <w:r>
                    <w:rPr>
                      <w:color w:val="auto"/>
                      <w:szCs w:val="21"/>
                    </w:rPr>
                    <w:t>符合</w:t>
                  </w:r>
                </w:p>
              </w:tc>
            </w:tr>
            <w:tr w14:paraId="0397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left w:val="nil"/>
                    <w:bottom w:val="single" w:color="auto" w:sz="12" w:space="0"/>
                  </w:tcBorders>
                  <w:vAlign w:val="center"/>
                </w:tcPr>
                <w:p w14:paraId="11777994">
                  <w:pPr>
                    <w:jc w:val="center"/>
                    <w:rPr>
                      <w:b/>
                      <w:color w:val="auto"/>
                      <w:szCs w:val="21"/>
                    </w:rPr>
                  </w:pPr>
                  <w:r>
                    <w:rPr>
                      <w:color w:val="auto"/>
                      <w:szCs w:val="21"/>
                    </w:rPr>
                    <w:t>资源利用效率要求</w:t>
                  </w:r>
                </w:p>
              </w:tc>
              <w:tc>
                <w:tcPr>
                  <w:tcW w:w="2397" w:type="pct"/>
                  <w:tcBorders>
                    <w:bottom w:val="single" w:color="auto" w:sz="12" w:space="0"/>
                  </w:tcBorders>
                  <w:vAlign w:val="center"/>
                </w:tcPr>
                <w:p w14:paraId="21A70BEF">
                  <w:pPr>
                    <w:jc w:val="center"/>
                    <w:rPr>
                      <w:b/>
                      <w:color w:val="auto"/>
                      <w:szCs w:val="21"/>
                    </w:rPr>
                  </w:pPr>
                  <w:r>
                    <w:rPr>
                      <w:color w:val="auto"/>
                      <w:szCs w:val="21"/>
                    </w:rPr>
                    <w:t>1．水资源利用总量及效率要求：到2025年，全省用水总量控制在525.9亿立方米以内，万元地区生产总值用水量、万元工业增加值用水量下降完成国家下达目标，农田灌溉水有效利用系数提高到0.625。2．土地资源总量要求：到2025年，江苏省耕地保有量不低于5977万亩，其中永久基本农田保护面积不低于5344万亩。3．禁燃区要求：在禁燃区内，禁止销售、燃用高污染燃料；禁止新建、扩建燃用高污染燃料的设施，已建成的，应当在城市人民政府规定的期限内改用天然气、页岩气、液化石油气、</w:t>
                  </w:r>
                  <w:r>
                    <w:rPr>
                      <w:rFonts w:hint="eastAsia"/>
                      <w:color w:val="auto"/>
                      <w:szCs w:val="21"/>
                      <w:lang w:eastAsia="zh-CN"/>
                    </w:rPr>
                    <w:t>电力</w:t>
                  </w:r>
                  <w:r>
                    <w:rPr>
                      <w:color w:val="auto"/>
                      <w:szCs w:val="21"/>
                    </w:rPr>
                    <w:t>或者其他清洁能源。</w:t>
                  </w:r>
                </w:p>
              </w:tc>
              <w:tc>
                <w:tcPr>
                  <w:tcW w:w="1967" w:type="pct"/>
                  <w:tcBorders>
                    <w:bottom w:val="single" w:color="auto" w:sz="12" w:space="0"/>
                  </w:tcBorders>
                  <w:vAlign w:val="center"/>
                </w:tcPr>
                <w:p w14:paraId="5524ACD8">
                  <w:pPr>
                    <w:pStyle w:val="286"/>
                    <w:jc w:val="left"/>
                    <w:rPr>
                      <w:rFonts w:ascii="Times New Roman" w:hAnsi="Times New Roman"/>
                      <w:bCs/>
                      <w:color w:val="auto"/>
                      <w:sz w:val="21"/>
                      <w:szCs w:val="21"/>
                      <w:lang w:eastAsia="zh-CN"/>
                    </w:rPr>
                  </w:pPr>
                  <w:r>
                    <w:rPr>
                      <w:rFonts w:ascii="Times New Roman" w:hAnsi="Times New Roman"/>
                      <w:color w:val="auto"/>
                      <w:spacing w:val="-2"/>
                      <w:sz w:val="21"/>
                      <w:szCs w:val="21"/>
                      <w:lang w:eastAsia="zh-CN"/>
                    </w:rPr>
                    <w:t>1</w:t>
                  </w:r>
                  <w:r>
                    <w:rPr>
                      <w:rFonts w:hint="eastAsia" w:ascii="Times New Roman" w:hAnsi="Times New Roman"/>
                      <w:color w:val="auto"/>
                      <w:spacing w:val="-2"/>
                      <w:sz w:val="21"/>
                      <w:szCs w:val="21"/>
                      <w:lang w:eastAsia="zh-CN"/>
                    </w:rPr>
                    <w:t>、</w:t>
                  </w:r>
                  <w:r>
                    <w:rPr>
                      <w:rFonts w:ascii="Times New Roman" w:hAnsi="Times New Roman"/>
                      <w:color w:val="auto"/>
                      <w:spacing w:val="-2"/>
                      <w:sz w:val="21"/>
                      <w:szCs w:val="21"/>
                      <w:lang w:eastAsia="zh-CN"/>
                    </w:rPr>
                    <w:t>本项目用水由区域</w:t>
                  </w:r>
                  <w:r>
                    <w:rPr>
                      <w:rFonts w:ascii="Times New Roman" w:hAnsi="Times New Roman"/>
                      <w:color w:val="auto"/>
                      <w:spacing w:val="18"/>
                      <w:sz w:val="21"/>
                      <w:szCs w:val="21"/>
                      <w:lang w:eastAsia="zh-CN"/>
                    </w:rPr>
                    <w:t>供水管网供给，不突破水资源利用上</w:t>
                  </w:r>
                  <w:r>
                    <w:rPr>
                      <w:rFonts w:ascii="Times New Roman" w:hAnsi="Times New Roman"/>
                      <w:color w:val="auto"/>
                      <w:spacing w:val="-1"/>
                      <w:sz w:val="21"/>
                      <w:szCs w:val="21"/>
                      <w:lang w:eastAsia="zh-CN"/>
                    </w:rPr>
                    <w:t>限；</w:t>
                  </w:r>
                  <w:r>
                    <w:rPr>
                      <w:rFonts w:ascii="Times New Roman" w:hAnsi="Times New Roman"/>
                      <w:color w:val="auto"/>
                      <w:sz w:val="21"/>
                      <w:szCs w:val="21"/>
                      <w:lang w:eastAsia="zh-CN"/>
                    </w:rPr>
                    <w:t>2</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本项目用地性质为</w:t>
                  </w:r>
                  <w:r>
                    <w:rPr>
                      <w:rFonts w:ascii="Times New Roman" w:hAnsi="Times New Roman"/>
                      <w:color w:val="auto"/>
                      <w:spacing w:val="17"/>
                      <w:sz w:val="21"/>
                      <w:szCs w:val="21"/>
                      <w:lang w:eastAsia="zh-CN"/>
                    </w:rPr>
                    <w:t>工业用地，不占用</w:t>
                  </w:r>
                  <w:r>
                    <w:rPr>
                      <w:rFonts w:ascii="Times New Roman" w:hAnsi="Times New Roman"/>
                      <w:color w:val="auto"/>
                      <w:spacing w:val="-3"/>
                      <w:sz w:val="21"/>
                      <w:szCs w:val="21"/>
                      <w:lang w:eastAsia="zh-CN"/>
                    </w:rPr>
                    <w:t>永久基本农田；</w:t>
                  </w:r>
                  <w:r>
                    <w:rPr>
                      <w:rFonts w:ascii="Times New Roman" w:hAnsi="Times New Roman"/>
                      <w:color w:val="auto"/>
                      <w:spacing w:val="-1"/>
                      <w:sz w:val="21"/>
                      <w:szCs w:val="21"/>
                      <w:lang w:eastAsia="zh-CN"/>
                    </w:rPr>
                    <w:t>3</w:t>
                  </w:r>
                  <w:r>
                    <w:rPr>
                      <w:rFonts w:hint="eastAsia" w:ascii="Times New Roman" w:hAnsi="Times New Roman"/>
                      <w:color w:val="auto"/>
                      <w:spacing w:val="-1"/>
                      <w:sz w:val="21"/>
                      <w:szCs w:val="21"/>
                      <w:lang w:eastAsia="zh-CN"/>
                    </w:rPr>
                    <w:t>、</w:t>
                  </w:r>
                  <w:r>
                    <w:rPr>
                      <w:rFonts w:ascii="Times New Roman" w:hAnsi="Times New Roman"/>
                      <w:color w:val="auto"/>
                      <w:spacing w:val="-1"/>
                      <w:sz w:val="21"/>
                      <w:szCs w:val="21"/>
                      <w:lang w:eastAsia="zh-CN"/>
                    </w:rPr>
                    <w:t>本项目不涉及高污</w:t>
                  </w:r>
                  <w:r>
                    <w:rPr>
                      <w:rFonts w:ascii="Times New Roman" w:hAnsi="Times New Roman"/>
                      <w:color w:val="auto"/>
                      <w:spacing w:val="-3"/>
                      <w:sz w:val="21"/>
                      <w:szCs w:val="21"/>
                      <w:lang w:eastAsia="zh-CN"/>
                    </w:rPr>
                    <w:t>染燃料。</w:t>
                  </w:r>
                </w:p>
              </w:tc>
              <w:tc>
                <w:tcPr>
                  <w:tcW w:w="301" w:type="pct"/>
                  <w:tcBorders>
                    <w:bottom w:val="single" w:color="auto" w:sz="12" w:space="0"/>
                    <w:right w:val="nil"/>
                  </w:tcBorders>
                  <w:vAlign w:val="center"/>
                </w:tcPr>
                <w:p w14:paraId="65F5730D">
                  <w:pPr>
                    <w:jc w:val="center"/>
                    <w:rPr>
                      <w:bCs/>
                      <w:color w:val="auto"/>
                      <w:szCs w:val="21"/>
                    </w:rPr>
                  </w:pPr>
                  <w:r>
                    <w:rPr>
                      <w:color w:val="auto"/>
                      <w:szCs w:val="21"/>
                    </w:rPr>
                    <w:t>符合</w:t>
                  </w:r>
                </w:p>
              </w:tc>
            </w:tr>
          </w:tbl>
          <w:p w14:paraId="3BEE7398">
            <w:pPr>
              <w:adjustRightInd w:val="0"/>
              <w:snapToGrid w:val="0"/>
              <w:spacing w:line="360" w:lineRule="auto"/>
              <w:ind w:firstLine="480"/>
              <w:rPr>
                <w:color w:val="auto"/>
                <w:sz w:val="24"/>
              </w:rPr>
            </w:pPr>
            <w:r>
              <w:rPr>
                <w:color w:val="auto"/>
                <w:sz w:val="24"/>
              </w:rPr>
              <w:t>根据上表分析可知，建设项目与《</w:t>
            </w:r>
            <w:r>
              <w:rPr>
                <w:bCs/>
                <w:color w:val="auto"/>
                <w:sz w:val="24"/>
              </w:rPr>
              <w:t>江苏省“三线一单”生态环境分区管控方案</w:t>
            </w:r>
            <w:r>
              <w:rPr>
                <w:color w:val="auto"/>
                <w:sz w:val="24"/>
              </w:rPr>
              <w:t>》是相符的。</w:t>
            </w:r>
          </w:p>
          <w:p w14:paraId="563C00F3">
            <w:pPr>
              <w:adjustRightInd w:val="0"/>
              <w:snapToGrid w:val="0"/>
              <w:spacing w:line="360" w:lineRule="auto"/>
              <w:ind w:firstLine="482" w:firstLineChars="200"/>
              <w:rPr>
                <w:rFonts w:eastAsiaTheme="minorEastAsia"/>
                <w:b/>
                <w:bCs/>
                <w:color w:val="auto"/>
                <w:sz w:val="24"/>
              </w:rPr>
            </w:pPr>
            <w:r>
              <w:rPr>
                <w:rFonts w:hint="eastAsia" w:ascii="宋体" w:hAnsi="宋体" w:cs="宋体"/>
                <w:b/>
                <w:bCs/>
                <w:color w:val="auto"/>
                <w:sz w:val="24"/>
              </w:rPr>
              <w:t>④</w:t>
            </w:r>
            <w:r>
              <w:rPr>
                <w:rFonts w:eastAsiaTheme="minorEastAsia"/>
                <w:b/>
                <w:bCs/>
                <w:color w:val="auto"/>
                <w:sz w:val="24"/>
              </w:rPr>
              <w:t>与《淮安市“三线一单”生态环境分区管控方案》（淮政发〔2020〕16号）及其修改单相符性分析</w:t>
            </w:r>
          </w:p>
          <w:p w14:paraId="1AD80833">
            <w:pPr>
              <w:adjustRightInd w:val="0"/>
              <w:snapToGrid w:val="0"/>
              <w:spacing w:line="360" w:lineRule="auto"/>
              <w:ind w:firstLine="480" w:firstLineChars="200"/>
              <w:rPr>
                <w:rFonts w:eastAsiaTheme="minorEastAsia"/>
                <w:bCs/>
                <w:color w:val="auto"/>
                <w:sz w:val="24"/>
              </w:rPr>
            </w:pPr>
            <w:r>
              <w:rPr>
                <w:rFonts w:hint="eastAsia" w:eastAsiaTheme="minorEastAsia"/>
                <w:bCs/>
                <w:color w:val="auto"/>
                <w:sz w:val="24"/>
              </w:rPr>
              <w:t>建设</w:t>
            </w:r>
            <w:r>
              <w:rPr>
                <w:rFonts w:eastAsiaTheme="minorEastAsia"/>
                <w:bCs/>
                <w:color w:val="auto"/>
                <w:sz w:val="24"/>
              </w:rPr>
              <w:t>项目与</w:t>
            </w:r>
            <w:r>
              <w:rPr>
                <w:rFonts w:eastAsiaTheme="minorEastAsia"/>
                <w:color w:val="auto"/>
                <w:sz w:val="24"/>
              </w:rPr>
              <w:t>《市政府关于印发</w:t>
            </w:r>
            <w:r>
              <w:rPr>
                <w:rFonts w:hint="eastAsia" w:eastAsiaTheme="minorEastAsia"/>
                <w:color w:val="auto"/>
                <w:sz w:val="24"/>
                <w:lang w:eastAsia="zh-CN"/>
              </w:rPr>
              <w:t>〈</w:t>
            </w:r>
            <w:r>
              <w:rPr>
                <w:rFonts w:eastAsiaTheme="minorEastAsia"/>
                <w:color w:val="auto"/>
                <w:sz w:val="24"/>
              </w:rPr>
              <w:t>淮安市“三线一单”生态环境分区管控方案</w:t>
            </w:r>
            <w:r>
              <w:rPr>
                <w:rFonts w:hint="eastAsia" w:eastAsiaTheme="minorEastAsia"/>
                <w:color w:val="auto"/>
                <w:sz w:val="24"/>
                <w:lang w:eastAsia="zh-CN"/>
              </w:rPr>
              <w:t>〉</w:t>
            </w:r>
            <w:r>
              <w:rPr>
                <w:rFonts w:eastAsiaTheme="minorEastAsia"/>
                <w:color w:val="auto"/>
                <w:sz w:val="24"/>
              </w:rPr>
              <w:t>的通知》</w:t>
            </w:r>
            <w:r>
              <w:rPr>
                <w:rFonts w:eastAsiaTheme="minorEastAsia"/>
                <w:bCs/>
                <w:color w:val="auto"/>
                <w:sz w:val="24"/>
              </w:rPr>
              <w:t>（淮政发〔2020〕16号）、《市政府办公室关于对淮安市“三线一单”生态环境分区管控方案内容修改的通知》（淮政办函〔2022〕5号）相符性分析见表</w:t>
            </w:r>
            <w:r>
              <w:rPr>
                <w:rFonts w:hint="eastAsia" w:eastAsiaTheme="minorEastAsia"/>
                <w:bCs/>
                <w:color w:val="auto"/>
                <w:sz w:val="24"/>
              </w:rPr>
              <w:t>1.3-5</w:t>
            </w:r>
            <w:r>
              <w:rPr>
                <w:rFonts w:eastAsiaTheme="minorEastAsia"/>
                <w:bCs/>
                <w:color w:val="auto"/>
                <w:sz w:val="24"/>
              </w:rPr>
              <w:t>。</w:t>
            </w:r>
          </w:p>
          <w:p w14:paraId="557CCA17">
            <w:pPr>
              <w:adjustRightInd w:val="0"/>
              <w:snapToGrid w:val="0"/>
              <w:ind w:firstLine="200"/>
              <w:jc w:val="center"/>
              <w:rPr>
                <w:rFonts w:eastAsiaTheme="minorEastAsia"/>
                <w:b/>
                <w:bCs/>
                <w:color w:val="auto"/>
                <w:sz w:val="24"/>
              </w:rPr>
            </w:pPr>
            <w:r>
              <w:rPr>
                <w:rFonts w:eastAsiaTheme="minorEastAsia"/>
                <w:b/>
                <w:bCs/>
                <w:color w:val="auto"/>
                <w:sz w:val="24"/>
              </w:rPr>
              <w:t>表</w:t>
            </w:r>
            <w:r>
              <w:rPr>
                <w:rFonts w:hint="eastAsia" w:eastAsiaTheme="minorEastAsia"/>
                <w:b/>
                <w:bCs/>
                <w:color w:val="auto"/>
                <w:sz w:val="24"/>
              </w:rPr>
              <w:t>1.3-5</w:t>
            </w:r>
            <w:r>
              <w:rPr>
                <w:rFonts w:eastAsiaTheme="minorEastAsia"/>
                <w:b/>
                <w:bCs/>
                <w:color w:val="auto"/>
                <w:sz w:val="24"/>
              </w:rPr>
              <w:t xml:space="preserve">  与</w:t>
            </w:r>
            <w:r>
              <w:rPr>
                <w:rFonts w:eastAsiaTheme="minorEastAsia"/>
                <w:b/>
                <w:bCs/>
                <w:snapToGrid w:val="0"/>
                <w:color w:val="auto"/>
                <w:kern w:val="0"/>
                <w:sz w:val="24"/>
              </w:rPr>
              <w:t>《</w:t>
            </w:r>
            <w:r>
              <w:rPr>
                <w:rFonts w:eastAsiaTheme="minorEastAsia"/>
                <w:b/>
                <w:bCs/>
                <w:color w:val="auto"/>
                <w:sz w:val="24"/>
              </w:rPr>
              <w:t>淮安市“三线一单”生态环境分区管控方案》相符性分析</w:t>
            </w:r>
          </w:p>
          <w:tbl>
            <w:tblPr>
              <w:tblStyle w:val="42"/>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7"/>
              <w:gridCol w:w="3997"/>
              <w:gridCol w:w="2735"/>
              <w:gridCol w:w="857"/>
            </w:tblGrid>
            <w:tr w14:paraId="4B70D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tcBorders>
                    <w:top w:val="single" w:color="auto" w:sz="12" w:space="0"/>
                    <w:left w:val="nil"/>
                    <w:bottom w:val="single" w:color="auto" w:sz="4" w:space="0"/>
                    <w:right w:val="single" w:color="auto" w:sz="4" w:space="0"/>
                  </w:tcBorders>
                  <w:vAlign w:val="center"/>
                </w:tcPr>
                <w:p w14:paraId="5BC8339A">
                  <w:pPr>
                    <w:jc w:val="center"/>
                    <w:rPr>
                      <w:rFonts w:eastAsiaTheme="minorEastAsia"/>
                      <w:b/>
                      <w:bCs/>
                      <w:color w:val="auto"/>
                      <w:szCs w:val="21"/>
                    </w:rPr>
                  </w:pPr>
                  <w:r>
                    <w:rPr>
                      <w:rFonts w:eastAsiaTheme="minorEastAsia"/>
                      <w:b/>
                      <w:bCs/>
                      <w:color w:val="auto"/>
                      <w:szCs w:val="21"/>
                    </w:rPr>
                    <w:t>类型</w:t>
                  </w:r>
                </w:p>
              </w:tc>
              <w:tc>
                <w:tcPr>
                  <w:tcW w:w="2391" w:type="pct"/>
                  <w:tcBorders>
                    <w:top w:val="single" w:color="auto" w:sz="12" w:space="0"/>
                    <w:left w:val="single" w:color="auto" w:sz="4" w:space="0"/>
                    <w:bottom w:val="single" w:color="auto" w:sz="4" w:space="0"/>
                    <w:right w:val="single" w:color="auto" w:sz="4" w:space="0"/>
                  </w:tcBorders>
                  <w:vAlign w:val="center"/>
                </w:tcPr>
                <w:p w14:paraId="404144B4">
                  <w:pPr>
                    <w:jc w:val="center"/>
                    <w:rPr>
                      <w:rFonts w:eastAsiaTheme="minorEastAsia"/>
                      <w:b/>
                      <w:bCs/>
                      <w:color w:val="auto"/>
                      <w:szCs w:val="21"/>
                    </w:rPr>
                  </w:pPr>
                  <w:r>
                    <w:rPr>
                      <w:rFonts w:eastAsiaTheme="minorEastAsia"/>
                      <w:b/>
                      <w:bCs/>
                      <w:color w:val="auto"/>
                      <w:szCs w:val="21"/>
                    </w:rPr>
                    <w:t>重点管控要求</w:t>
                  </w:r>
                </w:p>
              </w:tc>
              <w:tc>
                <w:tcPr>
                  <w:tcW w:w="1636" w:type="pct"/>
                  <w:tcBorders>
                    <w:top w:val="single" w:color="auto" w:sz="12" w:space="0"/>
                    <w:left w:val="single" w:color="auto" w:sz="4" w:space="0"/>
                    <w:bottom w:val="single" w:color="auto" w:sz="4" w:space="0"/>
                    <w:right w:val="single" w:color="auto" w:sz="4" w:space="0"/>
                  </w:tcBorders>
                  <w:vAlign w:val="center"/>
                </w:tcPr>
                <w:p w14:paraId="1368B8F1">
                  <w:pPr>
                    <w:jc w:val="center"/>
                    <w:rPr>
                      <w:rFonts w:eastAsiaTheme="minorEastAsia"/>
                      <w:b/>
                      <w:bCs/>
                      <w:color w:val="auto"/>
                      <w:szCs w:val="21"/>
                    </w:rPr>
                  </w:pPr>
                  <w:r>
                    <w:rPr>
                      <w:rFonts w:hint="eastAsia" w:eastAsiaTheme="minorEastAsia"/>
                      <w:b/>
                      <w:color w:val="auto"/>
                      <w:szCs w:val="21"/>
                    </w:rPr>
                    <w:t>建设</w:t>
                  </w:r>
                  <w:r>
                    <w:rPr>
                      <w:rFonts w:eastAsiaTheme="minorEastAsia"/>
                      <w:b/>
                      <w:color w:val="auto"/>
                      <w:szCs w:val="21"/>
                    </w:rPr>
                    <w:t>项目</w:t>
                  </w:r>
                  <w:r>
                    <w:rPr>
                      <w:rFonts w:eastAsiaTheme="minorEastAsia"/>
                      <w:b/>
                      <w:bCs/>
                      <w:color w:val="auto"/>
                      <w:szCs w:val="21"/>
                    </w:rPr>
                    <w:t>情况</w:t>
                  </w:r>
                </w:p>
              </w:tc>
              <w:tc>
                <w:tcPr>
                  <w:tcW w:w="512" w:type="pct"/>
                  <w:tcBorders>
                    <w:top w:val="single" w:color="auto" w:sz="12" w:space="0"/>
                    <w:left w:val="single" w:color="auto" w:sz="4" w:space="0"/>
                    <w:bottom w:val="single" w:color="auto" w:sz="4" w:space="0"/>
                    <w:right w:val="nil"/>
                  </w:tcBorders>
                  <w:vAlign w:val="center"/>
                </w:tcPr>
                <w:p w14:paraId="01447E01">
                  <w:pPr>
                    <w:jc w:val="center"/>
                    <w:rPr>
                      <w:rFonts w:eastAsiaTheme="minorEastAsia"/>
                      <w:b/>
                      <w:bCs/>
                      <w:color w:val="auto"/>
                      <w:szCs w:val="21"/>
                    </w:rPr>
                  </w:pPr>
                  <w:r>
                    <w:rPr>
                      <w:rFonts w:eastAsiaTheme="minorEastAsia"/>
                      <w:b/>
                      <w:bCs/>
                      <w:color w:val="auto"/>
                      <w:szCs w:val="21"/>
                    </w:rPr>
                    <w:t>相符性分析</w:t>
                  </w:r>
                </w:p>
              </w:tc>
            </w:tr>
            <w:tr w14:paraId="67F48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tcBorders>
                    <w:top w:val="single" w:color="auto" w:sz="4" w:space="0"/>
                    <w:left w:val="nil"/>
                    <w:bottom w:val="single" w:color="auto" w:sz="4" w:space="0"/>
                    <w:right w:val="single" w:color="auto" w:sz="4" w:space="0"/>
                  </w:tcBorders>
                  <w:vAlign w:val="center"/>
                </w:tcPr>
                <w:p w14:paraId="0C7D17D3">
                  <w:pPr>
                    <w:jc w:val="center"/>
                    <w:rPr>
                      <w:rFonts w:eastAsiaTheme="minorEastAsia"/>
                      <w:color w:val="auto"/>
                      <w:szCs w:val="21"/>
                    </w:rPr>
                  </w:pPr>
                  <w:r>
                    <w:rPr>
                      <w:rFonts w:eastAsiaTheme="minorEastAsia"/>
                      <w:color w:val="auto"/>
                      <w:szCs w:val="21"/>
                    </w:rPr>
                    <w:t>空间布局约束</w:t>
                  </w:r>
                </w:p>
              </w:tc>
              <w:tc>
                <w:tcPr>
                  <w:tcW w:w="2391" w:type="pct"/>
                  <w:tcBorders>
                    <w:top w:val="single" w:color="auto" w:sz="4" w:space="0"/>
                    <w:left w:val="single" w:color="auto" w:sz="4" w:space="0"/>
                    <w:bottom w:val="single" w:color="auto" w:sz="4" w:space="0"/>
                    <w:right w:val="single" w:color="auto" w:sz="4" w:space="0"/>
                  </w:tcBorders>
                  <w:vAlign w:val="center"/>
                </w:tcPr>
                <w:p w14:paraId="537CA04B">
                  <w:pPr>
                    <w:jc w:val="left"/>
                    <w:rPr>
                      <w:rFonts w:eastAsiaTheme="minorEastAsia"/>
                      <w:color w:val="auto"/>
                      <w:szCs w:val="21"/>
                    </w:rPr>
                  </w:pPr>
                  <w:r>
                    <w:rPr>
                      <w:rFonts w:eastAsiaTheme="minorEastAsia"/>
                      <w:color w:val="auto"/>
                      <w:szCs w:val="21"/>
                    </w:rPr>
                    <w:t>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tc>
              <w:tc>
                <w:tcPr>
                  <w:tcW w:w="1636" w:type="pct"/>
                  <w:tcBorders>
                    <w:top w:val="single" w:color="auto" w:sz="4" w:space="0"/>
                    <w:left w:val="single" w:color="auto" w:sz="4" w:space="0"/>
                    <w:bottom w:val="single" w:color="auto" w:sz="4" w:space="0"/>
                    <w:right w:val="single" w:color="auto" w:sz="4" w:space="0"/>
                  </w:tcBorders>
                  <w:vAlign w:val="center"/>
                </w:tcPr>
                <w:p w14:paraId="4E918103">
                  <w:pPr>
                    <w:jc w:val="left"/>
                    <w:rPr>
                      <w:rFonts w:eastAsiaTheme="minorEastAsia"/>
                      <w:color w:val="auto"/>
                      <w:szCs w:val="21"/>
                    </w:rPr>
                  </w:pPr>
                  <w:r>
                    <w:rPr>
                      <w:rFonts w:hint="eastAsia" w:eastAsiaTheme="minorEastAsia"/>
                      <w:color w:val="auto"/>
                      <w:szCs w:val="21"/>
                    </w:rPr>
                    <w:t>建设</w:t>
                  </w:r>
                  <w:r>
                    <w:rPr>
                      <w:rFonts w:eastAsiaTheme="minorEastAsia"/>
                      <w:color w:val="auto"/>
                      <w:szCs w:val="21"/>
                    </w:rPr>
                    <w:t>项目为</w:t>
                  </w:r>
                  <w:r>
                    <w:rPr>
                      <w:rFonts w:hint="eastAsia" w:eastAsiaTheme="minorEastAsia"/>
                      <w:color w:val="auto"/>
                      <w:kern w:val="0"/>
                      <w:szCs w:val="21"/>
                    </w:rPr>
                    <w:t>年加工</w:t>
                  </w:r>
                  <w:r>
                    <w:rPr>
                      <w:rFonts w:hint="eastAsia" w:eastAsiaTheme="minorEastAsia"/>
                      <w:color w:val="auto"/>
                      <w:kern w:val="0"/>
                      <w:szCs w:val="21"/>
                      <w:lang w:eastAsia="zh-CN"/>
                    </w:rPr>
                    <w:t>玩具胶合板</w:t>
                  </w:r>
                  <w:r>
                    <w:rPr>
                      <w:rFonts w:hint="eastAsia" w:eastAsiaTheme="minorEastAsia"/>
                      <w:color w:val="auto"/>
                      <w:kern w:val="0"/>
                      <w:szCs w:val="21"/>
                    </w:rPr>
                    <w:t>11000立方米</w:t>
                  </w:r>
                  <w:r>
                    <w:rPr>
                      <w:rFonts w:hint="eastAsia" w:eastAsiaTheme="minorEastAsia"/>
                      <w:color w:val="auto"/>
                      <w:szCs w:val="21"/>
                    </w:rPr>
                    <w:t>项目</w:t>
                  </w:r>
                  <w:r>
                    <w:rPr>
                      <w:rFonts w:eastAsiaTheme="minorEastAsia"/>
                      <w:color w:val="auto"/>
                      <w:szCs w:val="21"/>
                    </w:rPr>
                    <w:t>，不属于产能过剩行业，也不属于高耗能、高污染、技术落后的产业，不属于所述限制和禁止类产业。</w:t>
                  </w:r>
                </w:p>
              </w:tc>
              <w:tc>
                <w:tcPr>
                  <w:tcW w:w="512" w:type="pct"/>
                  <w:tcBorders>
                    <w:top w:val="single" w:color="auto" w:sz="4" w:space="0"/>
                    <w:left w:val="single" w:color="auto" w:sz="4" w:space="0"/>
                    <w:bottom w:val="single" w:color="auto" w:sz="4" w:space="0"/>
                    <w:right w:val="nil"/>
                  </w:tcBorders>
                  <w:vAlign w:val="center"/>
                </w:tcPr>
                <w:p w14:paraId="6A789828">
                  <w:pPr>
                    <w:jc w:val="center"/>
                    <w:rPr>
                      <w:rFonts w:eastAsiaTheme="minorEastAsia"/>
                      <w:color w:val="auto"/>
                      <w:szCs w:val="21"/>
                    </w:rPr>
                  </w:pPr>
                  <w:r>
                    <w:rPr>
                      <w:rFonts w:eastAsiaTheme="minorEastAsia"/>
                      <w:color w:val="auto"/>
                      <w:szCs w:val="21"/>
                    </w:rPr>
                    <w:t>相符</w:t>
                  </w:r>
                </w:p>
              </w:tc>
            </w:tr>
            <w:tr w14:paraId="01459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vMerge w:val="restart"/>
                  <w:tcBorders>
                    <w:top w:val="single" w:color="auto" w:sz="4" w:space="0"/>
                    <w:left w:val="nil"/>
                    <w:right w:val="single" w:color="auto" w:sz="4" w:space="0"/>
                  </w:tcBorders>
                  <w:vAlign w:val="center"/>
                </w:tcPr>
                <w:p w14:paraId="1C6BD51D">
                  <w:pPr>
                    <w:jc w:val="center"/>
                    <w:rPr>
                      <w:rFonts w:eastAsiaTheme="minorEastAsia"/>
                      <w:color w:val="auto"/>
                      <w:szCs w:val="21"/>
                    </w:rPr>
                  </w:pPr>
                  <w:r>
                    <w:rPr>
                      <w:rFonts w:eastAsiaTheme="minorEastAsia"/>
                      <w:color w:val="auto"/>
                      <w:szCs w:val="21"/>
                    </w:rPr>
                    <w:t>污染物排放管控</w:t>
                  </w:r>
                </w:p>
              </w:tc>
              <w:tc>
                <w:tcPr>
                  <w:tcW w:w="2391" w:type="pct"/>
                  <w:tcBorders>
                    <w:top w:val="single" w:color="auto" w:sz="4" w:space="0"/>
                    <w:left w:val="single" w:color="auto" w:sz="4" w:space="0"/>
                    <w:bottom w:val="single" w:color="auto" w:sz="4" w:space="0"/>
                    <w:right w:val="single" w:color="auto" w:sz="4" w:space="0"/>
                  </w:tcBorders>
                  <w:vAlign w:val="center"/>
                </w:tcPr>
                <w:p w14:paraId="46D826A0">
                  <w:pPr>
                    <w:jc w:val="left"/>
                    <w:rPr>
                      <w:rFonts w:eastAsiaTheme="minorEastAsia"/>
                      <w:color w:val="auto"/>
                      <w:szCs w:val="21"/>
                    </w:rPr>
                  </w:pPr>
                  <w:r>
                    <w:rPr>
                      <w:rFonts w:eastAsiaTheme="minorEastAsia"/>
                      <w:color w:val="auto"/>
                      <w:szCs w:val="21"/>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1636" w:type="pct"/>
                  <w:tcBorders>
                    <w:top w:val="single" w:color="auto" w:sz="4" w:space="0"/>
                    <w:left w:val="single" w:color="auto" w:sz="4" w:space="0"/>
                    <w:bottom w:val="single" w:color="auto" w:sz="4" w:space="0"/>
                    <w:right w:val="single" w:color="auto" w:sz="4" w:space="0"/>
                  </w:tcBorders>
                  <w:vAlign w:val="center"/>
                </w:tcPr>
                <w:p w14:paraId="56120172">
                  <w:pPr>
                    <w:adjustRightInd w:val="0"/>
                    <w:snapToGrid w:val="0"/>
                    <w:jc w:val="left"/>
                    <w:rPr>
                      <w:rFonts w:eastAsiaTheme="minorEastAsia"/>
                      <w:color w:val="auto"/>
                      <w:szCs w:val="21"/>
                    </w:rPr>
                  </w:pPr>
                  <w:r>
                    <w:rPr>
                      <w:rFonts w:hint="eastAsia" w:eastAsiaTheme="minorEastAsia"/>
                      <w:color w:val="auto"/>
                      <w:szCs w:val="21"/>
                    </w:rPr>
                    <w:t>建设</w:t>
                  </w:r>
                  <w:r>
                    <w:rPr>
                      <w:rFonts w:eastAsiaTheme="minorEastAsia"/>
                      <w:color w:val="auto"/>
                      <w:szCs w:val="21"/>
                    </w:rPr>
                    <w:t>项目排放的颗粒物</w:t>
                  </w:r>
                  <w:r>
                    <w:rPr>
                      <w:rFonts w:hint="eastAsia" w:eastAsiaTheme="minorEastAsia"/>
                      <w:color w:val="auto"/>
                      <w:szCs w:val="21"/>
                      <w:lang w:eastAsia="zh-CN"/>
                    </w:rPr>
                    <w:t>、</w:t>
                  </w:r>
                  <w:r>
                    <w:rPr>
                      <w:rFonts w:eastAsiaTheme="minorEastAsia"/>
                      <w:bCs/>
                      <w:color w:val="auto"/>
                      <w:kern w:val="0"/>
                      <w:szCs w:val="21"/>
                    </w:rPr>
                    <w:t>VOCs由淮安市</w:t>
                  </w:r>
                  <w:r>
                    <w:rPr>
                      <w:rFonts w:hint="eastAsia" w:eastAsiaTheme="minorEastAsia"/>
                      <w:bCs/>
                      <w:color w:val="auto"/>
                      <w:kern w:val="0"/>
                      <w:szCs w:val="21"/>
                    </w:rPr>
                    <w:t>涟水</w:t>
                  </w:r>
                  <w:r>
                    <w:rPr>
                      <w:rFonts w:eastAsiaTheme="minorEastAsia"/>
                      <w:bCs/>
                      <w:color w:val="auto"/>
                      <w:kern w:val="0"/>
                      <w:szCs w:val="21"/>
                    </w:rPr>
                    <w:t>生态环境局从境内企业削减总量中替代平衡</w:t>
                  </w:r>
                  <w:r>
                    <w:rPr>
                      <w:rFonts w:eastAsiaTheme="minorEastAsia"/>
                      <w:color w:val="auto"/>
                      <w:szCs w:val="21"/>
                    </w:rPr>
                    <w:t>；无生产废水</w:t>
                  </w:r>
                  <w:r>
                    <w:rPr>
                      <w:rFonts w:hint="eastAsia" w:eastAsiaTheme="minorEastAsia"/>
                      <w:color w:val="auto"/>
                      <w:szCs w:val="21"/>
                      <w:lang w:eastAsia="zh-CN"/>
                    </w:rPr>
                    <w:t>排放</w:t>
                  </w:r>
                  <w:r>
                    <w:rPr>
                      <w:rFonts w:eastAsiaTheme="minorEastAsia"/>
                      <w:color w:val="auto"/>
                      <w:szCs w:val="21"/>
                    </w:rPr>
                    <w:t>，产生的危险废物委托有资质单位安全处置，一般工业固废统一收集后外售或处置，生活垃圾由环卫部门清运。</w:t>
                  </w:r>
                </w:p>
              </w:tc>
              <w:tc>
                <w:tcPr>
                  <w:tcW w:w="512" w:type="pct"/>
                  <w:tcBorders>
                    <w:top w:val="single" w:color="auto" w:sz="4" w:space="0"/>
                    <w:left w:val="single" w:color="auto" w:sz="4" w:space="0"/>
                    <w:bottom w:val="single" w:color="auto" w:sz="4" w:space="0"/>
                    <w:right w:val="nil"/>
                  </w:tcBorders>
                  <w:vAlign w:val="center"/>
                </w:tcPr>
                <w:p w14:paraId="36B8208A">
                  <w:pPr>
                    <w:jc w:val="center"/>
                    <w:rPr>
                      <w:rFonts w:eastAsiaTheme="minorEastAsia"/>
                      <w:color w:val="auto"/>
                      <w:szCs w:val="21"/>
                    </w:rPr>
                  </w:pPr>
                  <w:r>
                    <w:rPr>
                      <w:rFonts w:eastAsiaTheme="minorEastAsia"/>
                      <w:color w:val="auto"/>
                      <w:szCs w:val="21"/>
                    </w:rPr>
                    <w:t>相符</w:t>
                  </w:r>
                </w:p>
              </w:tc>
            </w:tr>
            <w:tr w14:paraId="5DDAF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vMerge w:val="continue"/>
                  <w:tcBorders>
                    <w:left w:val="nil"/>
                    <w:bottom w:val="single" w:color="auto" w:sz="4" w:space="0"/>
                    <w:right w:val="single" w:color="auto" w:sz="4" w:space="0"/>
                  </w:tcBorders>
                  <w:vAlign w:val="center"/>
                </w:tcPr>
                <w:p w14:paraId="6758138A">
                  <w:pPr>
                    <w:jc w:val="center"/>
                    <w:rPr>
                      <w:rFonts w:eastAsiaTheme="minorEastAsia"/>
                      <w:color w:val="auto"/>
                      <w:szCs w:val="21"/>
                    </w:rPr>
                  </w:pPr>
                </w:p>
              </w:tc>
              <w:tc>
                <w:tcPr>
                  <w:tcW w:w="2391" w:type="pct"/>
                  <w:tcBorders>
                    <w:top w:val="single" w:color="auto" w:sz="4" w:space="0"/>
                    <w:left w:val="single" w:color="auto" w:sz="4" w:space="0"/>
                    <w:bottom w:val="single" w:color="auto" w:sz="4" w:space="0"/>
                    <w:right w:val="single" w:color="auto" w:sz="4" w:space="0"/>
                  </w:tcBorders>
                  <w:vAlign w:val="center"/>
                </w:tcPr>
                <w:p w14:paraId="6882F052">
                  <w:pPr>
                    <w:jc w:val="left"/>
                    <w:rPr>
                      <w:rFonts w:eastAsiaTheme="minorEastAsia"/>
                      <w:color w:val="auto"/>
                      <w:szCs w:val="21"/>
                    </w:rPr>
                  </w:pPr>
                  <w:r>
                    <w:rPr>
                      <w:rFonts w:eastAsiaTheme="minorEastAsia"/>
                      <w:color w:val="auto"/>
                      <w:szCs w:val="21"/>
                    </w:rPr>
                    <w:t>2.新</w:t>
                  </w:r>
                  <w:r>
                    <w:rPr>
                      <w:rFonts w:hint="eastAsia" w:eastAsiaTheme="minorEastAsia"/>
                      <w:color w:val="auto"/>
                      <w:szCs w:val="21"/>
                      <w:lang w:eastAsia="zh-CN"/>
                    </w:rPr>
                    <w:t>增资</w:t>
                  </w:r>
                  <w:r>
                    <w:rPr>
                      <w:rFonts w:eastAsiaTheme="minorEastAsia"/>
                      <w:color w:val="auto"/>
                      <w:szCs w:val="21"/>
                    </w:rPr>
                    <w:t>源排放标准限制：根据《淮安市打赢蓝天保卫战三年行动计划实施方案》（淮政发〔2018〕113号），全市范围内二氧化硫、氮氧化物、颗粒物、VOCs全面执行大气污染物特别排放限值。</w:t>
                  </w:r>
                </w:p>
              </w:tc>
              <w:tc>
                <w:tcPr>
                  <w:tcW w:w="1636" w:type="pct"/>
                  <w:tcBorders>
                    <w:top w:val="single" w:color="auto" w:sz="4" w:space="0"/>
                    <w:left w:val="single" w:color="auto" w:sz="4" w:space="0"/>
                    <w:bottom w:val="single" w:color="auto" w:sz="4" w:space="0"/>
                    <w:right w:val="single" w:color="auto" w:sz="4" w:space="0"/>
                  </w:tcBorders>
                  <w:vAlign w:val="center"/>
                </w:tcPr>
                <w:p w14:paraId="7025E9DA">
                  <w:pPr>
                    <w:jc w:val="left"/>
                    <w:rPr>
                      <w:rFonts w:eastAsiaTheme="minorEastAsia"/>
                      <w:color w:val="auto"/>
                      <w:szCs w:val="21"/>
                    </w:rPr>
                  </w:pPr>
                  <w:r>
                    <w:rPr>
                      <w:rFonts w:hint="eastAsia" w:eastAsiaTheme="minorEastAsia"/>
                      <w:color w:val="auto"/>
                      <w:szCs w:val="21"/>
                    </w:rPr>
                    <w:t>建设</w:t>
                  </w:r>
                  <w:r>
                    <w:rPr>
                      <w:rFonts w:eastAsiaTheme="minorEastAsia"/>
                      <w:color w:val="auto"/>
                      <w:szCs w:val="21"/>
                    </w:rPr>
                    <w:t>项目</w:t>
                  </w:r>
                  <w:r>
                    <w:rPr>
                      <w:rFonts w:eastAsiaTheme="minorEastAsia"/>
                      <w:color w:val="auto"/>
                      <w:kern w:val="0"/>
                      <w:szCs w:val="21"/>
                    </w:rPr>
                    <w:t>产生的颗粒物、</w:t>
                  </w:r>
                  <w:r>
                    <w:rPr>
                      <w:rFonts w:hint="eastAsia" w:eastAsiaTheme="minorEastAsia"/>
                      <w:color w:val="auto"/>
                      <w:kern w:val="0"/>
                      <w:szCs w:val="21"/>
                    </w:rPr>
                    <w:t>甲醛、非甲烷总烃</w:t>
                  </w:r>
                  <w:r>
                    <w:rPr>
                      <w:rFonts w:eastAsiaTheme="minorEastAsia"/>
                      <w:color w:val="auto"/>
                      <w:kern w:val="0"/>
                      <w:szCs w:val="21"/>
                    </w:rPr>
                    <w:t>执行</w:t>
                  </w:r>
                  <w:r>
                    <w:rPr>
                      <w:rFonts w:hint="eastAsia" w:eastAsiaTheme="minorEastAsia"/>
                      <w:color w:val="auto"/>
                      <w:kern w:val="0"/>
                      <w:szCs w:val="21"/>
                    </w:rPr>
                    <w:t>江苏省地方标准《木材加工行业大气污染物排放标准》（DB32/4436-2022）表</w:t>
                  </w:r>
                  <w:r>
                    <w:rPr>
                      <w:rFonts w:eastAsiaTheme="minorEastAsia"/>
                      <w:color w:val="auto"/>
                      <w:kern w:val="0"/>
                      <w:szCs w:val="21"/>
                    </w:rPr>
                    <w:t>1</w:t>
                  </w:r>
                  <w:r>
                    <w:rPr>
                      <w:rFonts w:hint="eastAsia" w:eastAsiaTheme="minorEastAsia"/>
                      <w:color w:val="auto"/>
                      <w:kern w:val="0"/>
                      <w:szCs w:val="21"/>
                    </w:rPr>
                    <w:t>中标准限值，厂区内非甲烷总烃、甲醛执行江苏省地方标准《木材加工行业大气污染物排放标准》（DB32/4436-2022）表3中标准限值。</w:t>
                  </w:r>
                </w:p>
              </w:tc>
              <w:tc>
                <w:tcPr>
                  <w:tcW w:w="512" w:type="pct"/>
                  <w:tcBorders>
                    <w:top w:val="single" w:color="auto" w:sz="4" w:space="0"/>
                    <w:left w:val="single" w:color="auto" w:sz="4" w:space="0"/>
                    <w:bottom w:val="single" w:color="auto" w:sz="4" w:space="0"/>
                    <w:right w:val="nil"/>
                  </w:tcBorders>
                  <w:vAlign w:val="center"/>
                </w:tcPr>
                <w:p w14:paraId="6EF34D79">
                  <w:pPr>
                    <w:jc w:val="center"/>
                    <w:rPr>
                      <w:rFonts w:eastAsiaTheme="minorEastAsia"/>
                      <w:color w:val="auto"/>
                      <w:szCs w:val="21"/>
                    </w:rPr>
                  </w:pPr>
                  <w:r>
                    <w:rPr>
                      <w:rFonts w:eastAsiaTheme="minorEastAsia"/>
                      <w:color w:val="auto"/>
                      <w:szCs w:val="21"/>
                    </w:rPr>
                    <w:t>相符</w:t>
                  </w:r>
                </w:p>
              </w:tc>
            </w:tr>
            <w:tr w14:paraId="0C097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tcBorders>
                    <w:top w:val="single" w:color="auto" w:sz="4" w:space="0"/>
                    <w:left w:val="nil"/>
                    <w:bottom w:val="single" w:color="auto" w:sz="4" w:space="0"/>
                    <w:right w:val="single" w:color="auto" w:sz="4" w:space="0"/>
                  </w:tcBorders>
                  <w:vAlign w:val="center"/>
                </w:tcPr>
                <w:p w14:paraId="2A43BE0B">
                  <w:pPr>
                    <w:jc w:val="center"/>
                    <w:rPr>
                      <w:rFonts w:eastAsiaTheme="minorEastAsia"/>
                      <w:color w:val="auto"/>
                      <w:szCs w:val="21"/>
                    </w:rPr>
                  </w:pPr>
                  <w:r>
                    <w:rPr>
                      <w:rFonts w:eastAsiaTheme="minorEastAsia"/>
                      <w:color w:val="auto"/>
                      <w:szCs w:val="21"/>
                    </w:rPr>
                    <w:t>环境风险防控</w:t>
                  </w:r>
                </w:p>
              </w:tc>
              <w:tc>
                <w:tcPr>
                  <w:tcW w:w="2391" w:type="pct"/>
                  <w:tcBorders>
                    <w:top w:val="single" w:color="auto" w:sz="4" w:space="0"/>
                    <w:left w:val="single" w:color="auto" w:sz="4" w:space="0"/>
                    <w:bottom w:val="single" w:color="auto" w:sz="4" w:space="0"/>
                    <w:right w:val="single" w:color="auto" w:sz="4" w:space="0"/>
                  </w:tcBorders>
                  <w:vAlign w:val="center"/>
                </w:tcPr>
                <w:p w14:paraId="1FF2CA9E">
                  <w:pPr>
                    <w:jc w:val="left"/>
                    <w:rPr>
                      <w:rFonts w:eastAsiaTheme="minorEastAsia"/>
                      <w:color w:val="auto"/>
                      <w:szCs w:val="21"/>
                    </w:rPr>
                  </w:pPr>
                  <w:r>
                    <w:rPr>
                      <w:rFonts w:eastAsiaTheme="minorEastAsia"/>
                      <w:color w:val="auto"/>
                      <w:szCs w:val="21"/>
                    </w:rPr>
                    <w:t>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w:t>
                  </w:r>
                </w:p>
              </w:tc>
              <w:tc>
                <w:tcPr>
                  <w:tcW w:w="1636" w:type="pct"/>
                  <w:vMerge w:val="restart"/>
                  <w:tcBorders>
                    <w:top w:val="single" w:color="auto" w:sz="4" w:space="0"/>
                    <w:left w:val="single" w:color="auto" w:sz="4" w:space="0"/>
                    <w:right w:val="single" w:color="auto" w:sz="4" w:space="0"/>
                  </w:tcBorders>
                  <w:vAlign w:val="center"/>
                </w:tcPr>
                <w:p w14:paraId="501C83F4">
                  <w:pPr>
                    <w:jc w:val="left"/>
                    <w:rPr>
                      <w:rFonts w:eastAsiaTheme="minorEastAsia"/>
                      <w:color w:val="auto"/>
                      <w:szCs w:val="21"/>
                    </w:rPr>
                  </w:pPr>
                  <w:r>
                    <w:rPr>
                      <w:rFonts w:hint="eastAsia" w:eastAsiaTheme="minorEastAsia"/>
                      <w:color w:val="auto"/>
                      <w:szCs w:val="21"/>
                    </w:rPr>
                    <w:t>建设</w:t>
                  </w:r>
                  <w:r>
                    <w:rPr>
                      <w:rFonts w:eastAsiaTheme="minorEastAsia"/>
                      <w:color w:val="auto"/>
                      <w:szCs w:val="21"/>
                    </w:rPr>
                    <w:t>项目为</w:t>
                  </w:r>
                  <w:r>
                    <w:rPr>
                      <w:rFonts w:hint="eastAsia" w:eastAsiaTheme="minorEastAsia"/>
                      <w:color w:val="auto"/>
                      <w:szCs w:val="21"/>
                    </w:rPr>
                    <w:t>胶合板生产</w:t>
                  </w:r>
                  <w:r>
                    <w:rPr>
                      <w:rFonts w:eastAsiaTheme="minorEastAsia"/>
                      <w:color w:val="auto"/>
                      <w:szCs w:val="21"/>
                    </w:rPr>
                    <w:t>项目，不属于石化、化工、水泥、钢铁等重污染企业和危险化学品企业。</w:t>
                  </w:r>
                </w:p>
              </w:tc>
              <w:tc>
                <w:tcPr>
                  <w:tcW w:w="512" w:type="pct"/>
                  <w:vMerge w:val="restart"/>
                  <w:tcBorders>
                    <w:top w:val="single" w:color="auto" w:sz="4" w:space="0"/>
                    <w:left w:val="single" w:color="auto" w:sz="4" w:space="0"/>
                    <w:right w:val="nil"/>
                  </w:tcBorders>
                  <w:vAlign w:val="center"/>
                </w:tcPr>
                <w:p w14:paraId="284E547A">
                  <w:pPr>
                    <w:jc w:val="center"/>
                    <w:rPr>
                      <w:rFonts w:eastAsiaTheme="minorEastAsia"/>
                      <w:color w:val="auto"/>
                      <w:szCs w:val="21"/>
                    </w:rPr>
                  </w:pPr>
                  <w:r>
                    <w:rPr>
                      <w:rFonts w:eastAsiaTheme="minorEastAsia"/>
                      <w:color w:val="auto"/>
                      <w:szCs w:val="21"/>
                    </w:rPr>
                    <w:t>相符</w:t>
                  </w:r>
                </w:p>
              </w:tc>
            </w:tr>
            <w:tr w14:paraId="58C33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459" w:type="pct"/>
                  <w:tcBorders>
                    <w:top w:val="single" w:color="auto" w:sz="4" w:space="0"/>
                    <w:left w:val="nil"/>
                    <w:bottom w:val="single" w:color="auto" w:sz="12" w:space="0"/>
                    <w:right w:val="single" w:color="auto" w:sz="4" w:space="0"/>
                  </w:tcBorders>
                  <w:vAlign w:val="center"/>
                </w:tcPr>
                <w:p w14:paraId="5A46C0D3">
                  <w:pPr>
                    <w:jc w:val="center"/>
                    <w:rPr>
                      <w:rFonts w:eastAsiaTheme="minorEastAsia"/>
                      <w:color w:val="auto"/>
                      <w:szCs w:val="21"/>
                    </w:rPr>
                  </w:pPr>
                  <w:r>
                    <w:rPr>
                      <w:rFonts w:eastAsiaTheme="minorEastAsia"/>
                      <w:color w:val="auto"/>
                      <w:szCs w:val="21"/>
                    </w:rPr>
                    <w:t>资源利用效率要求</w:t>
                  </w:r>
                </w:p>
              </w:tc>
              <w:tc>
                <w:tcPr>
                  <w:tcW w:w="2391" w:type="pct"/>
                  <w:tcBorders>
                    <w:top w:val="single" w:color="auto" w:sz="4" w:space="0"/>
                    <w:left w:val="single" w:color="auto" w:sz="4" w:space="0"/>
                    <w:bottom w:val="single" w:color="auto" w:sz="12" w:space="0"/>
                    <w:right w:val="single" w:color="auto" w:sz="4" w:space="0"/>
                  </w:tcBorders>
                  <w:vAlign w:val="center"/>
                </w:tcPr>
                <w:p w14:paraId="7E96219D">
                  <w:pPr>
                    <w:jc w:val="left"/>
                    <w:rPr>
                      <w:rFonts w:eastAsiaTheme="minorEastAsia"/>
                      <w:color w:val="auto"/>
                      <w:szCs w:val="21"/>
                    </w:rPr>
                  </w:pPr>
                  <w:r>
                    <w:rPr>
                      <w:rFonts w:eastAsiaTheme="minorEastAsia"/>
                      <w:color w:val="auto"/>
                      <w:szCs w:val="21"/>
                    </w:rPr>
                    <w:t>能耗要求：根据《淮安市打赢蓝天保卫战三年行动计划实施方案》（淮政发〔2018〕113号），新建高耗能项目单位产品（产值）能耗要达到国际先进水平。</w:t>
                  </w:r>
                </w:p>
              </w:tc>
              <w:tc>
                <w:tcPr>
                  <w:tcW w:w="1636" w:type="pct"/>
                  <w:vMerge w:val="continue"/>
                  <w:tcBorders>
                    <w:left w:val="single" w:color="auto" w:sz="4" w:space="0"/>
                    <w:bottom w:val="single" w:color="auto" w:sz="12" w:space="0"/>
                    <w:right w:val="single" w:color="auto" w:sz="4" w:space="0"/>
                  </w:tcBorders>
                  <w:vAlign w:val="center"/>
                </w:tcPr>
                <w:p w14:paraId="18EB736C">
                  <w:pPr>
                    <w:jc w:val="center"/>
                    <w:rPr>
                      <w:rFonts w:eastAsiaTheme="minorEastAsia"/>
                      <w:color w:val="auto"/>
                      <w:szCs w:val="21"/>
                    </w:rPr>
                  </w:pPr>
                </w:p>
              </w:tc>
              <w:tc>
                <w:tcPr>
                  <w:tcW w:w="512" w:type="pct"/>
                  <w:vMerge w:val="continue"/>
                  <w:tcBorders>
                    <w:left w:val="single" w:color="auto" w:sz="4" w:space="0"/>
                    <w:bottom w:val="single" w:color="auto" w:sz="12" w:space="0"/>
                    <w:right w:val="nil"/>
                  </w:tcBorders>
                  <w:vAlign w:val="center"/>
                </w:tcPr>
                <w:p w14:paraId="0518C393">
                  <w:pPr>
                    <w:jc w:val="center"/>
                    <w:rPr>
                      <w:rFonts w:eastAsiaTheme="minorEastAsia"/>
                      <w:color w:val="auto"/>
                      <w:szCs w:val="21"/>
                    </w:rPr>
                  </w:pPr>
                </w:p>
              </w:tc>
            </w:tr>
          </w:tbl>
          <w:p w14:paraId="66AC18BB">
            <w:pPr>
              <w:adjustRightInd w:val="0"/>
              <w:snapToGrid w:val="0"/>
              <w:spacing w:before="120" w:beforeLines="50" w:line="360" w:lineRule="auto"/>
              <w:ind w:firstLine="480" w:firstLineChars="200"/>
              <w:rPr>
                <w:rFonts w:eastAsiaTheme="minorEastAsia"/>
                <w:color w:val="auto"/>
                <w:sz w:val="24"/>
              </w:rPr>
            </w:pPr>
            <w:r>
              <w:rPr>
                <w:rFonts w:eastAsiaTheme="minorEastAsia"/>
                <w:color w:val="auto"/>
                <w:sz w:val="24"/>
              </w:rPr>
              <w:t>根据上表分析可知，</w:t>
            </w:r>
            <w:r>
              <w:rPr>
                <w:rFonts w:hint="eastAsia" w:eastAsiaTheme="minorEastAsia"/>
                <w:color w:val="auto"/>
                <w:sz w:val="24"/>
              </w:rPr>
              <w:t>建设</w:t>
            </w:r>
            <w:r>
              <w:rPr>
                <w:rFonts w:eastAsiaTheme="minorEastAsia"/>
                <w:color w:val="auto"/>
                <w:sz w:val="24"/>
              </w:rPr>
              <w:t>项目与《淮安市“三线一单”生态环境分区管控方案》</w:t>
            </w:r>
            <w:r>
              <w:rPr>
                <w:rFonts w:eastAsiaTheme="minorEastAsia"/>
                <w:bCs/>
                <w:color w:val="auto"/>
                <w:sz w:val="24"/>
              </w:rPr>
              <w:t>（淮政发〔2020〕16号）及其修改单</w:t>
            </w:r>
            <w:r>
              <w:rPr>
                <w:rFonts w:eastAsiaTheme="minorEastAsia"/>
                <w:color w:val="auto"/>
                <w:sz w:val="24"/>
              </w:rPr>
              <w:t>是相符的。</w:t>
            </w:r>
          </w:p>
          <w:p w14:paraId="59ED1A55">
            <w:pPr>
              <w:adjustRightInd w:val="0"/>
              <w:snapToGrid w:val="0"/>
              <w:spacing w:line="360" w:lineRule="auto"/>
              <w:ind w:firstLine="482" w:firstLineChars="200"/>
              <w:rPr>
                <w:rFonts w:eastAsiaTheme="minorEastAsia"/>
                <w:b/>
                <w:bCs/>
                <w:color w:val="auto"/>
                <w:sz w:val="24"/>
              </w:rPr>
            </w:pPr>
            <w:r>
              <w:rPr>
                <w:rFonts w:hint="eastAsia" w:ascii="宋体" w:hAnsi="宋体" w:cs="宋体"/>
                <w:b/>
                <w:bCs/>
                <w:color w:val="auto"/>
                <w:sz w:val="24"/>
              </w:rPr>
              <w:t>⑤</w:t>
            </w:r>
            <w:r>
              <w:rPr>
                <w:rFonts w:eastAsiaTheme="minorEastAsia"/>
                <w:b/>
                <w:bCs/>
                <w:color w:val="auto"/>
                <w:sz w:val="24"/>
              </w:rPr>
              <w:t>与《关于印发</w:t>
            </w:r>
            <w:r>
              <w:rPr>
                <w:rFonts w:hint="eastAsia" w:eastAsiaTheme="minorEastAsia"/>
                <w:b/>
                <w:bCs/>
                <w:color w:val="auto"/>
                <w:sz w:val="24"/>
                <w:lang w:eastAsia="zh-CN"/>
              </w:rPr>
              <w:t>〈</w:t>
            </w:r>
            <w:r>
              <w:rPr>
                <w:rFonts w:eastAsiaTheme="minorEastAsia"/>
                <w:b/>
                <w:bCs/>
                <w:color w:val="auto"/>
                <w:sz w:val="24"/>
              </w:rPr>
              <w:t>淮安市环境管控单元生态环境准入清单</w:t>
            </w:r>
            <w:r>
              <w:rPr>
                <w:rFonts w:hint="eastAsia" w:eastAsiaTheme="minorEastAsia"/>
                <w:b/>
                <w:bCs/>
                <w:color w:val="auto"/>
                <w:sz w:val="24"/>
                <w:lang w:eastAsia="zh-CN"/>
              </w:rPr>
              <w:t>〉</w:t>
            </w:r>
            <w:r>
              <w:rPr>
                <w:rFonts w:eastAsiaTheme="minorEastAsia"/>
                <w:b/>
                <w:bCs/>
                <w:color w:val="auto"/>
                <w:sz w:val="24"/>
              </w:rPr>
              <w:t>的通知》（淮环发〔2020〕264号）相符性</w:t>
            </w:r>
          </w:p>
          <w:p w14:paraId="0CC01D6A">
            <w:pPr>
              <w:adjustRightInd w:val="0"/>
              <w:snapToGrid w:val="0"/>
              <w:spacing w:line="360" w:lineRule="auto"/>
              <w:ind w:firstLine="480" w:firstLineChars="200"/>
              <w:rPr>
                <w:rFonts w:eastAsiaTheme="minorEastAsia"/>
                <w:color w:val="auto"/>
                <w:sz w:val="24"/>
              </w:rPr>
            </w:pPr>
            <w:r>
              <w:rPr>
                <w:rFonts w:eastAsiaTheme="minorEastAsia"/>
                <w:color w:val="auto"/>
                <w:sz w:val="24"/>
              </w:rPr>
              <w:t>对照淮环发〔2020〕264号文件管控要求，相符性分析见表</w:t>
            </w:r>
            <w:r>
              <w:rPr>
                <w:rFonts w:hint="eastAsia" w:eastAsiaTheme="minorEastAsia"/>
                <w:color w:val="auto"/>
                <w:sz w:val="24"/>
              </w:rPr>
              <w:t>1.3-6、与淮安市环境管控单元位置图见</w:t>
            </w:r>
            <w:r>
              <w:rPr>
                <w:rFonts w:hint="eastAsia" w:eastAsiaTheme="minorEastAsia"/>
                <w:b/>
                <w:bCs/>
                <w:color w:val="auto"/>
                <w:sz w:val="24"/>
              </w:rPr>
              <w:t>附图3</w:t>
            </w:r>
            <w:r>
              <w:rPr>
                <w:rFonts w:eastAsiaTheme="minorEastAsia"/>
                <w:color w:val="auto"/>
                <w:sz w:val="24"/>
              </w:rPr>
              <w:t>。</w:t>
            </w:r>
          </w:p>
          <w:p w14:paraId="16FA59AD">
            <w:pPr>
              <w:adjustRightInd w:val="0"/>
              <w:snapToGrid w:val="0"/>
              <w:jc w:val="center"/>
              <w:rPr>
                <w:rFonts w:eastAsiaTheme="minorEastAsia"/>
                <w:b/>
                <w:bCs/>
                <w:color w:val="auto"/>
                <w:sz w:val="24"/>
              </w:rPr>
            </w:pPr>
            <w:r>
              <w:rPr>
                <w:rFonts w:eastAsiaTheme="minorEastAsia"/>
                <w:b/>
                <w:bCs/>
                <w:color w:val="auto"/>
                <w:sz w:val="24"/>
              </w:rPr>
              <w:t>表</w:t>
            </w:r>
            <w:r>
              <w:rPr>
                <w:rFonts w:hint="eastAsia" w:eastAsiaTheme="minorEastAsia"/>
                <w:b/>
                <w:bCs/>
                <w:color w:val="auto"/>
                <w:sz w:val="24"/>
              </w:rPr>
              <w:t>1.3-6</w:t>
            </w:r>
            <w:r>
              <w:rPr>
                <w:rFonts w:eastAsiaTheme="minorEastAsia"/>
                <w:b/>
                <w:bCs/>
                <w:color w:val="auto"/>
                <w:sz w:val="24"/>
              </w:rPr>
              <w:t xml:space="preserve">  </w:t>
            </w:r>
            <w:r>
              <w:rPr>
                <w:rFonts w:hint="eastAsia" w:eastAsiaTheme="minorEastAsia"/>
                <w:b/>
                <w:bCs/>
                <w:color w:val="auto"/>
                <w:sz w:val="24"/>
              </w:rPr>
              <w:t>建设</w:t>
            </w:r>
            <w:r>
              <w:rPr>
                <w:rFonts w:eastAsiaTheme="minorEastAsia"/>
                <w:b/>
                <w:bCs/>
                <w:color w:val="auto"/>
                <w:sz w:val="24"/>
              </w:rPr>
              <w:t>项目</w:t>
            </w:r>
            <w:r>
              <w:rPr>
                <w:rFonts w:eastAsiaTheme="minorEastAsia"/>
                <w:b/>
                <w:bCs/>
                <w:color w:val="auto"/>
                <w:kern w:val="0"/>
                <w:sz w:val="24"/>
              </w:rPr>
              <w:t>与《</w:t>
            </w:r>
            <w:r>
              <w:rPr>
                <w:rFonts w:eastAsiaTheme="minorEastAsia"/>
                <w:b/>
                <w:bCs/>
                <w:color w:val="auto"/>
                <w:sz w:val="24"/>
              </w:rPr>
              <w:t>淮安市环境管控单元生态环境准入清单》相符性分析</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3271"/>
              <w:gridCol w:w="2942"/>
              <w:gridCol w:w="854"/>
            </w:tblGrid>
            <w:tr w14:paraId="2F392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02" w:type="pct"/>
                  <w:vMerge w:val="restart"/>
                  <w:tcBorders>
                    <w:top w:val="single" w:color="auto" w:sz="12" w:space="0"/>
                    <w:left w:val="nil"/>
                    <w:bottom w:val="single" w:color="auto" w:sz="4" w:space="0"/>
                    <w:right w:val="single" w:color="auto" w:sz="4" w:space="0"/>
                  </w:tcBorders>
                  <w:vAlign w:val="center"/>
                </w:tcPr>
                <w:p w14:paraId="3988AF97">
                  <w:pPr>
                    <w:adjustRightInd w:val="0"/>
                    <w:snapToGrid w:val="0"/>
                    <w:jc w:val="center"/>
                    <w:rPr>
                      <w:rFonts w:eastAsiaTheme="minorEastAsia"/>
                      <w:b/>
                      <w:color w:val="auto"/>
                      <w:szCs w:val="21"/>
                    </w:rPr>
                  </w:pPr>
                  <w:r>
                    <w:rPr>
                      <w:rFonts w:eastAsiaTheme="minorEastAsia"/>
                      <w:b/>
                      <w:color w:val="auto"/>
                      <w:kern w:val="0"/>
                      <w:szCs w:val="21"/>
                    </w:rPr>
                    <w:t>类型</w:t>
                  </w:r>
                </w:p>
              </w:tc>
              <w:tc>
                <w:tcPr>
                  <w:tcW w:w="1942" w:type="pct"/>
                  <w:vMerge w:val="restart"/>
                  <w:tcBorders>
                    <w:top w:val="single" w:color="auto" w:sz="12" w:space="0"/>
                    <w:left w:val="single" w:color="auto" w:sz="4" w:space="0"/>
                    <w:bottom w:val="single" w:color="auto" w:sz="4" w:space="0"/>
                    <w:right w:val="single" w:color="auto" w:sz="4" w:space="0"/>
                  </w:tcBorders>
                  <w:vAlign w:val="center"/>
                </w:tcPr>
                <w:p w14:paraId="7B78C6EB">
                  <w:pPr>
                    <w:adjustRightInd w:val="0"/>
                    <w:snapToGrid w:val="0"/>
                    <w:jc w:val="center"/>
                    <w:rPr>
                      <w:rFonts w:eastAsiaTheme="minorEastAsia"/>
                      <w:b/>
                      <w:color w:val="auto"/>
                      <w:szCs w:val="21"/>
                    </w:rPr>
                  </w:pPr>
                  <w:r>
                    <w:rPr>
                      <w:rFonts w:eastAsiaTheme="minorEastAsia"/>
                      <w:b/>
                      <w:color w:val="auto"/>
                      <w:kern w:val="0"/>
                      <w:szCs w:val="21"/>
                    </w:rPr>
                    <w:t>管控要求</w:t>
                  </w:r>
                </w:p>
              </w:tc>
              <w:tc>
                <w:tcPr>
                  <w:tcW w:w="1747" w:type="pct"/>
                  <w:vMerge w:val="restart"/>
                  <w:tcBorders>
                    <w:top w:val="single" w:color="auto" w:sz="12" w:space="0"/>
                    <w:left w:val="single" w:color="auto" w:sz="4" w:space="0"/>
                    <w:bottom w:val="single" w:color="auto" w:sz="4" w:space="0"/>
                    <w:right w:val="single" w:color="auto" w:sz="4" w:space="0"/>
                  </w:tcBorders>
                  <w:vAlign w:val="center"/>
                </w:tcPr>
                <w:p w14:paraId="68E03D42">
                  <w:pPr>
                    <w:adjustRightInd w:val="0"/>
                    <w:snapToGrid w:val="0"/>
                    <w:jc w:val="center"/>
                    <w:rPr>
                      <w:rFonts w:eastAsiaTheme="minorEastAsia"/>
                      <w:b/>
                      <w:color w:val="auto"/>
                      <w:szCs w:val="21"/>
                    </w:rPr>
                  </w:pPr>
                  <w:r>
                    <w:rPr>
                      <w:rFonts w:hint="eastAsia" w:eastAsiaTheme="minorEastAsia"/>
                      <w:b/>
                      <w:color w:val="auto"/>
                      <w:kern w:val="0"/>
                      <w:szCs w:val="21"/>
                    </w:rPr>
                    <w:t>建设</w:t>
                  </w:r>
                  <w:r>
                    <w:rPr>
                      <w:rFonts w:eastAsiaTheme="minorEastAsia"/>
                      <w:b/>
                      <w:color w:val="auto"/>
                      <w:kern w:val="0"/>
                      <w:szCs w:val="21"/>
                    </w:rPr>
                    <w:t>项目情况</w:t>
                  </w:r>
                </w:p>
              </w:tc>
              <w:tc>
                <w:tcPr>
                  <w:tcW w:w="507" w:type="pct"/>
                  <w:vMerge w:val="restart"/>
                  <w:tcBorders>
                    <w:top w:val="single" w:color="auto" w:sz="12" w:space="0"/>
                    <w:left w:val="single" w:color="auto" w:sz="4" w:space="0"/>
                    <w:bottom w:val="single" w:color="auto" w:sz="4" w:space="0"/>
                    <w:right w:val="nil"/>
                  </w:tcBorders>
                  <w:vAlign w:val="center"/>
                </w:tcPr>
                <w:p w14:paraId="53B3F982">
                  <w:pPr>
                    <w:adjustRightInd w:val="0"/>
                    <w:snapToGrid w:val="0"/>
                    <w:jc w:val="center"/>
                    <w:rPr>
                      <w:rFonts w:eastAsiaTheme="minorEastAsia"/>
                      <w:b/>
                      <w:color w:val="auto"/>
                      <w:szCs w:val="21"/>
                    </w:rPr>
                  </w:pPr>
                  <w:r>
                    <w:rPr>
                      <w:rFonts w:eastAsiaTheme="minorEastAsia"/>
                      <w:b/>
                      <w:color w:val="auto"/>
                      <w:kern w:val="0"/>
                      <w:szCs w:val="21"/>
                    </w:rPr>
                    <w:t>相符性分析</w:t>
                  </w:r>
                </w:p>
              </w:tc>
            </w:tr>
            <w:tr w14:paraId="2162B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02" w:type="pct"/>
                  <w:vMerge w:val="continue"/>
                  <w:tcBorders>
                    <w:top w:val="single" w:color="auto" w:sz="12" w:space="0"/>
                    <w:left w:val="nil"/>
                    <w:bottom w:val="single" w:color="auto" w:sz="4" w:space="0"/>
                    <w:right w:val="single" w:color="auto" w:sz="4" w:space="0"/>
                  </w:tcBorders>
                  <w:vAlign w:val="center"/>
                </w:tcPr>
                <w:p w14:paraId="1B3F21A3">
                  <w:pPr>
                    <w:widowControl/>
                    <w:adjustRightInd w:val="0"/>
                    <w:snapToGrid w:val="0"/>
                    <w:jc w:val="left"/>
                    <w:rPr>
                      <w:rFonts w:eastAsiaTheme="minorEastAsia"/>
                      <w:color w:val="auto"/>
                      <w:szCs w:val="21"/>
                    </w:rPr>
                  </w:pPr>
                </w:p>
              </w:tc>
              <w:tc>
                <w:tcPr>
                  <w:tcW w:w="1942" w:type="pct"/>
                  <w:vMerge w:val="continue"/>
                  <w:tcBorders>
                    <w:top w:val="single" w:color="auto" w:sz="12" w:space="0"/>
                    <w:left w:val="single" w:color="auto" w:sz="4" w:space="0"/>
                    <w:bottom w:val="single" w:color="auto" w:sz="4" w:space="0"/>
                    <w:right w:val="single" w:color="auto" w:sz="4" w:space="0"/>
                  </w:tcBorders>
                  <w:vAlign w:val="center"/>
                </w:tcPr>
                <w:p w14:paraId="00D4BA7D">
                  <w:pPr>
                    <w:widowControl/>
                    <w:adjustRightInd w:val="0"/>
                    <w:snapToGrid w:val="0"/>
                    <w:jc w:val="left"/>
                    <w:rPr>
                      <w:rFonts w:eastAsiaTheme="minorEastAsia"/>
                      <w:color w:val="auto"/>
                      <w:szCs w:val="21"/>
                    </w:rPr>
                  </w:pPr>
                </w:p>
              </w:tc>
              <w:tc>
                <w:tcPr>
                  <w:tcW w:w="1747" w:type="pct"/>
                  <w:vMerge w:val="continue"/>
                  <w:tcBorders>
                    <w:top w:val="single" w:color="auto" w:sz="12" w:space="0"/>
                    <w:left w:val="single" w:color="auto" w:sz="4" w:space="0"/>
                    <w:bottom w:val="single" w:color="auto" w:sz="4" w:space="0"/>
                    <w:right w:val="single" w:color="auto" w:sz="4" w:space="0"/>
                  </w:tcBorders>
                  <w:vAlign w:val="center"/>
                </w:tcPr>
                <w:p w14:paraId="7F1DF659">
                  <w:pPr>
                    <w:widowControl/>
                    <w:adjustRightInd w:val="0"/>
                    <w:snapToGrid w:val="0"/>
                    <w:jc w:val="left"/>
                    <w:rPr>
                      <w:rFonts w:eastAsiaTheme="minorEastAsia"/>
                      <w:color w:val="auto"/>
                      <w:szCs w:val="21"/>
                    </w:rPr>
                  </w:pPr>
                </w:p>
              </w:tc>
              <w:tc>
                <w:tcPr>
                  <w:tcW w:w="507" w:type="pct"/>
                  <w:vMerge w:val="continue"/>
                  <w:tcBorders>
                    <w:top w:val="single" w:color="auto" w:sz="12" w:space="0"/>
                    <w:left w:val="single" w:color="auto" w:sz="4" w:space="0"/>
                    <w:bottom w:val="single" w:color="auto" w:sz="4" w:space="0"/>
                    <w:right w:val="nil"/>
                  </w:tcBorders>
                  <w:vAlign w:val="center"/>
                </w:tcPr>
                <w:p w14:paraId="09FE7712">
                  <w:pPr>
                    <w:widowControl/>
                    <w:adjustRightInd w:val="0"/>
                    <w:snapToGrid w:val="0"/>
                    <w:jc w:val="left"/>
                    <w:rPr>
                      <w:rFonts w:eastAsiaTheme="minorEastAsia"/>
                      <w:color w:val="auto"/>
                      <w:szCs w:val="21"/>
                    </w:rPr>
                  </w:pPr>
                </w:p>
              </w:tc>
            </w:tr>
            <w:tr w14:paraId="4B41C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2" w:type="pct"/>
                  <w:tcBorders>
                    <w:top w:val="single" w:color="auto" w:sz="4" w:space="0"/>
                    <w:left w:val="nil"/>
                    <w:bottom w:val="single" w:color="auto" w:sz="4" w:space="0"/>
                    <w:right w:val="single" w:color="auto" w:sz="4" w:space="0"/>
                  </w:tcBorders>
                  <w:vAlign w:val="center"/>
                </w:tcPr>
                <w:p w14:paraId="3794F2ED">
                  <w:pPr>
                    <w:adjustRightInd w:val="0"/>
                    <w:snapToGrid w:val="0"/>
                    <w:jc w:val="center"/>
                    <w:rPr>
                      <w:rFonts w:eastAsiaTheme="minorEastAsia"/>
                      <w:color w:val="auto"/>
                      <w:szCs w:val="21"/>
                    </w:rPr>
                  </w:pPr>
                  <w:r>
                    <w:rPr>
                      <w:color w:val="auto"/>
                      <w:szCs w:val="21"/>
                    </w:rPr>
                    <w:t>空间布局约束</w:t>
                  </w:r>
                </w:p>
              </w:tc>
              <w:tc>
                <w:tcPr>
                  <w:tcW w:w="1942" w:type="pct"/>
                  <w:tcBorders>
                    <w:top w:val="single" w:color="auto" w:sz="4" w:space="0"/>
                    <w:left w:val="single" w:color="auto" w:sz="4" w:space="0"/>
                    <w:bottom w:val="single" w:color="auto" w:sz="4" w:space="0"/>
                    <w:right w:val="single" w:color="auto" w:sz="4" w:space="0"/>
                  </w:tcBorders>
                  <w:vAlign w:val="center"/>
                </w:tcPr>
                <w:p w14:paraId="64E29F8E">
                  <w:pPr>
                    <w:adjustRightInd w:val="0"/>
                    <w:snapToGrid w:val="0"/>
                    <w:jc w:val="left"/>
                    <w:rPr>
                      <w:rFonts w:eastAsiaTheme="minorEastAsia"/>
                      <w:color w:val="auto"/>
                      <w:szCs w:val="21"/>
                    </w:rPr>
                  </w:pPr>
                  <w:r>
                    <w:rPr>
                      <w:rFonts w:hint="eastAsia" w:eastAsiaTheme="minorEastAsia"/>
                      <w:color w:val="auto"/>
                      <w:szCs w:val="21"/>
                    </w:rPr>
                    <w:t>优先发展印刷包装、纺织、服装、机械制造、木材加工、食品饮料、生物科技、电子电器、金属加工</w:t>
                  </w:r>
                </w:p>
              </w:tc>
              <w:tc>
                <w:tcPr>
                  <w:tcW w:w="1747" w:type="pct"/>
                  <w:tcBorders>
                    <w:top w:val="single" w:color="auto" w:sz="4" w:space="0"/>
                    <w:left w:val="single" w:color="auto" w:sz="4" w:space="0"/>
                    <w:bottom w:val="single" w:color="auto" w:sz="4" w:space="0"/>
                    <w:right w:val="single" w:color="auto" w:sz="4" w:space="0"/>
                  </w:tcBorders>
                  <w:vAlign w:val="center"/>
                </w:tcPr>
                <w:p w14:paraId="4A81A69F">
                  <w:pPr>
                    <w:adjustRightInd w:val="0"/>
                    <w:snapToGrid w:val="0"/>
                    <w:jc w:val="center"/>
                    <w:rPr>
                      <w:color w:val="auto"/>
                      <w:szCs w:val="21"/>
                    </w:rPr>
                  </w:pPr>
                  <w:r>
                    <w:rPr>
                      <w:color w:val="auto"/>
                      <w:kern w:val="0"/>
                      <w:szCs w:val="21"/>
                    </w:rPr>
                    <w:t>建设项目为</w:t>
                  </w:r>
                  <w:r>
                    <w:rPr>
                      <w:rFonts w:hint="eastAsia" w:eastAsiaTheme="minorEastAsia"/>
                      <w:color w:val="auto"/>
                      <w:szCs w:val="21"/>
                    </w:rPr>
                    <w:t>胶合板制造项目，为木材加工项目</w:t>
                  </w:r>
                  <w:r>
                    <w:rPr>
                      <w:color w:val="auto"/>
                      <w:kern w:val="0"/>
                      <w:szCs w:val="21"/>
                    </w:rPr>
                    <w:t>，</w:t>
                  </w:r>
                  <w:r>
                    <w:rPr>
                      <w:rFonts w:hint="eastAsia"/>
                      <w:color w:val="auto"/>
                      <w:kern w:val="0"/>
                      <w:szCs w:val="21"/>
                    </w:rPr>
                    <w:t>属于优先发展项目。</w:t>
                  </w:r>
                </w:p>
              </w:tc>
              <w:tc>
                <w:tcPr>
                  <w:tcW w:w="507" w:type="pct"/>
                  <w:tcBorders>
                    <w:top w:val="single" w:color="auto" w:sz="4" w:space="0"/>
                    <w:left w:val="single" w:color="auto" w:sz="4" w:space="0"/>
                    <w:bottom w:val="single" w:color="auto" w:sz="4" w:space="0"/>
                    <w:right w:val="nil"/>
                  </w:tcBorders>
                  <w:vAlign w:val="center"/>
                </w:tcPr>
                <w:p w14:paraId="21257E34">
                  <w:pPr>
                    <w:adjustRightInd w:val="0"/>
                    <w:snapToGrid w:val="0"/>
                    <w:jc w:val="center"/>
                    <w:rPr>
                      <w:rFonts w:eastAsiaTheme="minorEastAsia"/>
                      <w:color w:val="auto"/>
                      <w:szCs w:val="21"/>
                    </w:rPr>
                  </w:pPr>
                  <w:r>
                    <w:rPr>
                      <w:color w:val="auto"/>
                      <w:szCs w:val="21"/>
                    </w:rPr>
                    <w:t>相符</w:t>
                  </w:r>
                </w:p>
              </w:tc>
            </w:tr>
            <w:tr w14:paraId="4D83B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802" w:type="pct"/>
                  <w:tcBorders>
                    <w:top w:val="single" w:color="auto" w:sz="4" w:space="0"/>
                    <w:left w:val="nil"/>
                    <w:bottom w:val="single" w:color="auto" w:sz="4" w:space="0"/>
                    <w:right w:val="single" w:color="auto" w:sz="4" w:space="0"/>
                  </w:tcBorders>
                  <w:vAlign w:val="center"/>
                </w:tcPr>
                <w:p w14:paraId="7010CB24">
                  <w:pPr>
                    <w:adjustRightInd w:val="0"/>
                    <w:snapToGrid w:val="0"/>
                    <w:jc w:val="center"/>
                    <w:rPr>
                      <w:rFonts w:eastAsiaTheme="minorEastAsia"/>
                      <w:color w:val="auto"/>
                      <w:szCs w:val="21"/>
                    </w:rPr>
                  </w:pPr>
                  <w:r>
                    <w:rPr>
                      <w:color w:val="auto"/>
                      <w:szCs w:val="21"/>
                    </w:rPr>
                    <w:t>污染物排放管控</w:t>
                  </w:r>
                </w:p>
              </w:tc>
              <w:tc>
                <w:tcPr>
                  <w:tcW w:w="1942" w:type="pct"/>
                  <w:tcBorders>
                    <w:top w:val="single" w:color="auto" w:sz="4" w:space="0"/>
                    <w:left w:val="single" w:color="auto" w:sz="4" w:space="0"/>
                    <w:bottom w:val="single" w:color="auto" w:sz="4" w:space="0"/>
                    <w:right w:val="single" w:color="auto" w:sz="4" w:space="0"/>
                  </w:tcBorders>
                  <w:vAlign w:val="center"/>
                </w:tcPr>
                <w:p w14:paraId="195BD864">
                  <w:pPr>
                    <w:adjustRightInd w:val="0"/>
                    <w:snapToGrid w:val="0"/>
                    <w:rPr>
                      <w:rFonts w:eastAsiaTheme="minorEastAsia"/>
                      <w:color w:val="auto"/>
                      <w:szCs w:val="21"/>
                    </w:rPr>
                  </w:pPr>
                  <w:r>
                    <w:rPr>
                      <w:rFonts w:hint="eastAsia" w:eastAsiaTheme="minorEastAsia"/>
                      <w:color w:val="auto"/>
                      <w:szCs w:val="21"/>
                    </w:rPr>
                    <w:t>严格实施污染物总量控制制度，根据区域环境质量改善目标，采取有效措施减少主要污染物排放总量。</w:t>
                  </w:r>
                </w:p>
              </w:tc>
              <w:tc>
                <w:tcPr>
                  <w:tcW w:w="1747" w:type="pct"/>
                  <w:tcBorders>
                    <w:top w:val="single" w:color="auto" w:sz="4" w:space="0"/>
                    <w:left w:val="single" w:color="auto" w:sz="4" w:space="0"/>
                    <w:bottom w:val="single" w:color="auto" w:sz="4" w:space="0"/>
                    <w:right w:val="single" w:color="auto" w:sz="4" w:space="0"/>
                  </w:tcBorders>
                  <w:vAlign w:val="center"/>
                </w:tcPr>
                <w:p w14:paraId="4F1767B8">
                  <w:pPr>
                    <w:adjustRightInd w:val="0"/>
                    <w:snapToGrid w:val="0"/>
                    <w:jc w:val="center"/>
                    <w:rPr>
                      <w:color w:val="auto"/>
                      <w:szCs w:val="21"/>
                    </w:rPr>
                  </w:pPr>
                  <w:r>
                    <w:rPr>
                      <w:rFonts w:hint="eastAsia"/>
                      <w:color w:val="auto"/>
                      <w:szCs w:val="21"/>
                    </w:rPr>
                    <w:t>建设项目新增有组织</w:t>
                  </w:r>
                  <w:r>
                    <w:rPr>
                      <w:color w:val="auto"/>
                      <w:szCs w:val="21"/>
                    </w:rPr>
                    <w:t>VOCs（以非甲烷总烃计）、颗粒物</w:t>
                  </w:r>
                  <w:r>
                    <w:rPr>
                      <w:rFonts w:hint="eastAsia"/>
                      <w:color w:val="auto"/>
                      <w:szCs w:val="21"/>
                    </w:rPr>
                    <w:t>总量在涟水县</w:t>
                  </w:r>
                  <w:r>
                    <w:rPr>
                      <w:color w:val="auto"/>
                      <w:szCs w:val="21"/>
                    </w:rPr>
                    <w:t>境内企业削减总量中替代平衡</w:t>
                  </w:r>
                  <w:r>
                    <w:rPr>
                      <w:rFonts w:hint="eastAsia"/>
                      <w:color w:val="auto"/>
                      <w:szCs w:val="21"/>
                    </w:rPr>
                    <w:t>；本项目</w:t>
                  </w:r>
                  <w:r>
                    <w:rPr>
                      <w:rFonts w:hint="eastAsia"/>
                      <w:color w:val="auto"/>
                      <w:szCs w:val="21"/>
                      <w:lang w:eastAsia="zh-CN"/>
                    </w:rPr>
                    <w:t>清洗</w:t>
                  </w:r>
                  <w:r>
                    <w:rPr>
                      <w:rFonts w:hint="eastAsia"/>
                      <w:color w:val="auto"/>
                      <w:szCs w:val="21"/>
                    </w:rPr>
                    <w:t>废水</w:t>
                  </w:r>
                  <w:r>
                    <w:rPr>
                      <w:rFonts w:hint="eastAsia"/>
                      <w:color w:val="auto"/>
                      <w:szCs w:val="21"/>
                      <w:lang w:eastAsia="zh-CN"/>
                    </w:rPr>
                    <w:t>作危废处置</w:t>
                  </w:r>
                  <w:r>
                    <w:rPr>
                      <w:rFonts w:hint="eastAsia"/>
                      <w:color w:val="auto"/>
                      <w:szCs w:val="21"/>
                    </w:rPr>
                    <w:t>，</w:t>
                  </w:r>
                  <w:r>
                    <w:rPr>
                      <w:rFonts w:hAnsiTheme="minorEastAsia" w:eastAsiaTheme="minorEastAsia"/>
                      <w:color w:val="auto"/>
                      <w:szCs w:val="21"/>
                    </w:rPr>
                    <w:t>生活污水</w:t>
                  </w:r>
                  <w:r>
                    <w:rPr>
                      <w:rFonts w:hint="eastAsia" w:hAnsiTheme="minorEastAsia" w:eastAsiaTheme="minorEastAsia"/>
                      <w:color w:val="auto"/>
                      <w:szCs w:val="21"/>
                      <w:lang w:eastAsia="zh-CN"/>
                    </w:rPr>
                    <w:t>接管高沟镇污水处理厂</w:t>
                  </w:r>
                  <w:r>
                    <w:rPr>
                      <w:rFonts w:hAnsiTheme="minorEastAsia" w:eastAsiaTheme="minorEastAsia"/>
                      <w:color w:val="auto"/>
                      <w:szCs w:val="21"/>
                    </w:rPr>
                    <w:t>；固废零排放</w:t>
                  </w:r>
                  <w:r>
                    <w:rPr>
                      <w:rFonts w:hint="eastAsia"/>
                      <w:color w:val="auto"/>
                      <w:szCs w:val="21"/>
                    </w:rPr>
                    <w:t>。</w:t>
                  </w:r>
                </w:p>
              </w:tc>
              <w:tc>
                <w:tcPr>
                  <w:tcW w:w="507" w:type="pct"/>
                  <w:tcBorders>
                    <w:top w:val="single" w:color="auto" w:sz="4" w:space="0"/>
                    <w:left w:val="single" w:color="auto" w:sz="4" w:space="0"/>
                    <w:bottom w:val="single" w:color="auto" w:sz="4" w:space="0"/>
                    <w:right w:val="nil"/>
                  </w:tcBorders>
                  <w:vAlign w:val="center"/>
                </w:tcPr>
                <w:p w14:paraId="6401FE38">
                  <w:pPr>
                    <w:adjustRightInd w:val="0"/>
                    <w:snapToGrid w:val="0"/>
                    <w:jc w:val="center"/>
                    <w:rPr>
                      <w:rFonts w:eastAsiaTheme="minorEastAsia"/>
                      <w:color w:val="auto"/>
                      <w:szCs w:val="21"/>
                    </w:rPr>
                  </w:pPr>
                  <w:r>
                    <w:rPr>
                      <w:color w:val="auto"/>
                      <w:szCs w:val="21"/>
                    </w:rPr>
                    <w:t>相符</w:t>
                  </w:r>
                </w:p>
              </w:tc>
            </w:tr>
            <w:tr w14:paraId="1B0A7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2" w:type="pct"/>
                  <w:tcBorders>
                    <w:top w:val="single" w:color="auto" w:sz="4" w:space="0"/>
                    <w:left w:val="nil"/>
                    <w:bottom w:val="single" w:color="auto" w:sz="4" w:space="0"/>
                    <w:right w:val="single" w:color="auto" w:sz="4" w:space="0"/>
                  </w:tcBorders>
                  <w:vAlign w:val="center"/>
                </w:tcPr>
                <w:p w14:paraId="1EC60D0B">
                  <w:pPr>
                    <w:adjustRightInd w:val="0"/>
                    <w:snapToGrid w:val="0"/>
                    <w:jc w:val="center"/>
                    <w:rPr>
                      <w:rFonts w:eastAsiaTheme="minorEastAsia"/>
                      <w:color w:val="auto"/>
                      <w:szCs w:val="21"/>
                    </w:rPr>
                  </w:pPr>
                  <w:r>
                    <w:rPr>
                      <w:color w:val="auto"/>
                      <w:szCs w:val="21"/>
                    </w:rPr>
                    <w:t>环境风险防控</w:t>
                  </w:r>
                </w:p>
              </w:tc>
              <w:tc>
                <w:tcPr>
                  <w:tcW w:w="1942" w:type="pct"/>
                  <w:tcBorders>
                    <w:top w:val="single" w:color="auto" w:sz="4" w:space="0"/>
                    <w:left w:val="single" w:color="auto" w:sz="4" w:space="0"/>
                    <w:bottom w:val="single" w:color="auto" w:sz="4" w:space="0"/>
                    <w:right w:val="single" w:color="auto" w:sz="4" w:space="0"/>
                  </w:tcBorders>
                  <w:vAlign w:val="center"/>
                </w:tcPr>
                <w:p w14:paraId="672065A4">
                  <w:pPr>
                    <w:adjustRightInd w:val="0"/>
                    <w:snapToGrid w:val="0"/>
                    <w:jc w:val="left"/>
                    <w:rPr>
                      <w:rFonts w:eastAsiaTheme="minorEastAsia"/>
                      <w:color w:val="auto"/>
                      <w:szCs w:val="21"/>
                    </w:rPr>
                  </w:pPr>
                  <w:r>
                    <w:rPr>
                      <w:rFonts w:hint="eastAsia"/>
                      <w:color w:val="auto"/>
                      <w:szCs w:val="21"/>
                    </w:rPr>
                    <w:t>建立并完善区域环境风险防范体系，制定完备的事故应急预案，贮存必要的应急物资，定期开展事故应急演练。</w:t>
                  </w:r>
                </w:p>
              </w:tc>
              <w:tc>
                <w:tcPr>
                  <w:tcW w:w="1747" w:type="pct"/>
                  <w:tcBorders>
                    <w:top w:val="single" w:color="auto" w:sz="4" w:space="0"/>
                    <w:left w:val="single" w:color="auto" w:sz="4" w:space="0"/>
                    <w:bottom w:val="single" w:color="auto" w:sz="4" w:space="0"/>
                    <w:right w:val="single" w:color="auto" w:sz="4" w:space="0"/>
                  </w:tcBorders>
                  <w:vAlign w:val="center"/>
                </w:tcPr>
                <w:p w14:paraId="5589FD1F">
                  <w:pPr>
                    <w:adjustRightInd w:val="0"/>
                    <w:snapToGrid w:val="0"/>
                    <w:jc w:val="center"/>
                    <w:rPr>
                      <w:rFonts w:eastAsiaTheme="minorEastAsia"/>
                      <w:color w:val="auto"/>
                      <w:szCs w:val="21"/>
                    </w:rPr>
                  </w:pPr>
                  <w:r>
                    <w:rPr>
                      <w:rFonts w:hint="eastAsia"/>
                      <w:color w:val="auto"/>
                      <w:szCs w:val="21"/>
                    </w:rPr>
                    <w:t>建设项目</w:t>
                  </w:r>
                  <w:r>
                    <w:rPr>
                      <w:color w:val="auto"/>
                      <w:szCs w:val="21"/>
                    </w:rPr>
                    <w:t>实施后</w:t>
                  </w:r>
                  <w:r>
                    <w:rPr>
                      <w:rFonts w:hint="eastAsia"/>
                      <w:color w:val="auto"/>
                      <w:szCs w:val="21"/>
                    </w:rPr>
                    <w:t>按要求</w:t>
                  </w:r>
                  <w:r>
                    <w:rPr>
                      <w:color w:val="auto"/>
                      <w:szCs w:val="21"/>
                    </w:rPr>
                    <w:t>开展突发环境事件应急预案备案工作，定期进行预案演练，与上级预案实行联防联控</w:t>
                  </w:r>
                  <w:r>
                    <w:rPr>
                      <w:rFonts w:hint="eastAsia"/>
                      <w:color w:val="auto"/>
                      <w:szCs w:val="21"/>
                    </w:rPr>
                    <w:t>。</w:t>
                  </w:r>
                </w:p>
              </w:tc>
              <w:tc>
                <w:tcPr>
                  <w:tcW w:w="507" w:type="pct"/>
                  <w:tcBorders>
                    <w:top w:val="single" w:color="auto" w:sz="4" w:space="0"/>
                    <w:left w:val="single" w:color="auto" w:sz="4" w:space="0"/>
                    <w:bottom w:val="single" w:color="auto" w:sz="4" w:space="0"/>
                    <w:right w:val="nil"/>
                  </w:tcBorders>
                  <w:vAlign w:val="center"/>
                </w:tcPr>
                <w:p w14:paraId="4815BC8F">
                  <w:pPr>
                    <w:adjustRightInd w:val="0"/>
                    <w:snapToGrid w:val="0"/>
                    <w:jc w:val="center"/>
                    <w:rPr>
                      <w:rFonts w:eastAsiaTheme="minorEastAsia"/>
                      <w:color w:val="auto"/>
                      <w:szCs w:val="21"/>
                    </w:rPr>
                  </w:pPr>
                  <w:r>
                    <w:rPr>
                      <w:color w:val="auto"/>
                      <w:szCs w:val="21"/>
                    </w:rPr>
                    <w:t>相符</w:t>
                  </w:r>
                </w:p>
              </w:tc>
            </w:tr>
            <w:tr w14:paraId="4D8BB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2" w:type="pct"/>
                  <w:tcBorders>
                    <w:top w:val="single" w:color="auto" w:sz="4" w:space="0"/>
                    <w:left w:val="nil"/>
                    <w:bottom w:val="single" w:color="auto" w:sz="12" w:space="0"/>
                    <w:right w:val="single" w:color="auto" w:sz="4" w:space="0"/>
                  </w:tcBorders>
                  <w:vAlign w:val="center"/>
                </w:tcPr>
                <w:p w14:paraId="471779DF">
                  <w:pPr>
                    <w:adjustRightInd w:val="0"/>
                    <w:snapToGrid w:val="0"/>
                    <w:jc w:val="center"/>
                    <w:rPr>
                      <w:rFonts w:eastAsiaTheme="minorEastAsia"/>
                      <w:color w:val="auto"/>
                      <w:szCs w:val="21"/>
                    </w:rPr>
                  </w:pPr>
                  <w:r>
                    <w:rPr>
                      <w:color w:val="auto"/>
                      <w:szCs w:val="21"/>
                    </w:rPr>
                    <w:t>资源利用效率要求</w:t>
                  </w:r>
                </w:p>
              </w:tc>
              <w:tc>
                <w:tcPr>
                  <w:tcW w:w="1942" w:type="pct"/>
                  <w:tcBorders>
                    <w:top w:val="single" w:color="auto" w:sz="4" w:space="0"/>
                    <w:left w:val="single" w:color="auto" w:sz="4" w:space="0"/>
                    <w:bottom w:val="single" w:color="auto" w:sz="12" w:space="0"/>
                    <w:right w:val="single" w:color="auto" w:sz="4" w:space="0"/>
                  </w:tcBorders>
                  <w:vAlign w:val="center"/>
                </w:tcPr>
                <w:p w14:paraId="5F9C16E4">
                  <w:pPr>
                    <w:adjustRightInd w:val="0"/>
                    <w:snapToGrid w:val="0"/>
                    <w:jc w:val="center"/>
                    <w:rPr>
                      <w:rFonts w:eastAsiaTheme="minorEastAsia"/>
                      <w:color w:val="auto"/>
                      <w:szCs w:val="21"/>
                    </w:rPr>
                  </w:pPr>
                  <w:r>
                    <w:rPr>
                      <w:rFonts w:hint="eastAsia" w:eastAsiaTheme="minorEastAsia"/>
                      <w:color w:val="auto"/>
                      <w:szCs w:val="21"/>
                    </w:rPr>
                    <w:t>禁止销售使用燃料为“</w:t>
                  </w:r>
                  <w:r>
                    <w:rPr>
                      <w:rFonts w:hint="eastAsia" w:ascii="微软雅黑" w:hAnsi="微软雅黑" w:eastAsia="微软雅黑" w:cs="微软雅黑"/>
                      <w:color w:val="auto"/>
                      <w:szCs w:val="21"/>
                    </w:rPr>
                    <w:t>Ⅱ</w:t>
                  </w:r>
                  <w:r>
                    <w:rPr>
                      <w:rFonts w:hint="eastAsia" w:eastAsiaTheme="minorEastAsia"/>
                      <w:color w:val="auto"/>
                      <w:szCs w:val="21"/>
                    </w:rPr>
                    <w:t>类”（较严），具体包括：</w:t>
                  </w:r>
                  <w:r>
                    <w:rPr>
                      <w:rFonts w:ascii="Calibri" w:hAnsi="Calibri" w:cs="Calibri" w:eastAsiaTheme="minorEastAsia"/>
                      <w:color w:val="auto"/>
                      <w:szCs w:val="21"/>
                    </w:rPr>
                    <w:t>①</w:t>
                  </w:r>
                  <w:r>
                    <w:rPr>
                      <w:rFonts w:hint="eastAsia" w:eastAsiaTheme="minorEastAsia"/>
                      <w:color w:val="auto"/>
                      <w:szCs w:val="21"/>
                    </w:rPr>
                    <w:t>除单台出力大于等于20蒸吨/小时锅炉以外燃用的煤炭及其制品。</w:t>
                  </w:r>
                  <w:r>
                    <w:rPr>
                      <w:rFonts w:ascii="Calibri" w:hAnsi="Calibri" w:cs="Calibri" w:eastAsiaTheme="minorEastAsia"/>
                      <w:color w:val="auto"/>
                      <w:szCs w:val="21"/>
                    </w:rPr>
                    <w:t>②</w:t>
                  </w:r>
                  <w:r>
                    <w:rPr>
                      <w:rFonts w:hint="eastAsia" w:eastAsiaTheme="minorEastAsia"/>
                      <w:color w:val="auto"/>
                      <w:szCs w:val="21"/>
                    </w:rPr>
                    <w:t>石油焦、油页岩、原油、重油、渣油、煤焦油</w:t>
                  </w:r>
                </w:p>
              </w:tc>
              <w:tc>
                <w:tcPr>
                  <w:tcW w:w="1747" w:type="pct"/>
                  <w:tcBorders>
                    <w:top w:val="single" w:color="auto" w:sz="4" w:space="0"/>
                    <w:left w:val="single" w:color="auto" w:sz="4" w:space="0"/>
                    <w:bottom w:val="single" w:color="auto" w:sz="12" w:space="0"/>
                    <w:right w:val="single" w:color="auto" w:sz="4" w:space="0"/>
                  </w:tcBorders>
                  <w:vAlign w:val="center"/>
                </w:tcPr>
                <w:p w14:paraId="7ED401BD">
                  <w:pPr>
                    <w:adjustRightInd w:val="0"/>
                    <w:snapToGrid w:val="0"/>
                    <w:jc w:val="center"/>
                    <w:rPr>
                      <w:rFonts w:hint="eastAsia" w:eastAsia="宋体"/>
                      <w:color w:val="auto"/>
                      <w:szCs w:val="21"/>
                      <w:lang w:eastAsia="zh-CN"/>
                    </w:rPr>
                  </w:pPr>
                  <w:r>
                    <w:rPr>
                      <w:color w:val="auto"/>
                      <w:szCs w:val="21"/>
                    </w:rPr>
                    <w:t>建设</w:t>
                  </w:r>
                  <w:r>
                    <w:rPr>
                      <w:rFonts w:ascii="Times New Roman" w:hAnsi="Times New Roman" w:cs="Times New Roman"/>
                      <w:color w:val="auto"/>
                      <w:szCs w:val="21"/>
                    </w:rPr>
                    <w:t>项目不使用锅炉，蒸汽接管</w:t>
                  </w:r>
                  <w:r>
                    <w:rPr>
                      <w:rFonts w:hint="eastAsia" w:cs="Times New Roman"/>
                      <w:color w:val="auto"/>
                      <w:szCs w:val="21"/>
                      <w:lang w:eastAsia="zh-CN"/>
                    </w:rPr>
                    <w:t>热电公司</w:t>
                  </w:r>
                  <w:r>
                    <w:rPr>
                      <w:rFonts w:hint="eastAsia" w:ascii="Times New Roman" w:hAnsi="Times New Roman" w:cs="Times New Roman"/>
                      <w:color w:val="auto"/>
                      <w:szCs w:val="21"/>
                      <w:lang w:eastAsia="zh-CN"/>
                    </w:rPr>
                    <w:t>。</w:t>
                  </w:r>
                </w:p>
              </w:tc>
              <w:tc>
                <w:tcPr>
                  <w:tcW w:w="507" w:type="pct"/>
                  <w:tcBorders>
                    <w:top w:val="single" w:color="auto" w:sz="4" w:space="0"/>
                    <w:left w:val="single" w:color="auto" w:sz="4" w:space="0"/>
                    <w:bottom w:val="single" w:color="auto" w:sz="12" w:space="0"/>
                    <w:right w:val="nil"/>
                  </w:tcBorders>
                  <w:vAlign w:val="center"/>
                </w:tcPr>
                <w:p w14:paraId="7F445C87">
                  <w:pPr>
                    <w:adjustRightInd w:val="0"/>
                    <w:snapToGrid w:val="0"/>
                    <w:jc w:val="center"/>
                    <w:rPr>
                      <w:rFonts w:eastAsiaTheme="minorEastAsia"/>
                      <w:color w:val="auto"/>
                      <w:szCs w:val="21"/>
                    </w:rPr>
                  </w:pPr>
                  <w:r>
                    <w:rPr>
                      <w:color w:val="auto"/>
                      <w:szCs w:val="21"/>
                    </w:rPr>
                    <w:t>相符</w:t>
                  </w:r>
                </w:p>
              </w:tc>
            </w:tr>
          </w:tbl>
          <w:p w14:paraId="43F0FF41">
            <w:pPr>
              <w:pStyle w:val="89"/>
              <w:adjustRightInd w:val="0"/>
              <w:snapToGrid w:val="0"/>
              <w:spacing w:line="360" w:lineRule="auto"/>
              <w:ind w:firstLine="480"/>
              <w:jc w:val="left"/>
              <w:rPr>
                <w:b/>
                <w:color w:val="auto"/>
                <w:sz w:val="24"/>
              </w:rPr>
            </w:pPr>
            <w:r>
              <w:rPr>
                <w:rFonts w:eastAsiaTheme="minorEastAsia"/>
                <w:color w:val="auto"/>
                <w:sz w:val="24"/>
              </w:rPr>
              <w:t>根据上表分析可知，</w:t>
            </w:r>
            <w:r>
              <w:rPr>
                <w:rFonts w:hint="eastAsia" w:eastAsiaTheme="minorEastAsia"/>
                <w:color w:val="auto"/>
                <w:sz w:val="24"/>
              </w:rPr>
              <w:t>建设</w:t>
            </w:r>
            <w:r>
              <w:rPr>
                <w:rFonts w:eastAsiaTheme="minorEastAsia"/>
                <w:color w:val="auto"/>
                <w:sz w:val="24"/>
              </w:rPr>
              <w:t>项目与《关于印发</w:t>
            </w:r>
            <w:r>
              <w:rPr>
                <w:rFonts w:hint="eastAsia" w:eastAsiaTheme="minorEastAsia"/>
                <w:color w:val="auto"/>
                <w:sz w:val="24"/>
                <w:lang w:eastAsia="zh-CN"/>
              </w:rPr>
              <w:t>〈</w:t>
            </w:r>
            <w:r>
              <w:rPr>
                <w:rFonts w:eastAsiaTheme="minorEastAsia"/>
                <w:color w:val="auto"/>
                <w:sz w:val="24"/>
              </w:rPr>
              <w:t>淮安市环境管控单元生态环境准入清单</w:t>
            </w:r>
            <w:r>
              <w:rPr>
                <w:rFonts w:hint="eastAsia" w:eastAsiaTheme="minorEastAsia"/>
                <w:color w:val="auto"/>
                <w:sz w:val="24"/>
                <w:lang w:eastAsia="zh-CN"/>
              </w:rPr>
              <w:t>〉</w:t>
            </w:r>
            <w:r>
              <w:rPr>
                <w:rFonts w:eastAsiaTheme="minorEastAsia"/>
                <w:color w:val="auto"/>
                <w:sz w:val="24"/>
              </w:rPr>
              <w:t>的通知》（淮环发〔2020〕264号）是相符的。</w:t>
            </w:r>
          </w:p>
          <w:p w14:paraId="18F38457">
            <w:pPr>
              <w:pStyle w:val="18"/>
              <w:adjustRightInd w:val="0"/>
              <w:spacing w:before="0" w:after="0" w:line="360" w:lineRule="auto"/>
              <w:ind w:right="0" w:firstLine="482" w:firstLineChars="200"/>
              <w:rPr>
                <w:rFonts w:hint="eastAsia" w:ascii="宋体" w:hAnsi="宋体" w:cs="宋体"/>
                <w:b/>
                <w:bCs/>
                <w:color w:val="auto"/>
                <w:sz w:val="24"/>
              </w:rPr>
            </w:pPr>
            <w:r>
              <w:rPr>
                <w:rFonts w:hint="eastAsia" w:ascii="宋体" w:hAnsi="宋体" w:cs="宋体"/>
                <w:b/>
                <w:bCs/>
                <w:color w:val="auto"/>
                <w:sz w:val="24"/>
              </w:rPr>
              <w:t>⑥</w:t>
            </w:r>
            <w:r>
              <w:rPr>
                <w:rFonts w:hint="eastAsia"/>
                <w:b/>
                <w:bCs/>
                <w:color w:val="auto"/>
                <w:kern w:val="2"/>
                <w:sz w:val="24"/>
                <w:szCs w:val="24"/>
              </w:rPr>
              <w:t>与《淮安市生态环境分区管控动态更新成果》（2023年版）相符性分析</w:t>
            </w:r>
          </w:p>
          <w:p w14:paraId="568FDB4B">
            <w:pPr>
              <w:adjustRightInd w:val="0"/>
              <w:snapToGrid w:val="0"/>
              <w:spacing w:line="360" w:lineRule="auto"/>
              <w:ind w:firstLine="480" w:firstLineChars="200"/>
              <w:rPr>
                <w:rFonts w:eastAsiaTheme="minorEastAsia"/>
                <w:color w:val="auto"/>
                <w:sz w:val="24"/>
              </w:rPr>
            </w:pPr>
            <w:r>
              <w:rPr>
                <w:rFonts w:eastAsiaTheme="minorEastAsia"/>
                <w:color w:val="auto"/>
                <w:sz w:val="24"/>
              </w:rPr>
              <w:t>表</w:t>
            </w:r>
            <w:r>
              <w:rPr>
                <w:rFonts w:hint="eastAsia" w:eastAsiaTheme="minorEastAsia"/>
                <w:color w:val="auto"/>
                <w:sz w:val="24"/>
              </w:rPr>
              <w:t>1.3-7</w:t>
            </w:r>
            <w:r>
              <w:rPr>
                <w:rFonts w:eastAsiaTheme="minorEastAsia"/>
                <w:color w:val="auto"/>
                <w:sz w:val="24"/>
              </w:rPr>
              <w:t xml:space="preserve">  </w:t>
            </w:r>
            <w:r>
              <w:rPr>
                <w:rFonts w:hint="eastAsia" w:eastAsiaTheme="minorEastAsia"/>
                <w:color w:val="auto"/>
                <w:sz w:val="24"/>
              </w:rPr>
              <w:t>建设</w:t>
            </w:r>
            <w:r>
              <w:rPr>
                <w:rFonts w:eastAsiaTheme="minorEastAsia"/>
                <w:color w:val="auto"/>
                <w:sz w:val="24"/>
              </w:rPr>
              <w:t>项目与《</w:t>
            </w:r>
            <w:r>
              <w:rPr>
                <w:rFonts w:hint="eastAsia" w:eastAsiaTheme="minorEastAsia"/>
                <w:color w:val="auto"/>
                <w:sz w:val="24"/>
              </w:rPr>
              <w:t>淮安市生态环境分区管控动态更新成果</w:t>
            </w:r>
            <w:r>
              <w:rPr>
                <w:rFonts w:eastAsiaTheme="minorEastAsia"/>
                <w:color w:val="auto"/>
                <w:sz w:val="24"/>
              </w:rPr>
              <w:t>》</w:t>
            </w:r>
            <w:r>
              <w:rPr>
                <w:rFonts w:hint="eastAsia" w:eastAsiaTheme="minorEastAsia"/>
                <w:color w:val="auto"/>
                <w:sz w:val="24"/>
              </w:rPr>
              <w:t>（2023年版）</w:t>
            </w:r>
            <w:r>
              <w:rPr>
                <w:rFonts w:eastAsiaTheme="minorEastAsia"/>
                <w:color w:val="auto"/>
                <w:sz w:val="24"/>
              </w:rPr>
              <w:t>相符性分析</w:t>
            </w:r>
          </w:p>
          <w:p w14:paraId="5EC1742E">
            <w:pPr>
              <w:pStyle w:val="284"/>
              <w:adjustRightInd w:val="0"/>
              <w:snapToGrid w:val="0"/>
              <w:spacing w:before="0" w:beforeLines="0" w:after="0" w:afterLines="0" w:line="500" w:lineRule="exact"/>
              <w:rPr>
                <w:rFonts w:eastAsia="宋体"/>
                <w:color w:val="auto"/>
              </w:rPr>
            </w:pPr>
            <w:r>
              <w:rPr>
                <w:rFonts w:eastAsia="宋体"/>
                <w:color w:val="auto"/>
              </w:rPr>
              <w:t>表1.3-7 与《淮安市生态环境分区管控动态更新成果》（2023版）相符性分析</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4643"/>
              <w:gridCol w:w="2281"/>
              <w:gridCol w:w="782"/>
            </w:tblGrid>
            <w:tr w14:paraId="745BA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Align w:val="center"/>
                </w:tcPr>
                <w:p w14:paraId="035952A7">
                  <w:pPr>
                    <w:autoSpaceDE w:val="0"/>
                    <w:autoSpaceDN w:val="0"/>
                    <w:adjustRightInd w:val="0"/>
                    <w:snapToGrid w:val="0"/>
                    <w:jc w:val="center"/>
                    <w:rPr>
                      <w:b/>
                      <w:bCs/>
                      <w:color w:val="auto"/>
                      <w:kern w:val="0"/>
                      <w:szCs w:val="21"/>
                    </w:rPr>
                  </w:pPr>
                  <w:bookmarkStart w:id="4" w:name="_Hlk167806220"/>
                  <w:r>
                    <w:rPr>
                      <w:b/>
                      <w:bCs/>
                      <w:color w:val="auto"/>
                      <w:kern w:val="0"/>
                      <w:szCs w:val="21"/>
                    </w:rPr>
                    <w:t>管控类别</w:t>
                  </w:r>
                </w:p>
              </w:tc>
              <w:tc>
                <w:tcPr>
                  <w:tcW w:w="4646" w:type="dxa"/>
                  <w:vAlign w:val="center"/>
                </w:tcPr>
                <w:p w14:paraId="63E82A7C">
                  <w:pPr>
                    <w:autoSpaceDE w:val="0"/>
                    <w:autoSpaceDN w:val="0"/>
                    <w:adjustRightInd w:val="0"/>
                    <w:snapToGrid w:val="0"/>
                    <w:jc w:val="center"/>
                    <w:rPr>
                      <w:b/>
                      <w:bCs/>
                      <w:color w:val="auto"/>
                      <w:kern w:val="0"/>
                      <w:szCs w:val="21"/>
                    </w:rPr>
                  </w:pPr>
                  <w:r>
                    <w:rPr>
                      <w:b/>
                      <w:bCs/>
                      <w:color w:val="auto"/>
                      <w:kern w:val="0"/>
                      <w:szCs w:val="21"/>
                    </w:rPr>
                    <w:t>重点管控要求</w:t>
                  </w:r>
                </w:p>
              </w:tc>
              <w:tc>
                <w:tcPr>
                  <w:tcW w:w="2282" w:type="dxa"/>
                  <w:vAlign w:val="center"/>
                </w:tcPr>
                <w:p w14:paraId="334AE8EA">
                  <w:pPr>
                    <w:autoSpaceDE w:val="0"/>
                    <w:autoSpaceDN w:val="0"/>
                    <w:adjustRightInd w:val="0"/>
                    <w:snapToGrid w:val="0"/>
                    <w:jc w:val="center"/>
                    <w:rPr>
                      <w:b/>
                      <w:bCs/>
                      <w:color w:val="auto"/>
                      <w:kern w:val="0"/>
                      <w:szCs w:val="21"/>
                    </w:rPr>
                  </w:pPr>
                  <w:r>
                    <w:rPr>
                      <w:b/>
                      <w:bCs/>
                      <w:color w:val="auto"/>
                      <w:kern w:val="0"/>
                      <w:szCs w:val="21"/>
                    </w:rPr>
                    <w:t>符合性分析</w:t>
                  </w:r>
                </w:p>
              </w:tc>
              <w:tc>
                <w:tcPr>
                  <w:tcW w:w="782" w:type="dxa"/>
                  <w:vAlign w:val="center"/>
                </w:tcPr>
                <w:p w14:paraId="7E416F15">
                  <w:pPr>
                    <w:autoSpaceDE w:val="0"/>
                    <w:autoSpaceDN w:val="0"/>
                    <w:adjustRightInd w:val="0"/>
                    <w:snapToGrid w:val="0"/>
                    <w:jc w:val="center"/>
                    <w:rPr>
                      <w:b/>
                      <w:bCs/>
                      <w:color w:val="auto"/>
                      <w:kern w:val="0"/>
                      <w:szCs w:val="21"/>
                    </w:rPr>
                  </w:pPr>
                  <w:r>
                    <w:rPr>
                      <w:b/>
                      <w:bCs/>
                      <w:color w:val="auto"/>
                      <w:kern w:val="0"/>
                      <w:szCs w:val="21"/>
                    </w:rPr>
                    <w:t>符合情况</w:t>
                  </w:r>
                </w:p>
              </w:tc>
            </w:tr>
            <w:tr w14:paraId="53A78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Align w:val="center"/>
                </w:tcPr>
                <w:p w14:paraId="627DD6D6">
                  <w:pPr>
                    <w:autoSpaceDE w:val="0"/>
                    <w:autoSpaceDN w:val="0"/>
                    <w:adjustRightInd w:val="0"/>
                    <w:snapToGrid w:val="0"/>
                    <w:jc w:val="center"/>
                    <w:rPr>
                      <w:color w:val="auto"/>
                      <w:kern w:val="0"/>
                      <w:szCs w:val="21"/>
                    </w:rPr>
                  </w:pPr>
                  <w:r>
                    <w:rPr>
                      <w:color w:val="auto"/>
                      <w:kern w:val="0"/>
                      <w:szCs w:val="21"/>
                    </w:rPr>
                    <w:t>空间布局约束</w:t>
                  </w:r>
                </w:p>
              </w:tc>
              <w:tc>
                <w:tcPr>
                  <w:tcW w:w="4646" w:type="dxa"/>
                  <w:vAlign w:val="center"/>
                </w:tcPr>
                <w:p w14:paraId="29C8E23F">
                  <w:pPr>
                    <w:autoSpaceDE w:val="0"/>
                    <w:autoSpaceDN w:val="0"/>
                    <w:adjustRightInd w:val="0"/>
                    <w:snapToGrid w:val="0"/>
                    <w:rPr>
                      <w:color w:val="auto"/>
                      <w:kern w:val="0"/>
                      <w:szCs w:val="21"/>
                    </w:rPr>
                  </w:pPr>
                  <w:r>
                    <w:rPr>
                      <w:color w:val="auto"/>
                      <w:kern w:val="0"/>
                      <w:szCs w:val="21"/>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3FE3B4D3">
                  <w:pPr>
                    <w:autoSpaceDE w:val="0"/>
                    <w:autoSpaceDN w:val="0"/>
                    <w:adjustRightInd w:val="0"/>
                    <w:snapToGrid w:val="0"/>
                    <w:rPr>
                      <w:color w:val="auto"/>
                      <w:kern w:val="0"/>
                      <w:szCs w:val="21"/>
                    </w:rPr>
                  </w:pPr>
                  <w:r>
                    <w:rPr>
                      <w:color w:val="auto"/>
                      <w:kern w:val="0"/>
                      <w:szCs w:val="21"/>
                    </w:rPr>
                    <w:t>2.严格执行《</w:t>
                  </w:r>
                  <w:r>
                    <w:rPr>
                      <w:rFonts w:hint="eastAsia"/>
                      <w:color w:val="auto"/>
                      <w:kern w:val="0"/>
                      <w:szCs w:val="21"/>
                      <w:lang w:eastAsia="zh-CN"/>
                    </w:rPr>
                    <w:t>〈</w:t>
                  </w:r>
                  <w:r>
                    <w:rPr>
                      <w:color w:val="auto"/>
                      <w:kern w:val="0"/>
                      <w:szCs w:val="21"/>
                    </w:rPr>
                    <w:t>长江经济带发展负面清单指南（试行，2022年版）</w:t>
                  </w:r>
                  <w:r>
                    <w:rPr>
                      <w:rFonts w:hint="eastAsia"/>
                      <w:color w:val="auto"/>
                      <w:kern w:val="0"/>
                      <w:szCs w:val="21"/>
                      <w:lang w:eastAsia="zh-CN"/>
                    </w:rPr>
                    <w:t>〉</w:t>
                  </w:r>
                  <w:r>
                    <w:rPr>
                      <w:color w:val="auto"/>
                      <w:kern w:val="0"/>
                      <w:szCs w:val="21"/>
                    </w:rPr>
                    <w:t>江苏省实施细则》（苏长江办发〔2022〕55号）中相关要求。</w:t>
                  </w:r>
                </w:p>
                <w:p w14:paraId="06CE7257">
                  <w:pPr>
                    <w:autoSpaceDE w:val="0"/>
                    <w:autoSpaceDN w:val="0"/>
                    <w:adjustRightInd w:val="0"/>
                    <w:snapToGrid w:val="0"/>
                    <w:rPr>
                      <w:color w:val="auto"/>
                      <w:kern w:val="0"/>
                      <w:szCs w:val="21"/>
                    </w:rPr>
                  </w:pPr>
                  <w:r>
                    <w:rPr>
                      <w:color w:val="auto"/>
                      <w:kern w:val="0"/>
                      <w:szCs w:val="21"/>
                    </w:rPr>
                    <w:t>3.严格执行《淮安市国土空间总体规划（2021</w:t>
                  </w:r>
                  <w:r>
                    <w:rPr>
                      <w:rFonts w:hint="eastAsia"/>
                      <w:color w:val="auto"/>
                      <w:kern w:val="0"/>
                      <w:szCs w:val="21"/>
                      <w:lang w:eastAsia="zh-CN"/>
                    </w:rPr>
                    <w:t>—</w:t>
                  </w:r>
                  <w:r>
                    <w:rPr>
                      <w:color w:val="auto"/>
                      <w:kern w:val="0"/>
                      <w:szCs w:val="21"/>
                    </w:rPr>
                    <w:t>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p w14:paraId="026D211A">
                  <w:pPr>
                    <w:autoSpaceDE w:val="0"/>
                    <w:autoSpaceDN w:val="0"/>
                    <w:adjustRightInd w:val="0"/>
                    <w:snapToGrid w:val="0"/>
                    <w:rPr>
                      <w:color w:val="auto"/>
                      <w:kern w:val="0"/>
                      <w:szCs w:val="21"/>
                    </w:rPr>
                  </w:pPr>
                  <w:r>
                    <w:rPr>
                      <w:color w:val="auto"/>
                      <w:kern w:val="0"/>
                      <w:szCs w:val="21"/>
                    </w:rPr>
                    <w:t>4.根据《大运河淮安段核心监控区国土空间管控细则》（淮政规〔2022〕8号），核心监控区内，实行国土空间准入正负面清单管理制度，控制开发规模和强度，禁止不符合主体功能定位的各类开发活动。</w:t>
                  </w:r>
                </w:p>
              </w:tc>
              <w:tc>
                <w:tcPr>
                  <w:tcW w:w="2282" w:type="dxa"/>
                  <w:vAlign w:val="center"/>
                </w:tcPr>
                <w:p w14:paraId="727828A6">
                  <w:pPr>
                    <w:autoSpaceDE w:val="0"/>
                    <w:autoSpaceDN w:val="0"/>
                    <w:adjustRightInd w:val="0"/>
                    <w:snapToGrid w:val="0"/>
                    <w:rPr>
                      <w:color w:val="auto"/>
                      <w:kern w:val="0"/>
                      <w:szCs w:val="21"/>
                    </w:rPr>
                  </w:pPr>
                  <w:r>
                    <w:rPr>
                      <w:color w:val="auto"/>
                      <w:kern w:val="0"/>
                      <w:szCs w:val="21"/>
                    </w:rPr>
                    <w:t>1.本项目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14091A37">
                  <w:pPr>
                    <w:autoSpaceDE w:val="0"/>
                    <w:autoSpaceDN w:val="0"/>
                    <w:adjustRightInd w:val="0"/>
                    <w:snapToGrid w:val="0"/>
                    <w:rPr>
                      <w:color w:val="auto"/>
                      <w:kern w:val="0"/>
                      <w:szCs w:val="21"/>
                    </w:rPr>
                  </w:pPr>
                  <w:r>
                    <w:rPr>
                      <w:color w:val="auto"/>
                      <w:kern w:val="0"/>
                      <w:szCs w:val="21"/>
                    </w:rPr>
                    <w:t>2.本项目不属于《</w:t>
                  </w:r>
                  <w:r>
                    <w:rPr>
                      <w:rFonts w:hint="eastAsia"/>
                      <w:color w:val="auto"/>
                      <w:kern w:val="0"/>
                      <w:szCs w:val="21"/>
                      <w:lang w:eastAsia="zh-CN"/>
                    </w:rPr>
                    <w:t>〈</w:t>
                  </w:r>
                  <w:r>
                    <w:rPr>
                      <w:color w:val="auto"/>
                      <w:kern w:val="0"/>
                      <w:szCs w:val="21"/>
                    </w:rPr>
                    <w:t>长江经济带发展负面清单指南（试行，2022年版）</w:t>
                  </w:r>
                  <w:r>
                    <w:rPr>
                      <w:rFonts w:hint="eastAsia"/>
                      <w:color w:val="auto"/>
                      <w:kern w:val="0"/>
                      <w:szCs w:val="21"/>
                      <w:lang w:eastAsia="zh-CN"/>
                    </w:rPr>
                    <w:t>〉</w:t>
                  </w:r>
                  <w:r>
                    <w:rPr>
                      <w:color w:val="auto"/>
                      <w:kern w:val="0"/>
                      <w:szCs w:val="21"/>
                    </w:rPr>
                    <w:t>江苏省实施细则》（苏长江办发〔2022〕55号）中禁止项目。</w:t>
                  </w:r>
                </w:p>
                <w:p w14:paraId="4B0FFCB8">
                  <w:pPr>
                    <w:autoSpaceDE w:val="0"/>
                    <w:autoSpaceDN w:val="0"/>
                    <w:adjustRightInd w:val="0"/>
                    <w:snapToGrid w:val="0"/>
                    <w:rPr>
                      <w:color w:val="auto"/>
                      <w:kern w:val="0"/>
                      <w:szCs w:val="21"/>
                    </w:rPr>
                  </w:pPr>
                  <w:r>
                    <w:rPr>
                      <w:color w:val="auto"/>
                      <w:kern w:val="0"/>
                      <w:szCs w:val="21"/>
                    </w:rPr>
                    <w:t>3. 本项目符合《淮安市国土空间总体规划（2021</w:t>
                  </w:r>
                  <w:r>
                    <w:rPr>
                      <w:rFonts w:hint="eastAsia"/>
                      <w:color w:val="auto"/>
                      <w:kern w:val="0"/>
                      <w:szCs w:val="21"/>
                      <w:lang w:eastAsia="zh-CN"/>
                    </w:rPr>
                    <w:t>—</w:t>
                  </w:r>
                  <w:r>
                    <w:rPr>
                      <w:color w:val="auto"/>
                      <w:kern w:val="0"/>
                      <w:szCs w:val="21"/>
                    </w:rPr>
                    <w:t>2035年）》中“三区三线”管控要求，不涉及永久基本农田，不涉及生态红线。</w:t>
                  </w:r>
                </w:p>
                <w:p w14:paraId="40289337">
                  <w:pPr>
                    <w:rPr>
                      <w:color w:val="auto"/>
                      <w:szCs w:val="21"/>
                    </w:rPr>
                  </w:pPr>
                  <w:r>
                    <w:rPr>
                      <w:color w:val="auto"/>
                      <w:kern w:val="0"/>
                      <w:szCs w:val="21"/>
                    </w:rPr>
                    <w:t>4. 本项目不在大运河淮安段核心监控区内。</w:t>
                  </w:r>
                </w:p>
              </w:tc>
              <w:tc>
                <w:tcPr>
                  <w:tcW w:w="782" w:type="dxa"/>
                  <w:vAlign w:val="center"/>
                </w:tcPr>
                <w:p w14:paraId="3A03F3F9">
                  <w:pPr>
                    <w:autoSpaceDE w:val="0"/>
                    <w:autoSpaceDN w:val="0"/>
                    <w:adjustRightInd w:val="0"/>
                    <w:snapToGrid w:val="0"/>
                    <w:jc w:val="center"/>
                    <w:rPr>
                      <w:color w:val="auto"/>
                      <w:kern w:val="0"/>
                      <w:szCs w:val="21"/>
                    </w:rPr>
                  </w:pPr>
                  <w:r>
                    <w:rPr>
                      <w:color w:val="auto"/>
                      <w:kern w:val="0"/>
                      <w:szCs w:val="21"/>
                    </w:rPr>
                    <w:t>相符</w:t>
                  </w:r>
                </w:p>
              </w:tc>
            </w:tr>
            <w:tr w14:paraId="6138F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Align w:val="center"/>
                </w:tcPr>
                <w:p w14:paraId="21597C74">
                  <w:pPr>
                    <w:autoSpaceDE w:val="0"/>
                    <w:autoSpaceDN w:val="0"/>
                    <w:adjustRightInd w:val="0"/>
                    <w:snapToGrid w:val="0"/>
                    <w:jc w:val="center"/>
                    <w:rPr>
                      <w:color w:val="auto"/>
                      <w:kern w:val="0"/>
                      <w:szCs w:val="21"/>
                    </w:rPr>
                  </w:pPr>
                  <w:r>
                    <w:rPr>
                      <w:color w:val="auto"/>
                      <w:kern w:val="0"/>
                      <w:szCs w:val="21"/>
                    </w:rPr>
                    <w:t>污染物排放管控</w:t>
                  </w:r>
                </w:p>
              </w:tc>
              <w:tc>
                <w:tcPr>
                  <w:tcW w:w="4646" w:type="dxa"/>
                  <w:vAlign w:val="center"/>
                </w:tcPr>
                <w:p w14:paraId="685111B4">
                  <w:pPr>
                    <w:autoSpaceDE w:val="0"/>
                    <w:autoSpaceDN w:val="0"/>
                    <w:adjustRightInd w:val="0"/>
                    <w:snapToGrid w:val="0"/>
                    <w:rPr>
                      <w:color w:val="auto"/>
                      <w:kern w:val="0"/>
                      <w:szCs w:val="21"/>
                    </w:rPr>
                  </w:pPr>
                  <w:r>
                    <w:rPr>
                      <w:color w:val="auto"/>
                      <w:szCs w:val="21"/>
                    </w:rPr>
                    <w:t>根据《江苏省“十四五”节能减排综合实施方案》（苏政传发〔2022〕224号），到2025年，氮氧化物、挥发性有机物、化学需氧量、氨氮、总氮、总磷等主要污染物重点工程减排量分别达到5425吨、4333吨、10059吨、584吨、1225吨、134吨。</w:t>
                  </w:r>
                </w:p>
              </w:tc>
              <w:tc>
                <w:tcPr>
                  <w:tcW w:w="2282" w:type="dxa"/>
                  <w:vAlign w:val="center"/>
                </w:tcPr>
                <w:p w14:paraId="102B8E33">
                  <w:pPr>
                    <w:autoSpaceDE w:val="0"/>
                    <w:autoSpaceDN w:val="0"/>
                    <w:adjustRightInd w:val="0"/>
                    <w:snapToGrid w:val="0"/>
                    <w:rPr>
                      <w:color w:val="auto"/>
                      <w:kern w:val="0"/>
                      <w:szCs w:val="21"/>
                    </w:rPr>
                  </w:pPr>
                  <w:r>
                    <w:rPr>
                      <w:color w:val="auto"/>
                      <w:kern w:val="0"/>
                      <w:szCs w:val="21"/>
                    </w:rPr>
                    <w:t>本项目污染物总量在涟水县内平衡。</w:t>
                  </w:r>
                </w:p>
              </w:tc>
              <w:tc>
                <w:tcPr>
                  <w:tcW w:w="782" w:type="dxa"/>
                  <w:vAlign w:val="center"/>
                </w:tcPr>
                <w:p w14:paraId="2F175E0E">
                  <w:pPr>
                    <w:autoSpaceDE w:val="0"/>
                    <w:autoSpaceDN w:val="0"/>
                    <w:adjustRightInd w:val="0"/>
                    <w:snapToGrid w:val="0"/>
                    <w:jc w:val="center"/>
                    <w:rPr>
                      <w:color w:val="auto"/>
                      <w:kern w:val="0"/>
                      <w:szCs w:val="21"/>
                    </w:rPr>
                  </w:pPr>
                  <w:r>
                    <w:rPr>
                      <w:color w:val="auto"/>
                      <w:kern w:val="0"/>
                      <w:szCs w:val="21"/>
                    </w:rPr>
                    <w:t>相符</w:t>
                  </w:r>
                </w:p>
              </w:tc>
            </w:tr>
            <w:tr w14:paraId="7AFFF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Align w:val="center"/>
                </w:tcPr>
                <w:p w14:paraId="2048C7A5">
                  <w:pPr>
                    <w:autoSpaceDE w:val="0"/>
                    <w:autoSpaceDN w:val="0"/>
                    <w:adjustRightInd w:val="0"/>
                    <w:snapToGrid w:val="0"/>
                    <w:jc w:val="center"/>
                    <w:rPr>
                      <w:color w:val="auto"/>
                      <w:kern w:val="0"/>
                      <w:szCs w:val="21"/>
                    </w:rPr>
                  </w:pPr>
                  <w:r>
                    <w:rPr>
                      <w:color w:val="auto"/>
                      <w:kern w:val="0"/>
                      <w:szCs w:val="21"/>
                    </w:rPr>
                    <w:t>环境风险防控</w:t>
                  </w:r>
                </w:p>
              </w:tc>
              <w:tc>
                <w:tcPr>
                  <w:tcW w:w="4646" w:type="dxa"/>
                  <w:vAlign w:val="center"/>
                </w:tcPr>
                <w:p w14:paraId="6351E9D8">
                  <w:pPr>
                    <w:autoSpaceDE w:val="0"/>
                    <w:autoSpaceDN w:val="0"/>
                    <w:adjustRightInd w:val="0"/>
                    <w:snapToGrid w:val="0"/>
                    <w:rPr>
                      <w:color w:val="auto"/>
                      <w:kern w:val="0"/>
                      <w:szCs w:val="21"/>
                    </w:rPr>
                  </w:pPr>
                  <w:r>
                    <w:rPr>
                      <w:color w:val="auto"/>
                      <w:kern w:val="0"/>
                      <w:szCs w:val="21"/>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p w14:paraId="05032385">
                  <w:pPr>
                    <w:autoSpaceDE w:val="0"/>
                    <w:autoSpaceDN w:val="0"/>
                    <w:adjustRightInd w:val="0"/>
                    <w:snapToGrid w:val="0"/>
                    <w:rPr>
                      <w:color w:val="auto"/>
                      <w:kern w:val="0"/>
                      <w:szCs w:val="21"/>
                    </w:rPr>
                  </w:pPr>
                  <w:r>
                    <w:rPr>
                      <w:color w:val="auto"/>
                      <w:kern w:val="0"/>
                      <w:szCs w:val="21"/>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推进环境风险企业隐患排查。完善环境应急指挥体系，建成区域环境应急基地和应急物资储备库。</w:t>
                  </w:r>
                </w:p>
              </w:tc>
              <w:tc>
                <w:tcPr>
                  <w:tcW w:w="2282" w:type="dxa"/>
                  <w:vAlign w:val="center"/>
                </w:tcPr>
                <w:p w14:paraId="367D05E4">
                  <w:pPr>
                    <w:autoSpaceDE w:val="0"/>
                    <w:autoSpaceDN w:val="0"/>
                    <w:adjustRightInd w:val="0"/>
                    <w:snapToGrid w:val="0"/>
                    <w:rPr>
                      <w:color w:val="auto"/>
                      <w:szCs w:val="21"/>
                    </w:rPr>
                  </w:pPr>
                  <w:r>
                    <w:rPr>
                      <w:color w:val="auto"/>
                      <w:kern w:val="0"/>
                      <w:szCs w:val="21"/>
                    </w:rPr>
                    <w:t>本项目建成后及时开展突发环境事件应急预案编制并备案，配备相应的应急物资，并加强与区域应急管理部门之间的联动。</w:t>
                  </w:r>
                </w:p>
              </w:tc>
              <w:tc>
                <w:tcPr>
                  <w:tcW w:w="782" w:type="dxa"/>
                  <w:vAlign w:val="center"/>
                </w:tcPr>
                <w:p w14:paraId="746333B0">
                  <w:pPr>
                    <w:autoSpaceDE w:val="0"/>
                    <w:autoSpaceDN w:val="0"/>
                    <w:adjustRightInd w:val="0"/>
                    <w:snapToGrid w:val="0"/>
                    <w:jc w:val="center"/>
                    <w:rPr>
                      <w:color w:val="auto"/>
                      <w:kern w:val="0"/>
                      <w:szCs w:val="21"/>
                    </w:rPr>
                  </w:pPr>
                  <w:r>
                    <w:rPr>
                      <w:color w:val="auto"/>
                      <w:kern w:val="0"/>
                      <w:szCs w:val="21"/>
                    </w:rPr>
                    <w:t>相符</w:t>
                  </w:r>
                </w:p>
              </w:tc>
            </w:tr>
            <w:tr w14:paraId="7F3FA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Align w:val="center"/>
                </w:tcPr>
                <w:p w14:paraId="4DC2DB10">
                  <w:pPr>
                    <w:autoSpaceDE w:val="0"/>
                    <w:autoSpaceDN w:val="0"/>
                    <w:adjustRightInd w:val="0"/>
                    <w:snapToGrid w:val="0"/>
                    <w:jc w:val="center"/>
                    <w:rPr>
                      <w:color w:val="auto"/>
                      <w:kern w:val="0"/>
                      <w:szCs w:val="21"/>
                    </w:rPr>
                  </w:pPr>
                  <w:r>
                    <w:rPr>
                      <w:color w:val="auto"/>
                      <w:kern w:val="0"/>
                      <w:szCs w:val="21"/>
                    </w:rPr>
                    <w:t>资源利用效率要求</w:t>
                  </w:r>
                </w:p>
              </w:tc>
              <w:tc>
                <w:tcPr>
                  <w:tcW w:w="4646" w:type="dxa"/>
                  <w:vAlign w:val="center"/>
                </w:tcPr>
                <w:p w14:paraId="027EFCC1">
                  <w:pPr>
                    <w:autoSpaceDE w:val="0"/>
                    <w:autoSpaceDN w:val="0"/>
                    <w:adjustRightInd w:val="0"/>
                    <w:snapToGrid w:val="0"/>
                    <w:rPr>
                      <w:color w:val="auto"/>
                      <w:kern w:val="0"/>
                      <w:szCs w:val="21"/>
                    </w:rPr>
                  </w:pPr>
                  <w:r>
                    <w:rPr>
                      <w:color w:val="auto"/>
                      <w:kern w:val="0"/>
                      <w:szCs w:val="21"/>
                    </w:rPr>
                    <w:t>1.水资源利用总量及效率要求：根据《江苏省水利厅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p w14:paraId="74766C9E">
                  <w:pPr>
                    <w:autoSpaceDE w:val="0"/>
                    <w:autoSpaceDN w:val="0"/>
                    <w:adjustRightInd w:val="0"/>
                    <w:snapToGrid w:val="0"/>
                    <w:rPr>
                      <w:color w:val="auto"/>
                      <w:kern w:val="0"/>
                      <w:szCs w:val="21"/>
                    </w:rPr>
                  </w:pPr>
                  <w:r>
                    <w:rPr>
                      <w:color w:val="auto"/>
                      <w:kern w:val="0"/>
                      <w:szCs w:val="21"/>
                    </w:rPr>
                    <w:t>2.土地资源利用总量及效率要求：根据《淮安市国土空间总体规划（2021</w:t>
                  </w:r>
                  <w:r>
                    <w:rPr>
                      <w:rFonts w:hint="eastAsia"/>
                      <w:color w:val="auto"/>
                      <w:kern w:val="0"/>
                      <w:szCs w:val="21"/>
                      <w:lang w:eastAsia="zh-CN"/>
                    </w:rPr>
                    <w:t>—</w:t>
                  </w:r>
                  <w:r>
                    <w:rPr>
                      <w:color w:val="auto"/>
                      <w:kern w:val="0"/>
                      <w:szCs w:val="21"/>
                    </w:rPr>
                    <w:t>2035年）》，淮安市耕地保有量不少于697.3500万亩，永久基本农田保护面积不低于596.0050万亩，控制全市城镇开发边界扩展倍数不高于1.3599。</w:t>
                  </w:r>
                </w:p>
                <w:p w14:paraId="381993EF">
                  <w:pPr>
                    <w:autoSpaceDE w:val="0"/>
                    <w:autoSpaceDN w:val="0"/>
                    <w:adjustRightInd w:val="0"/>
                    <w:snapToGrid w:val="0"/>
                    <w:rPr>
                      <w:color w:val="auto"/>
                      <w:kern w:val="0"/>
                      <w:szCs w:val="21"/>
                    </w:rPr>
                  </w:pPr>
                  <w:r>
                    <w:rPr>
                      <w:color w:val="auto"/>
                      <w:kern w:val="0"/>
                      <w:szCs w:val="21"/>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p w14:paraId="68107B13">
                  <w:pPr>
                    <w:autoSpaceDE w:val="0"/>
                    <w:autoSpaceDN w:val="0"/>
                    <w:adjustRightInd w:val="0"/>
                    <w:snapToGrid w:val="0"/>
                    <w:rPr>
                      <w:color w:val="auto"/>
                      <w:kern w:val="0"/>
                      <w:szCs w:val="21"/>
                    </w:rPr>
                  </w:pPr>
                  <w:r>
                    <w:rPr>
                      <w:color w:val="auto"/>
                      <w:kern w:val="0"/>
                      <w:szCs w:val="21"/>
                    </w:rPr>
                    <w:t>4.禁燃区要求：根据《江苏省大气污染防治条例》，禁燃区禁止新建、扩建燃用高污染燃料的项目和设施，已建成的应逐步或依法限期改用天然气、</w:t>
                  </w:r>
                  <w:r>
                    <w:rPr>
                      <w:rFonts w:hint="eastAsia"/>
                      <w:color w:val="auto"/>
                      <w:kern w:val="0"/>
                      <w:szCs w:val="21"/>
                      <w:lang w:eastAsia="zh-CN"/>
                    </w:rPr>
                    <w:t>电力</w:t>
                  </w:r>
                  <w:r>
                    <w:rPr>
                      <w:color w:val="auto"/>
                      <w:kern w:val="0"/>
                      <w:szCs w:val="21"/>
                    </w:rPr>
                    <w:t>或者其他清洁能源。</w:t>
                  </w:r>
                </w:p>
              </w:tc>
              <w:tc>
                <w:tcPr>
                  <w:tcW w:w="2282" w:type="dxa"/>
                  <w:vAlign w:val="center"/>
                </w:tcPr>
                <w:p w14:paraId="2AF25425">
                  <w:pPr>
                    <w:autoSpaceDE w:val="0"/>
                    <w:autoSpaceDN w:val="0"/>
                    <w:adjustRightInd w:val="0"/>
                    <w:snapToGrid w:val="0"/>
                    <w:rPr>
                      <w:color w:val="auto"/>
                      <w:kern w:val="0"/>
                      <w:szCs w:val="21"/>
                    </w:rPr>
                  </w:pPr>
                  <w:r>
                    <w:rPr>
                      <w:color w:val="auto"/>
                      <w:kern w:val="0"/>
                      <w:szCs w:val="21"/>
                    </w:rPr>
                    <w:t>1.本项目水源来自市政自来水，不会突破当地资源利用</w:t>
                  </w:r>
                  <w:r>
                    <w:rPr>
                      <w:rFonts w:hint="eastAsia"/>
                      <w:color w:val="auto"/>
                      <w:kern w:val="0"/>
                      <w:szCs w:val="21"/>
                      <w:lang w:eastAsia="zh-CN"/>
                    </w:rPr>
                    <w:t>上限</w:t>
                  </w:r>
                  <w:r>
                    <w:rPr>
                      <w:color w:val="auto"/>
                      <w:kern w:val="0"/>
                      <w:szCs w:val="21"/>
                    </w:rPr>
                    <w:t>。</w:t>
                  </w:r>
                </w:p>
                <w:p w14:paraId="6346640A">
                  <w:pPr>
                    <w:autoSpaceDE w:val="0"/>
                    <w:autoSpaceDN w:val="0"/>
                    <w:adjustRightInd w:val="0"/>
                    <w:snapToGrid w:val="0"/>
                    <w:rPr>
                      <w:color w:val="auto"/>
                      <w:kern w:val="0"/>
                      <w:szCs w:val="21"/>
                    </w:rPr>
                  </w:pPr>
                  <w:r>
                    <w:rPr>
                      <w:color w:val="auto"/>
                      <w:kern w:val="0"/>
                      <w:szCs w:val="21"/>
                    </w:rPr>
                    <w:t>2本项目所在地用地性质为工业用地，不占用基本农田，不影响区域土地资源总量。</w:t>
                  </w:r>
                </w:p>
                <w:p w14:paraId="0C7B561D">
                  <w:pPr>
                    <w:autoSpaceDE w:val="0"/>
                    <w:autoSpaceDN w:val="0"/>
                    <w:adjustRightInd w:val="0"/>
                    <w:snapToGrid w:val="0"/>
                    <w:rPr>
                      <w:color w:val="auto"/>
                      <w:kern w:val="0"/>
                      <w:szCs w:val="21"/>
                    </w:rPr>
                  </w:pPr>
                  <w:r>
                    <w:rPr>
                      <w:color w:val="auto"/>
                      <w:kern w:val="0"/>
                      <w:szCs w:val="21"/>
                    </w:rPr>
                    <w:t>3.本项目主要消耗能源为电能，不使用高污染燃料。</w:t>
                  </w:r>
                </w:p>
              </w:tc>
              <w:tc>
                <w:tcPr>
                  <w:tcW w:w="782" w:type="dxa"/>
                  <w:vAlign w:val="center"/>
                </w:tcPr>
                <w:p w14:paraId="3E8E1AFB">
                  <w:pPr>
                    <w:autoSpaceDE w:val="0"/>
                    <w:autoSpaceDN w:val="0"/>
                    <w:adjustRightInd w:val="0"/>
                    <w:snapToGrid w:val="0"/>
                    <w:jc w:val="center"/>
                    <w:rPr>
                      <w:color w:val="auto"/>
                      <w:kern w:val="0"/>
                      <w:szCs w:val="21"/>
                    </w:rPr>
                  </w:pPr>
                  <w:r>
                    <w:rPr>
                      <w:color w:val="auto"/>
                      <w:kern w:val="0"/>
                      <w:szCs w:val="21"/>
                    </w:rPr>
                    <w:t>相符</w:t>
                  </w:r>
                </w:p>
              </w:tc>
            </w:tr>
            <w:bookmarkEnd w:id="4"/>
          </w:tbl>
          <w:p w14:paraId="4B1E9089">
            <w:pPr>
              <w:pStyle w:val="89"/>
              <w:adjustRightInd w:val="0"/>
              <w:snapToGrid w:val="0"/>
              <w:spacing w:line="360" w:lineRule="auto"/>
              <w:ind w:firstLine="482"/>
              <w:jc w:val="left"/>
              <w:rPr>
                <w:b/>
                <w:color w:val="auto"/>
                <w:sz w:val="24"/>
              </w:rPr>
            </w:pPr>
          </w:p>
          <w:p w14:paraId="76B1F358">
            <w:pPr>
              <w:pStyle w:val="89"/>
              <w:adjustRightInd w:val="0"/>
              <w:snapToGrid w:val="0"/>
              <w:spacing w:line="360" w:lineRule="auto"/>
              <w:ind w:firstLine="482"/>
              <w:jc w:val="left"/>
              <w:rPr>
                <w:b/>
                <w:color w:val="auto"/>
                <w:sz w:val="24"/>
              </w:rPr>
            </w:pPr>
            <w:r>
              <w:rPr>
                <w:b/>
                <w:color w:val="auto"/>
                <w:sz w:val="24"/>
              </w:rPr>
              <w:t>（2）环境质量底线</w:t>
            </w:r>
          </w:p>
          <w:p w14:paraId="5006A17A">
            <w:pPr>
              <w:spacing w:line="360" w:lineRule="auto"/>
              <w:ind w:firstLine="480" w:firstLineChars="200"/>
              <w:rPr>
                <w:color w:val="auto"/>
                <w:sz w:val="24"/>
              </w:rPr>
            </w:pPr>
            <w:r>
              <w:rPr>
                <w:color w:val="auto"/>
                <w:sz w:val="24"/>
              </w:rPr>
              <w:t>①大气环境</w:t>
            </w:r>
          </w:p>
          <w:p w14:paraId="27EB6511">
            <w:pPr>
              <w:pStyle w:val="89"/>
              <w:adjustRightInd w:val="0"/>
              <w:snapToGrid w:val="0"/>
              <w:spacing w:line="360" w:lineRule="auto"/>
              <w:ind w:firstLine="480"/>
              <w:jc w:val="left"/>
              <w:rPr>
                <w:rFonts w:eastAsiaTheme="minorEastAsia"/>
                <w:color w:val="auto"/>
                <w:sz w:val="24"/>
              </w:rPr>
            </w:pPr>
            <w:r>
              <w:rPr>
                <w:rFonts w:eastAsiaTheme="minorEastAsia"/>
                <w:color w:val="auto"/>
                <w:sz w:val="24"/>
              </w:rPr>
              <w:t>根据《2023年淮安市生态环境状况公报》，2023年，全市细颗粒物（PM</w:t>
            </w:r>
            <w:r>
              <w:rPr>
                <w:rFonts w:eastAsiaTheme="minorEastAsia"/>
                <w:color w:val="auto"/>
                <w:sz w:val="24"/>
                <w:vertAlign w:val="subscript"/>
              </w:rPr>
              <w:t>2.</w:t>
            </w:r>
            <w:r>
              <w:rPr>
                <w:rFonts w:hint="eastAsia" w:eastAsiaTheme="minorEastAsia"/>
                <w:color w:val="auto"/>
                <w:sz w:val="24"/>
                <w:vertAlign w:val="subscript"/>
                <w:lang w:eastAsia="zh-CN"/>
              </w:rPr>
              <w:t>5）</w:t>
            </w:r>
            <w:r>
              <w:rPr>
                <w:rFonts w:eastAsiaTheme="minorEastAsia"/>
                <w:color w:val="auto"/>
                <w:sz w:val="24"/>
              </w:rPr>
              <w:t>可吸入颗粒物（PM</w:t>
            </w:r>
            <w:r>
              <w:rPr>
                <w:rFonts w:eastAsiaTheme="minorEastAsia"/>
                <w:color w:val="auto"/>
                <w:sz w:val="24"/>
                <w:vertAlign w:val="subscript"/>
              </w:rPr>
              <w:t>10</w:t>
            </w:r>
            <w:r>
              <w:rPr>
                <w:rFonts w:eastAsiaTheme="minorEastAsia"/>
                <w:color w:val="auto"/>
                <w:sz w:val="24"/>
              </w:rPr>
              <w:t>）、二氧化硫（SO</w:t>
            </w:r>
            <w:r>
              <w:rPr>
                <w:rFonts w:eastAsiaTheme="minorEastAsia"/>
                <w:color w:val="auto"/>
                <w:sz w:val="24"/>
                <w:vertAlign w:val="subscript"/>
              </w:rPr>
              <w:t>2</w:t>
            </w:r>
            <w:r>
              <w:rPr>
                <w:rFonts w:eastAsiaTheme="minorEastAsia"/>
                <w:color w:val="auto"/>
                <w:sz w:val="24"/>
              </w:rPr>
              <w:t>）、二氧化氮（NO</w:t>
            </w:r>
            <w:r>
              <w:rPr>
                <w:rFonts w:eastAsiaTheme="minorEastAsia"/>
                <w:color w:val="auto"/>
                <w:sz w:val="24"/>
                <w:vertAlign w:val="subscript"/>
              </w:rPr>
              <w:t>2</w:t>
            </w:r>
            <w:r>
              <w:rPr>
                <w:rFonts w:eastAsiaTheme="minorEastAsia"/>
                <w:color w:val="auto"/>
                <w:sz w:val="24"/>
              </w:rPr>
              <w:t>）、一氧化碳（CO）和臭氧（O</w:t>
            </w:r>
            <w:r>
              <w:rPr>
                <w:rFonts w:eastAsiaTheme="minorEastAsia"/>
                <w:color w:val="auto"/>
                <w:sz w:val="24"/>
                <w:vertAlign w:val="subscript"/>
              </w:rPr>
              <w:t>3</w:t>
            </w:r>
            <w:r>
              <w:rPr>
                <w:rFonts w:eastAsiaTheme="minorEastAsia"/>
                <w:color w:val="auto"/>
                <w:sz w:val="24"/>
              </w:rPr>
              <w:t>）年均浓度分别为36微克/立方米、58微克/立方米、8微克/立方米、25微克/立方米、1.0微克/立方米、158微克/立方米。与2022年相比，O</w:t>
            </w:r>
            <w:r>
              <w:rPr>
                <w:rFonts w:eastAsiaTheme="minorEastAsia"/>
                <w:color w:val="auto"/>
                <w:sz w:val="24"/>
                <w:vertAlign w:val="subscript"/>
              </w:rPr>
              <w:t>3</w:t>
            </w:r>
            <w:r>
              <w:rPr>
                <w:rFonts w:eastAsiaTheme="minorEastAsia"/>
                <w:color w:val="auto"/>
                <w:sz w:val="24"/>
              </w:rPr>
              <w:t>污染有所改善，O</w:t>
            </w:r>
            <w:r>
              <w:rPr>
                <w:rFonts w:eastAsiaTheme="minorEastAsia"/>
                <w:color w:val="auto"/>
                <w:sz w:val="24"/>
                <w:vertAlign w:val="subscript"/>
              </w:rPr>
              <w:t>3</w:t>
            </w:r>
            <w:r>
              <w:rPr>
                <w:rFonts w:eastAsiaTheme="minorEastAsia"/>
                <w:color w:val="auto"/>
                <w:sz w:val="24"/>
              </w:rPr>
              <w:t>为首要污染物的超标天减少3天，PM</w:t>
            </w:r>
            <w:r>
              <w:rPr>
                <w:rFonts w:eastAsiaTheme="minorEastAsia"/>
                <w:color w:val="auto"/>
                <w:sz w:val="24"/>
                <w:vertAlign w:val="subscript"/>
              </w:rPr>
              <w:t>2.5</w:t>
            </w:r>
            <w:r>
              <w:rPr>
                <w:rFonts w:eastAsiaTheme="minorEastAsia"/>
                <w:color w:val="auto"/>
                <w:sz w:val="24"/>
              </w:rPr>
              <w:t>浓度有所反弹，PM</w:t>
            </w:r>
            <w:r>
              <w:rPr>
                <w:rFonts w:eastAsiaTheme="minorEastAsia"/>
                <w:color w:val="auto"/>
                <w:sz w:val="24"/>
                <w:vertAlign w:val="subscript"/>
              </w:rPr>
              <w:t>2.5</w:t>
            </w:r>
            <w:r>
              <w:rPr>
                <w:rFonts w:eastAsiaTheme="minorEastAsia"/>
                <w:color w:val="auto"/>
                <w:sz w:val="24"/>
              </w:rPr>
              <w:t>为首要污染物的超标天增加7天。PM</w:t>
            </w:r>
            <w:r>
              <w:rPr>
                <w:rFonts w:eastAsiaTheme="minorEastAsia"/>
                <w:color w:val="auto"/>
                <w:sz w:val="24"/>
                <w:vertAlign w:val="subscript"/>
              </w:rPr>
              <w:t>10</w:t>
            </w:r>
            <w:r>
              <w:rPr>
                <w:rFonts w:eastAsiaTheme="minorEastAsia"/>
                <w:color w:val="auto"/>
                <w:sz w:val="24"/>
              </w:rPr>
              <w:t>、SO</w:t>
            </w:r>
            <w:r>
              <w:rPr>
                <w:rFonts w:eastAsiaTheme="minorEastAsia"/>
                <w:color w:val="auto"/>
                <w:sz w:val="24"/>
                <w:vertAlign w:val="subscript"/>
              </w:rPr>
              <w:t>2</w:t>
            </w:r>
            <w:r>
              <w:rPr>
                <w:rFonts w:eastAsiaTheme="minorEastAsia"/>
                <w:color w:val="auto"/>
                <w:sz w:val="24"/>
              </w:rPr>
              <w:t>、O</w:t>
            </w:r>
            <w:r>
              <w:rPr>
                <w:rFonts w:eastAsiaTheme="minorEastAsia"/>
                <w:color w:val="auto"/>
                <w:sz w:val="24"/>
                <w:vertAlign w:val="subscript"/>
              </w:rPr>
              <w:t>3</w:t>
            </w:r>
            <w:r>
              <w:rPr>
                <w:rFonts w:eastAsiaTheme="minorEastAsia"/>
                <w:color w:val="auto"/>
                <w:sz w:val="24"/>
              </w:rPr>
              <w:t>降幅分别为3.3%、11.1%、0.6%。可吸入颗粒物（PM</w:t>
            </w:r>
            <w:r>
              <w:rPr>
                <w:rFonts w:eastAsiaTheme="minorEastAsia"/>
                <w:color w:val="auto"/>
                <w:sz w:val="24"/>
                <w:vertAlign w:val="subscript"/>
              </w:rPr>
              <w:t>10</w:t>
            </w:r>
            <w:r>
              <w:rPr>
                <w:rFonts w:eastAsiaTheme="minorEastAsia"/>
                <w:color w:val="auto"/>
                <w:sz w:val="24"/>
              </w:rPr>
              <w:t>）、二氧化硫（SO</w:t>
            </w:r>
            <w:r>
              <w:rPr>
                <w:rFonts w:eastAsiaTheme="minorEastAsia"/>
                <w:color w:val="auto"/>
                <w:sz w:val="24"/>
                <w:vertAlign w:val="subscript"/>
              </w:rPr>
              <w:t>2</w:t>
            </w:r>
            <w:r>
              <w:rPr>
                <w:rFonts w:eastAsiaTheme="minorEastAsia"/>
                <w:color w:val="auto"/>
                <w:sz w:val="24"/>
              </w:rPr>
              <w:t>）、二氧化氮（NO</w:t>
            </w:r>
            <w:r>
              <w:rPr>
                <w:rFonts w:eastAsiaTheme="minorEastAsia"/>
                <w:color w:val="auto"/>
                <w:sz w:val="24"/>
                <w:vertAlign w:val="subscript"/>
              </w:rPr>
              <w:t>2</w:t>
            </w:r>
            <w:r>
              <w:rPr>
                <w:rFonts w:eastAsiaTheme="minorEastAsia"/>
                <w:color w:val="auto"/>
                <w:sz w:val="24"/>
              </w:rPr>
              <w:t>）、一氧化碳（CO）和臭氧（O</w:t>
            </w:r>
            <w:r>
              <w:rPr>
                <w:rFonts w:eastAsiaTheme="minorEastAsia"/>
                <w:color w:val="auto"/>
                <w:sz w:val="24"/>
                <w:vertAlign w:val="subscript"/>
              </w:rPr>
              <w:t>3</w:t>
            </w:r>
            <w:r>
              <w:rPr>
                <w:rFonts w:eastAsiaTheme="minorEastAsia"/>
                <w:color w:val="auto"/>
                <w:sz w:val="24"/>
              </w:rPr>
              <w:t>）浓度均达到国家二级标准限值，细颗粒物（PM</w:t>
            </w:r>
            <w:r>
              <w:rPr>
                <w:rFonts w:eastAsiaTheme="minorEastAsia"/>
                <w:color w:val="auto"/>
                <w:sz w:val="24"/>
                <w:vertAlign w:val="subscript"/>
              </w:rPr>
              <w:t>2.5</w:t>
            </w:r>
            <w:r>
              <w:rPr>
                <w:rFonts w:eastAsiaTheme="minorEastAsia"/>
                <w:color w:val="auto"/>
                <w:sz w:val="24"/>
              </w:rPr>
              <w:t>）年均浓度超标。因此，2023年本项目所在区域环境空气质量为不达标区。</w:t>
            </w:r>
          </w:p>
          <w:p w14:paraId="567A7A8E">
            <w:pPr>
              <w:pStyle w:val="89"/>
              <w:adjustRightInd w:val="0"/>
              <w:snapToGrid w:val="0"/>
              <w:spacing w:line="360" w:lineRule="auto"/>
              <w:ind w:firstLine="480"/>
              <w:jc w:val="left"/>
              <w:rPr>
                <w:rFonts w:eastAsiaTheme="minorEastAsia"/>
                <w:color w:val="auto"/>
                <w:sz w:val="24"/>
              </w:rPr>
            </w:pPr>
            <w:r>
              <w:rPr>
                <w:rFonts w:eastAsiaTheme="minorEastAsia"/>
                <w:color w:val="auto"/>
                <w:sz w:val="24"/>
              </w:rPr>
              <w:t>针对细颗粒物（PM</w:t>
            </w:r>
            <w:r>
              <w:rPr>
                <w:rFonts w:eastAsiaTheme="minorEastAsia"/>
                <w:color w:val="auto"/>
                <w:sz w:val="24"/>
                <w:vertAlign w:val="subscript"/>
              </w:rPr>
              <w:t>2.5</w:t>
            </w:r>
            <w:r>
              <w:rPr>
                <w:rFonts w:eastAsiaTheme="minorEastAsia"/>
                <w:color w:val="auto"/>
                <w:sz w:val="24"/>
              </w:rPr>
              <w:t>）超标现象，淮安市深入打好污染防治攻坚战指挥部办公室印发了《淮安市2024年大气污染防治工作计划》（淮污防攻坚指办〔2024〕50号）（以下简称《工作计划》）。</w:t>
            </w:r>
          </w:p>
          <w:p w14:paraId="62819F1C">
            <w:pPr>
              <w:pStyle w:val="89"/>
              <w:adjustRightInd w:val="0"/>
              <w:snapToGrid w:val="0"/>
              <w:spacing w:line="360" w:lineRule="auto"/>
              <w:ind w:firstLine="480"/>
              <w:jc w:val="left"/>
              <w:rPr>
                <w:rFonts w:eastAsiaTheme="minorEastAsia"/>
                <w:color w:val="auto"/>
                <w:sz w:val="24"/>
              </w:rPr>
            </w:pPr>
            <w:r>
              <w:rPr>
                <w:rFonts w:eastAsiaTheme="minorEastAsia"/>
                <w:color w:val="auto"/>
                <w:sz w:val="24"/>
              </w:rPr>
              <w:t>《工作计划》明确了工作目标：全市PM</w:t>
            </w:r>
            <w:r>
              <w:rPr>
                <w:rFonts w:eastAsiaTheme="minorEastAsia"/>
                <w:color w:val="auto"/>
                <w:sz w:val="24"/>
                <w:vertAlign w:val="subscript"/>
              </w:rPr>
              <w:t>2.5</w:t>
            </w:r>
            <w:r>
              <w:rPr>
                <w:rFonts w:eastAsiaTheme="minorEastAsia"/>
                <w:color w:val="auto"/>
                <w:sz w:val="24"/>
              </w:rPr>
              <w:t>浓度达到35微克/立方米左右，优良天数比率达到81.2%左右，臭氧浓度增长趋势得到有效遏制。完成省下达的氮氧化物4340吨、挥发性有机物3466吨的重点工程减排量目标。并提出以下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1227FC33">
            <w:pPr>
              <w:pStyle w:val="89"/>
              <w:adjustRightInd w:val="0"/>
              <w:snapToGrid w:val="0"/>
              <w:spacing w:line="360" w:lineRule="auto"/>
              <w:ind w:firstLine="480"/>
              <w:jc w:val="left"/>
              <w:rPr>
                <w:rFonts w:eastAsiaTheme="minorEastAsia"/>
                <w:color w:val="auto"/>
                <w:sz w:val="24"/>
              </w:rPr>
            </w:pPr>
            <w:r>
              <w:rPr>
                <w:rFonts w:eastAsiaTheme="minorEastAsia"/>
                <w:color w:val="auto"/>
                <w:sz w:val="24"/>
              </w:rPr>
              <w:t>随着《淮安市2024年大气污染防治工作计划》（淮污防攻坚指办〔2024〕50号）的逐步落实，淮安市环境空气质量将逐渐得到改善，能够满足区域环境质量改善目标管理的要求。</w:t>
            </w:r>
          </w:p>
          <w:p w14:paraId="31DB4EBE">
            <w:pPr>
              <w:spacing w:line="360" w:lineRule="auto"/>
              <w:ind w:firstLine="480" w:firstLineChars="200"/>
              <w:rPr>
                <w:color w:val="auto"/>
                <w:sz w:val="24"/>
              </w:rPr>
            </w:pPr>
            <w:r>
              <w:rPr>
                <w:color w:val="auto"/>
                <w:sz w:val="24"/>
              </w:rPr>
              <w:t>②地表水环境</w:t>
            </w:r>
          </w:p>
          <w:p w14:paraId="0CD47700">
            <w:pPr>
              <w:spacing w:line="360" w:lineRule="auto"/>
              <w:ind w:firstLine="480" w:firstLineChars="200"/>
              <w:rPr>
                <w:color w:val="auto"/>
                <w:sz w:val="24"/>
              </w:rPr>
            </w:pPr>
            <w:r>
              <w:rPr>
                <w:color w:val="auto"/>
                <w:sz w:val="24"/>
              </w:rPr>
              <w:t>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Ⅱ类断面4个)，优Ⅲ比例81.8%，达标率100%，无V类和劣V类断面。纳入江苏省“十四五”水环境质量目标考核的57个断面中水质达到或好于</w:t>
            </w:r>
            <w:r>
              <w:rPr>
                <w:rFonts w:hint="eastAsia"/>
                <w:color w:val="auto"/>
                <w:sz w:val="24"/>
                <w:lang w:eastAsia="zh-CN"/>
              </w:rPr>
              <w:t>Ⅲ</w:t>
            </w:r>
            <w:r>
              <w:rPr>
                <w:color w:val="auto"/>
                <w:sz w:val="24"/>
              </w:rPr>
              <w:t>类标准的断面有53个，优Ⅲ比例93%，达标率100%，无V类和劣V类断面。</w:t>
            </w:r>
          </w:p>
          <w:p w14:paraId="0762524F">
            <w:pPr>
              <w:spacing w:line="360" w:lineRule="auto"/>
              <w:ind w:firstLine="480" w:firstLineChars="200"/>
              <w:rPr>
                <w:color w:val="auto"/>
                <w:sz w:val="24"/>
              </w:rPr>
            </w:pPr>
            <w:r>
              <w:rPr>
                <w:color w:val="auto"/>
                <w:sz w:val="24"/>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新河、周桥灌区总干渠一帆河、铜龙河、池河水质状况为良好；入海水道北偏泓、赵公河、公兴河水质状况为轻度污染。</w:t>
            </w:r>
          </w:p>
          <w:p w14:paraId="6A729AF4">
            <w:pPr>
              <w:spacing w:line="360" w:lineRule="auto"/>
              <w:ind w:firstLine="480" w:firstLineChars="200"/>
              <w:rPr>
                <w:color w:val="auto"/>
                <w:sz w:val="24"/>
              </w:rPr>
            </w:pPr>
            <w:r>
              <w:rPr>
                <w:color w:val="auto"/>
                <w:sz w:val="24"/>
              </w:rPr>
              <w:t>③声环境</w:t>
            </w:r>
          </w:p>
          <w:p w14:paraId="6B1A0DA1">
            <w:pPr>
              <w:spacing w:line="360" w:lineRule="auto"/>
              <w:ind w:firstLine="480" w:firstLineChars="200"/>
              <w:rPr>
                <w:color w:val="auto"/>
                <w:sz w:val="24"/>
              </w:rPr>
            </w:pPr>
            <w:r>
              <w:rPr>
                <w:color w:val="auto"/>
                <w:sz w:val="24"/>
              </w:rPr>
              <w:t>根据《2023年淮安市生态环境状况公报》显示，2023年，淮安市声环境总体较好，全市各功能区昼夜噪声均达标。全市区域环境昼间噪声均值为55.1dB(A)，夜间均值为45.3dB(A)，同比均有所改善；全市昼间交通噪声均值为65.4dB(A)，夜间交通噪声均值为55.4dB(A)，均保持稳定，处于“好”水平。</w:t>
            </w:r>
          </w:p>
          <w:p w14:paraId="7B96D4EA">
            <w:pPr>
              <w:spacing w:line="360" w:lineRule="auto"/>
              <w:ind w:firstLine="480" w:firstLineChars="200"/>
              <w:rPr>
                <w:color w:val="auto"/>
                <w:sz w:val="24"/>
              </w:rPr>
            </w:pPr>
            <w:r>
              <w:rPr>
                <w:color w:val="auto"/>
                <w:sz w:val="24"/>
              </w:rPr>
              <w:t>综上，本项目营运期各类污染物采取相应污染防治措施后，对周围环境影响均较小，不会降低当地环境质量，符合环境质量底线标准。</w:t>
            </w:r>
          </w:p>
          <w:p w14:paraId="2F653A1D">
            <w:pPr>
              <w:pStyle w:val="89"/>
              <w:adjustRightInd w:val="0"/>
              <w:snapToGrid w:val="0"/>
              <w:spacing w:line="360" w:lineRule="auto"/>
              <w:ind w:firstLine="482"/>
              <w:jc w:val="left"/>
              <w:rPr>
                <w:b/>
                <w:color w:val="auto"/>
                <w:sz w:val="24"/>
              </w:rPr>
            </w:pPr>
            <w:r>
              <w:rPr>
                <w:b/>
                <w:color w:val="auto"/>
                <w:sz w:val="24"/>
              </w:rPr>
              <w:t>（3）资源利用</w:t>
            </w:r>
            <w:r>
              <w:rPr>
                <w:rFonts w:hint="eastAsia"/>
                <w:b/>
                <w:color w:val="auto"/>
                <w:sz w:val="24"/>
                <w:lang w:eastAsia="zh-CN"/>
              </w:rPr>
              <w:t>上限</w:t>
            </w:r>
          </w:p>
          <w:p w14:paraId="52679A64">
            <w:pPr>
              <w:pStyle w:val="271"/>
              <w:adjustRightInd w:val="0"/>
              <w:snapToGrid w:val="0"/>
              <w:ind w:firstLine="480"/>
              <w:rPr>
                <w:color w:val="auto"/>
              </w:rPr>
            </w:pPr>
            <w:r>
              <w:rPr>
                <w:color w:val="auto"/>
              </w:rPr>
              <w:t>本项目用水主要为生活用水和环保措施用水，用水量为</w:t>
            </w:r>
            <w:r>
              <w:rPr>
                <w:rFonts w:hint="eastAsia"/>
                <w:color w:val="auto"/>
                <w:lang w:val="en-US" w:eastAsia="zh-CN"/>
              </w:rPr>
              <w:t>636.5</w:t>
            </w:r>
            <w:r>
              <w:rPr>
                <w:color w:val="auto"/>
              </w:rPr>
              <w:t>m</w:t>
            </w:r>
            <w:r>
              <w:rPr>
                <w:color w:val="auto"/>
                <w:vertAlign w:val="superscript"/>
              </w:rPr>
              <w:t>3</w:t>
            </w:r>
            <w:r>
              <w:rPr>
                <w:color w:val="auto"/>
              </w:rPr>
              <w:t>/a，由市政管网供应，能够满足本项目的新鲜水使用要求</w:t>
            </w:r>
            <w:r>
              <w:rPr>
                <w:rFonts w:hint="eastAsia"/>
                <w:color w:val="auto"/>
              </w:rPr>
              <w:t>；</w:t>
            </w:r>
            <w:r>
              <w:rPr>
                <w:color w:val="auto"/>
              </w:rPr>
              <w:t>项目用电量为</w:t>
            </w:r>
            <w:r>
              <w:rPr>
                <w:rFonts w:hint="eastAsia"/>
                <w:color w:val="auto"/>
              </w:rPr>
              <w:t>50</w:t>
            </w:r>
            <w:r>
              <w:rPr>
                <w:color w:val="auto"/>
              </w:rPr>
              <w:t>万kW·h/a，由区域供电站统一供给，能够满足本项目用电需要</w:t>
            </w:r>
            <w:r>
              <w:rPr>
                <w:rFonts w:hint="eastAsia"/>
                <w:color w:val="auto"/>
              </w:rPr>
              <w:t>。</w:t>
            </w:r>
            <w:r>
              <w:rPr>
                <w:color w:val="auto"/>
              </w:rPr>
              <w:t>本项目所在地为工业用地，且为租用地，符合工业集中区土地利用规划，不突破当地土地利用资源，因此本项目符合资源利用</w:t>
            </w:r>
            <w:r>
              <w:rPr>
                <w:rFonts w:hint="eastAsia"/>
                <w:color w:val="auto"/>
                <w:lang w:eastAsia="zh-CN"/>
              </w:rPr>
              <w:t>上限</w:t>
            </w:r>
            <w:r>
              <w:rPr>
                <w:color w:val="auto"/>
              </w:rPr>
              <w:t>。</w:t>
            </w:r>
          </w:p>
          <w:p w14:paraId="3C817CB8">
            <w:pPr>
              <w:pStyle w:val="89"/>
              <w:spacing w:line="360" w:lineRule="auto"/>
              <w:ind w:firstLine="482"/>
              <w:jc w:val="left"/>
              <w:rPr>
                <w:b/>
                <w:color w:val="auto"/>
                <w:sz w:val="24"/>
              </w:rPr>
            </w:pPr>
            <w:r>
              <w:rPr>
                <w:b/>
                <w:color w:val="auto"/>
                <w:sz w:val="24"/>
              </w:rPr>
              <w:t>（4）环境准入负面清单</w:t>
            </w:r>
          </w:p>
          <w:p w14:paraId="56E10845">
            <w:pPr>
              <w:spacing w:line="360" w:lineRule="auto"/>
              <w:ind w:firstLine="480" w:firstLineChars="200"/>
              <w:rPr>
                <w:color w:val="auto"/>
                <w:sz w:val="24"/>
              </w:rPr>
            </w:pPr>
            <w:r>
              <w:rPr>
                <w:color w:val="auto"/>
                <w:sz w:val="24"/>
              </w:rPr>
              <w:t>本项目与相关准入负面清单相符性见下表</w:t>
            </w:r>
            <w:r>
              <w:rPr>
                <w:rFonts w:hint="eastAsia"/>
                <w:color w:val="auto"/>
                <w:sz w:val="24"/>
              </w:rPr>
              <w:t>1.3-8</w:t>
            </w:r>
            <w:r>
              <w:rPr>
                <w:color w:val="auto"/>
                <w:sz w:val="24"/>
              </w:rPr>
              <w:t>。</w:t>
            </w:r>
          </w:p>
          <w:p w14:paraId="1B254067">
            <w:pPr>
              <w:jc w:val="center"/>
              <w:rPr>
                <w:b/>
                <w:color w:val="auto"/>
                <w:sz w:val="24"/>
              </w:rPr>
            </w:pPr>
          </w:p>
          <w:p w14:paraId="4DA51140">
            <w:pPr>
              <w:jc w:val="center"/>
              <w:rPr>
                <w:b/>
                <w:color w:val="auto"/>
                <w:sz w:val="24"/>
              </w:rPr>
            </w:pPr>
          </w:p>
          <w:p w14:paraId="42A17400">
            <w:pPr>
              <w:jc w:val="center"/>
              <w:rPr>
                <w:b/>
                <w:color w:val="auto"/>
                <w:sz w:val="24"/>
              </w:rPr>
            </w:pPr>
          </w:p>
          <w:p w14:paraId="28BEDA23">
            <w:pPr>
              <w:jc w:val="center"/>
              <w:rPr>
                <w:b/>
                <w:color w:val="auto"/>
                <w:sz w:val="24"/>
              </w:rPr>
            </w:pPr>
          </w:p>
          <w:p w14:paraId="30D9D7DB">
            <w:pPr>
              <w:jc w:val="center"/>
              <w:rPr>
                <w:b/>
                <w:color w:val="auto"/>
                <w:sz w:val="24"/>
              </w:rPr>
            </w:pPr>
            <w:r>
              <w:rPr>
                <w:b/>
                <w:color w:val="auto"/>
                <w:sz w:val="24"/>
              </w:rPr>
              <w:t>表</w:t>
            </w:r>
            <w:r>
              <w:rPr>
                <w:rFonts w:hint="eastAsia"/>
                <w:b/>
                <w:color w:val="auto"/>
                <w:sz w:val="24"/>
              </w:rPr>
              <w:t>1.3-8</w:t>
            </w:r>
            <w:r>
              <w:rPr>
                <w:b/>
                <w:color w:val="auto"/>
                <w:sz w:val="24"/>
              </w:rPr>
              <w:t xml:space="preserve">  与环境准入负面清单相符性</w:t>
            </w:r>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71"/>
              <w:gridCol w:w="2710"/>
              <w:gridCol w:w="4207"/>
            </w:tblGrid>
            <w:tr w14:paraId="46151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vAlign w:val="center"/>
                </w:tcPr>
                <w:p w14:paraId="497A7E65">
                  <w:pPr>
                    <w:pStyle w:val="99"/>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637" w:type="pct"/>
                  <w:vAlign w:val="center"/>
                </w:tcPr>
                <w:p w14:paraId="1490F39E">
                  <w:pPr>
                    <w:pStyle w:val="99"/>
                    <w:rPr>
                      <w:rFonts w:ascii="Times New Roman" w:hAnsi="Times New Roman" w:eastAsia="宋体"/>
                      <w:b/>
                      <w:bCs/>
                      <w:color w:val="auto"/>
                      <w:sz w:val="21"/>
                      <w:szCs w:val="21"/>
                    </w:rPr>
                  </w:pPr>
                  <w:r>
                    <w:rPr>
                      <w:rFonts w:ascii="Times New Roman" w:hAnsi="Times New Roman" w:eastAsia="宋体"/>
                      <w:b/>
                      <w:bCs/>
                      <w:color w:val="auto"/>
                      <w:sz w:val="21"/>
                      <w:szCs w:val="21"/>
                    </w:rPr>
                    <w:t>环境准入负面清单</w:t>
                  </w:r>
                </w:p>
              </w:tc>
              <w:tc>
                <w:tcPr>
                  <w:tcW w:w="1610" w:type="pct"/>
                  <w:vAlign w:val="center"/>
                </w:tcPr>
                <w:p w14:paraId="29E133A2">
                  <w:pPr>
                    <w:pStyle w:val="99"/>
                    <w:rPr>
                      <w:rFonts w:ascii="Times New Roman" w:hAnsi="Times New Roman" w:eastAsia="宋体"/>
                      <w:b/>
                      <w:bCs/>
                      <w:color w:val="auto"/>
                      <w:sz w:val="21"/>
                      <w:szCs w:val="21"/>
                    </w:rPr>
                  </w:pPr>
                  <w:r>
                    <w:rPr>
                      <w:rFonts w:ascii="Times New Roman" w:hAnsi="Times New Roman" w:eastAsia="宋体"/>
                      <w:b/>
                      <w:bCs/>
                      <w:color w:val="auto"/>
                      <w:sz w:val="21"/>
                      <w:szCs w:val="21"/>
                    </w:rPr>
                    <w:t>本项目情况</w:t>
                  </w:r>
                </w:p>
              </w:tc>
              <w:tc>
                <w:tcPr>
                  <w:tcW w:w="2499" w:type="pct"/>
                  <w:vAlign w:val="center"/>
                </w:tcPr>
                <w:p w14:paraId="11422B7E">
                  <w:pPr>
                    <w:pStyle w:val="99"/>
                    <w:rPr>
                      <w:rFonts w:ascii="Times New Roman" w:hAnsi="Times New Roman" w:eastAsia="宋体"/>
                      <w:b/>
                      <w:bCs/>
                      <w:color w:val="auto"/>
                      <w:sz w:val="21"/>
                      <w:szCs w:val="21"/>
                    </w:rPr>
                  </w:pPr>
                  <w:r>
                    <w:rPr>
                      <w:rFonts w:ascii="Times New Roman" w:hAnsi="Times New Roman" w:eastAsia="宋体"/>
                      <w:b/>
                      <w:bCs/>
                      <w:color w:val="auto"/>
                      <w:sz w:val="21"/>
                      <w:szCs w:val="21"/>
                    </w:rPr>
                    <w:t>相符性</w:t>
                  </w:r>
                </w:p>
              </w:tc>
            </w:tr>
            <w:tr w14:paraId="1827C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vAlign w:val="center"/>
                </w:tcPr>
                <w:p w14:paraId="6F4A2E3B">
                  <w:pPr>
                    <w:pStyle w:val="99"/>
                    <w:rPr>
                      <w:rFonts w:ascii="Times New Roman" w:hAnsi="Times New Roman" w:eastAsia="宋体"/>
                      <w:color w:val="auto"/>
                      <w:sz w:val="21"/>
                      <w:szCs w:val="21"/>
                    </w:rPr>
                  </w:pPr>
                  <w:r>
                    <w:rPr>
                      <w:rFonts w:ascii="Times New Roman" w:hAnsi="Times New Roman" w:eastAsia="宋体"/>
                      <w:color w:val="auto"/>
                      <w:sz w:val="21"/>
                      <w:szCs w:val="21"/>
                    </w:rPr>
                    <w:t>1</w:t>
                  </w:r>
                </w:p>
              </w:tc>
              <w:tc>
                <w:tcPr>
                  <w:tcW w:w="637" w:type="pct"/>
                  <w:vAlign w:val="center"/>
                </w:tcPr>
                <w:p w14:paraId="3F70904B">
                  <w:pPr>
                    <w:pStyle w:val="99"/>
                    <w:rPr>
                      <w:rFonts w:ascii="Times New Roman" w:hAnsi="Times New Roman" w:eastAsia="宋体"/>
                      <w:color w:val="auto"/>
                      <w:sz w:val="21"/>
                      <w:szCs w:val="21"/>
                    </w:rPr>
                  </w:pPr>
                  <w:r>
                    <w:rPr>
                      <w:rFonts w:ascii="Times New Roman" w:hAnsi="Times New Roman" w:eastAsia="宋体"/>
                      <w:color w:val="auto"/>
                      <w:sz w:val="21"/>
                      <w:szCs w:val="21"/>
                    </w:rPr>
                    <w:t>《市场准入负面清单》（2022版）</w:t>
                  </w:r>
                </w:p>
              </w:tc>
              <w:tc>
                <w:tcPr>
                  <w:tcW w:w="1610" w:type="pct"/>
                  <w:vAlign w:val="center"/>
                </w:tcPr>
                <w:p w14:paraId="3F8E74AA">
                  <w:pPr>
                    <w:pStyle w:val="99"/>
                    <w:rPr>
                      <w:rFonts w:ascii="Times New Roman" w:hAnsi="Times New Roman" w:eastAsia="宋体"/>
                      <w:color w:val="auto"/>
                      <w:sz w:val="21"/>
                      <w:szCs w:val="21"/>
                    </w:rPr>
                  </w:pPr>
                  <w:r>
                    <w:rPr>
                      <w:rFonts w:ascii="Times New Roman" w:hAnsi="Times New Roman" w:eastAsia="宋体"/>
                      <w:color w:val="auto"/>
                      <w:sz w:val="21"/>
                      <w:szCs w:val="21"/>
                    </w:rPr>
                    <w:t>本项目为胶合板制造项目，不属于禁止准入类规定范畴，项目已取得备案。</w:t>
                  </w:r>
                </w:p>
              </w:tc>
              <w:tc>
                <w:tcPr>
                  <w:tcW w:w="2499" w:type="pct"/>
                  <w:vAlign w:val="center"/>
                </w:tcPr>
                <w:p w14:paraId="21D19FAD">
                  <w:pPr>
                    <w:pStyle w:val="99"/>
                    <w:rPr>
                      <w:rFonts w:ascii="Times New Roman" w:hAnsi="Times New Roman" w:eastAsia="宋体"/>
                      <w:color w:val="auto"/>
                      <w:sz w:val="21"/>
                      <w:szCs w:val="21"/>
                    </w:rPr>
                  </w:pPr>
                  <w:r>
                    <w:rPr>
                      <w:rFonts w:ascii="Times New Roman" w:hAnsi="Times New Roman" w:eastAsia="宋体"/>
                      <w:color w:val="auto"/>
                      <w:sz w:val="21"/>
                      <w:szCs w:val="21"/>
                    </w:rPr>
                    <w:t>相符</w:t>
                  </w:r>
                </w:p>
              </w:tc>
            </w:tr>
            <w:tr w14:paraId="38812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vAlign w:val="center"/>
                </w:tcPr>
                <w:p w14:paraId="143228E5">
                  <w:pPr>
                    <w:pStyle w:val="99"/>
                    <w:rPr>
                      <w:rFonts w:ascii="Times New Roman" w:hAnsi="Times New Roman" w:eastAsia="宋体"/>
                      <w:color w:val="auto"/>
                      <w:sz w:val="21"/>
                      <w:szCs w:val="21"/>
                    </w:rPr>
                  </w:pPr>
                  <w:r>
                    <w:rPr>
                      <w:rFonts w:ascii="Times New Roman" w:hAnsi="Times New Roman" w:eastAsia="宋体"/>
                      <w:color w:val="auto"/>
                      <w:sz w:val="21"/>
                      <w:szCs w:val="21"/>
                    </w:rPr>
                    <w:t>2</w:t>
                  </w:r>
                </w:p>
              </w:tc>
              <w:tc>
                <w:tcPr>
                  <w:tcW w:w="637" w:type="pct"/>
                  <w:vAlign w:val="center"/>
                </w:tcPr>
                <w:p w14:paraId="7794096C">
                  <w:pPr>
                    <w:pStyle w:val="99"/>
                    <w:rPr>
                      <w:rFonts w:ascii="Times New Roman" w:hAnsi="Times New Roman" w:eastAsia="宋体"/>
                      <w:color w:val="auto"/>
                      <w:sz w:val="21"/>
                      <w:szCs w:val="21"/>
                    </w:rPr>
                  </w:pPr>
                  <w:r>
                    <w:rPr>
                      <w:rFonts w:ascii="Times New Roman" w:hAnsi="Times New Roman" w:eastAsia="宋体"/>
                      <w:color w:val="auto"/>
                      <w:sz w:val="21"/>
                      <w:szCs w:val="21"/>
                    </w:rPr>
                    <w:t>《准入指南（涟水县）》（</w:t>
                  </w:r>
                  <w:r>
                    <w:rPr>
                      <w:rFonts w:hint="eastAsia" w:ascii="Times New Roman" w:hAnsi="Times New Roman" w:eastAsia="宋体"/>
                      <w:color w:val="auto"/>
                      <w:sz w:val="21"/>
                      <w:szCs w:val="21"/>
                    </w:rPr>
                    <w:t>高沟</w:t>
                  </w:r>
                  <w:r>
                    <w:rPr>
                      <w:rFonts w:ascii="Times New Roman" w:hAnsi="Times New Roman" w:eastAsia="宋体"/>
                      <w:color w:val="auto"/>
                      <w:sz w:val="21"/>
                      <w:szCs w:val="21"/>
                    </w:rPr>
                    <w:t>工业集中区）清单</w:t>
                  </w:r>
                </w:p>
              </w:tc>
              <w:tc>
                <w:tcPr>
                  <w:tcW w:w="1610" w:type="pct"/>
                  <w:vAlign w:val="center"/>
                </w:tcPr>
                <w:p w14:paraId="20F5C6C4">
                  <w:pPr>
                    <w:pStyle w:val="99"/>
                    <w:rPr>
                      <w:rFonts w:ascii="Times New Roman" w:hAnsi="Times New Roman" w:eastAsia="宋体"/>
                      <w:color w:val="auto"/>
                      <w:sz w:val="21"/>
                      <w:szCs w:val="21"/>
                    </w:rPr>
                  </w:pPr>
                  <w:r>
                    <w:rPr>
                      <w:rFonts w:ascii="Times New Roman" w:hAnsi="Times New Roman" w:eastAsia="宋体"/>
                      <w:color w:val="auto"/>
                      <w:sz w:val="21"/>
                      <w:szCs w:val="21"/>
                      <w:lang w:val="zh-CN"/>
                    </w:rPr>
                    <w:t>（一）空间布局约束：优先发展服装加工、电子加工、木材加工、新材料、机械加工。（二）污染物排放管控：严格实施污染物总量控制制度，根据区域环境质量改善目标，采取有效措施减少主要污染物排放总量。（三）环境风险防控：建立并完善区域环境风险防范体系，制定完备的事故应急预案，贮存必要的应急物资，定期开展事故应急演练。（四）资源利用效率要求：禁止销售使用燃料为“Ⅱ类”（较严），具体包括：①除单台出力大于等于20蒸吨/小时锅炉以外燃用的煤炭及其制品。②石油焦、油页岩、原油、重油、渣油、煤焦油。</w:t>
                  </w:r>
                </w:p>
              </w:tc>
              <w:tc>
                <w:tcPr>
                  <w:tcW w:w="2499" w:type="pct"/>
                  <w:vAlign w:val="center"/>
                </w:tcPr>
                <w:p w14:paraId="7D436A62">
                  <w:pPr>
                    <w:pStyle w:val="99"/>
                    <w:rPr>
                      <w:rFonts w:ascii="Times New Roman" w:hAnsi="Times New Roman" w:eastAsia="宋体"/>
                      <w:color w:val="auto"/>
                      <w:sz w:val="21"/>
                      <w:szCs w:val="21"/>
                    </w:rPr>
                  </w:pPr>
                  <w:r>
                    <w:rPr>
                      <w:rFonts w:ascii="Times New Roman" w:hAnsi="Times New Roman" w:eastAsia="宋体"/>
                      <w:color w:val="auto"/>
                      <w:sz w:val="21"/>
                      <w:szCs w:val="21"/>
                    </w:rPr>
                    <w:t>本项目为胶合板制造项目，属于</w:t>
                  </w:r>
                  <w:r>
                    <w:rPr>
                      <w:rFonts w:ascii="Times New Roman" w:hAnsi="Times New Roman" w:eastAsia="宋体"/>
                      <w:color w:val="auto"/>
                      <w:sz w:val="21"/>
                      <w:szCs w:val="21"/>
                      <w:lang w:val="zh-CN"/>
                    </w:rPr>
                    <w:t>空间布局约束</w:t>
                  </w:r>
                  <w:r>
                    <w:rPr>
                      <w:rFonts w:ascii="Times New Roman" w:hAnsi="Times New Roman" w:eastAsia="宋体"/>
                      <w:color w:val="auto"/>
                      <w:sz w:val="21"/>
                      <w:szCs w:val="21"/>
                    </w:rPr>
                    <w:t>优先发展中“木材加工”类，本项目锯切工序产生的颗粒物通过集气罩</w:t>
                  </w:r>
                  <w:r>
                    <w:rPr>
                      <w:rFonts w:hint="eastAsia" w:ascii="Times New Roman" w:hAnsi="Times New Roman" w:eastAsia="宋体" w:cs="Times New Roman"/>
                      <w:color w:val="auto"/>
                      <w:sz w:val="21"/>
                      <w:szCs w:val="21"/>
                      <w:lang w:eastAsia="zh-CN"/>
                    </w:rPr>
                    <w:t>（顶式集气罩＋三面软帘）</w:t>
                  </w:r>
                  <w:r>
                    <w:rPr>
                      <w:rFonts w:ascii="Times New Roman" w:hAnsi="Times New Roman" w:eastAsia="宋体" w:cs="Times New Roman"/>
                      <w:color w:val="auto"/>
                      <w:sz w:val="21"/>
                      <w:szCs w:val="21"/>
                    </w:rPr>
                    <w:t>+布袋除尘器收集处理后与搅拌工序产生的颗粒物、甲醛、</w:t>
                  </w:r>
                  <w:r>
                    <w:rPr>
                      <w:rFonts w:ascii="Times New Roman" w:hAnsi="Times New Roman" w:eastAsia="宋体"/>
                      <w:color w:val="auto"/>
                      <w:sz w:val="21"/>
                      <w:szCs w:val="21"/>
                    </w:rPr>
                    <w:t>非甲烷总烃通过集气罩</w:t>
                  </w:r>
                  <w:r>
                    <w:rPr>
                      <w:rFonts w:hint="eastAsia" w:ascii="Times New Roman" w:hAnsi="Times New Roman" w:eastAsia="宋体" w:cs="Times New Roman"/>
                      <w:color w:val="auto"/>
                      <w:sz w:val="21"/>
                      <w:szCs w:val="21"/>
                      <w:lang w:eastAsia="zh-CN"/>
                    </w:rPr>
                    <w:t>（顶式集气罩＋三面软帘）</w:t>
                  </w:r>
                  <w:r>
                    <w:rPr>
                      <w:rFonts w:ascii="Times New Roman" w:hAnsi="Times New Roman" w:eastAsia="宋体"/>
                      <w:color w:val="auto"/>
                      <w:sz w:val="21"/>
                      <w:szCs w:val="21"/>
                    </w:rPr>
                    <w:t>+布袋除尘器收集处理后与涂胶、热压工序产生的甲醛、非甲烷总烃一起经二级活性炭处理，处理后的废气均通过一根15m高的排气筒（D</w:t>
                  </w:r>
                  <w:r>
                    <w:rPr>
                      <w:rFonts w:ascii="Times New Roman" w:hAnsi="Times New Roman" w:eastAsia="宋体" w:cs="Times New Roman"/>
                      <w:color w:val="auto"/>
                      <w:sz w:val="21"/>
                      <w:szCs w:val="21"/>
                    </w:rPr>
                    <w:t>A001）排放，对周边大气环境影响较小。</w:t>
                  </w:r>
                  <w:r>
                    <w:rPr>
                      <w:rFonts w:hint="eastAsia" w:ascii="Times New Roman" w:hAnsi="Times New Roman" w:eastAsia="宋体"/>
                      <w:color w:val="auto"/>
                      <w:sz w:val="21"/>
                      <w:szCs w:val="21"/>
                      <w:lang w:eastAsia="zh-CN"/>
                    </w:rPr>
                    <w:t>建设项目</w:t>
                  </w:r>
                  <w:r>
                    <w:rPr>
                      <w:rFonts w:ascii="Times New Roman" w:hAnsi="Times New Roman" w:eastAsia="宋体"/>
                      <w:color w:val="auto"/>
                      <w:sz w:val="21"/>
                      <w:szCs w:val="21"/>
                    </w:rPr>
                    <w:t>不使用锅炉，蒸汽接管</w:t>
                  </w:r>
                  <w:r>
                    <w:rPr>
                      <w:rFonts w:hint="eastAsia" w:ascii="Times New Roman" w:hAnsi="Times New Roman" w:eastAsia="宋体"/>
                      <w:color w:val="auto"/>
                      <w:sz w:val="21"/>
                      <w:szCs w:val="21"/>
                      <w:lang w:eastAsia="zh-CN"/>
                    </w:rPr>
                    <w:t>热电公司。</w:t>
                  </w:r>
                  <w:r>
                    <w:rPr>
                      <w:rFonts w:ascii="Times New Roman" w:hAnsi="Times New Roman" w:eastAsia="宋体" w:cs="Times New Roman"/>
                      <w:color w:val="auto"/>
                      <w:sz w:val="21"/>
                      <w:szCs w:val="21"/>
                      <w:lang w:val="zh-CN"/>
                    </w:rPr>
                    <w:t>本项目建成后将积极主动加入区</w:t>
                  </w:r>
                  <w:r>
                    <w:rPr>
                      <w:rFonts w:ascii="Times New Roman" w:hAnsi="Times New Roman" w:eastAsia="宋体"/>
                      <w:color w:val="auto"/>
                      <w:sz w:val="21"/>
                      <w:szCs w:val="21"/>
                      <w:lang w:val="zh-CN"/>
                    </w:rPr>
                    <w:t>域联动系统，响应联防联控，减小环境事件的影响。本项目将制定环境风险应急预案，建立完善的环境应急措施，并将应急装备和储备物资纳入储备体系，积极响应市、县、乡突发环境</w:t>
                  </w:r>
                  <w:r>
                    <w:rPr>
                      <w:rFonts w:hint="eastAsia" w:ascii="Times New Roman" w:hAnsi="Times New Roman" w:eastAsia="宋体"/>
                      <w:color w:val="auto"/>
                      <w:sz w:val="21"/>
                      <w:szCs w:val="21"/>
                      <w:lang w:val="zh-CN"/>
                    </w:rPr>
                    <w:t>事件</w:t>
                  </w:r>
                  <w:r>
                    <w:rPr>
                      <w:rFonts w:ascii="Times New Roman" w:hAnsi="Times New Roman" w:eastAsia="宋体"/>
                      <w:color w:val="auto"/>
                      <w:sz w:val="21"/>
                      <w:szCs w:val="21"/>
                      <w:lang w:val="zh-CN"/>
                    </w:rPr>
                    <w:t>应急响应体系，并积极参加定期组织的演练，从而提高应急处置能力。</w:t>
                  </w:r>
                </w:p>
              </w:tc>
            </w:tr>
            <w:tr w14:paraId="05B70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 w:type="pct"/>
                  <w:vAlign w:val="center"/>
                </w:tcPr>
                <w:p w14:paraId="1E34BFC5">
                  <w:pPr>
                    <w:pStyle w:val="99"/>
                    <w:rPr>
                      <w:rFonts w:ascii="Times New Roman" w:hAnsi="Times New Roman" w:eastAsia="宋体"/>
                      <w:color w:val="auto"/>
                      <w:sz w:val="21"/>
                      <w:szCs w:val="21"/>
                    </w:rPr>
                  </w:pPr>
                  <w:r>
                    <w:rPr>
                      <w:rFonts w:ascii="Times New Roman" w:hAnsi="Times New Roman" w:eastAsia="宋体"/>
                      <w:color w:val="auto"/>
                      <w:sz w:val="21"/>
                      <w:szCs w:val="21"/>
                    </w:rPr>
                    <w:t>2</w:t>
                  </w:r>
                </w:p>
              </w:tc>
              <w:tc>
                <w:tcPr>
                  <w:tcW w:w="637" w:type="pct"/>
                  <w:vAlign w:val="center"/>
                </w:tcPr>
                <w:p w14:paraId="3DFD9367">
                  <w:pPr>
                    <w:pStyle w:val="99"/>
                    <w:rPr>
                      <w:rFonts w:ascii="Times New Roman" w:hAnsi="Times New Roman" w:eastAsia="宋体"/>
                      <w:color w:val="auto"/>
                      <w:sz w:val="21"/>
                      <w:szCs w:val="21"/>
                      <w:lang w:val="zh-CN"/>
                    </w:rPr>
                  </w:pPr>
                  <w:r>
                    <w:rPr>
                      <w:rFonts w:ascii="Times New Roman" w:hAnsi="Times New Roman" w:eastAsia="宋体"/>
                      <w:color w:val="auto"/>
                      <w:sz w:val="21"/>
                      <w:szCs w:val="21"/>
                      <w:lang w:val="zh-CN"/>
                    </w:rPr>
                    <w:t>《长江经济带发展负面清单指南（试行，2022年版）》</w:t>
                  </w:r>
                </w:p>
              </w:tc>
              <w:tc>
                <w:tcPr>
                  <w:tcW w:w="1610" w:type="pct"/>
                  <w:vAlign w:val="center"/>
                </w:tcPr>
                <w:p w14:paraId="7B1F19E9">
                  <w:pPr>
                    <w:pStyle w:val="99"/>
                    <w:rPr>
                      <w:rFonts w:ascii="Times New Roman" w:hAnsi="Times New Roman" w:eastAsia="宋体"/>
                      <w:color w:val="auto"/>
                      <w:sz w:val="21"/>
                      <w:szCs w:val="21"/>
                    </w:rPr>
                  </w:pPr>
                  <w:r>
                    <w:rPr>
                      <w:rFonts w:ascii="Times New Roman" w:hAnsi="Times New Roman" w:eastAsia="宋体"/>
                      <w:color w:val="auto"/>
                      <w:sz w:val="21"/>
                      <w:szCs w:val="21"/>
                      <w:lang w:val="zh-CN"/>
                    </w:rPr>
                    <w:t>详见表</w:t>
                  </w:r>
                  <w:r>
                    <w:rPr>
                      <w:rFonts w:hint="eastAsia" w:ascii="Times New Roman" w:hAnsi="Times New Roman" w:eastAsia="宋体"/>
                      <w:color w:val="auto"/>
                      <w:sz w:val="21"/>
                      <w:szCs w:val="21"/>
                    </w:rPr>
                    <w:t>1.3-9</w:t>
                  </w:r>
                </w:p>
              </w:tc>
              <w:tc>
                <w:tcPr>
                  <w:tcW w:w="2499" w:type="pct"/>
                  <w:vAlign w:val="center"/>
                </w:tcPr>
                <w:p w14:paraId="5DCD0101">
                  <w:pPr>
                    <w:pStyle w:val="99"/>
                    <w:rPr>
                      <w:rFonts w:ascii="Times New Roman" w:hAnsi="Times New Roman" w:eastAsia="宋体"/>
                      <w:color w:val="auto"/>
                      <w:sz w:val="21"/>
                      <w:szCs w:val="21"/>
                    </w:rPr>
                  </w:pPr>
                  <w:r>
                    <w:rPr>
                      <w:rFonts w:ascii="Times New Roman" w:hAnsi="Times New Roman" w:eastAsia="宋体"/>
                      <w:color w:val="auto"/>
                      <w:sz w:val="21"/>
                      <w:szCs w:val="21"/>
                    </w:rPr>
                    <w:t>相符</w:t>
                  </w:r>
                </w:p>
              </w:tc>
            </w:tr>
          </w:tbl>
          <w:p w14:paraId="05F2AA6C">
            <w:pPr>
              <w:jc w:val="center"/>
              <w:rPr>
                <w:b/>
                <w:color w:val="auto"/>
                <w:sz w:val="24"/>
              </w:rPr>
            </w:pPr>
            <w:r>
              <w:rPr>
                <w:b/>
                <w:color w:val="auto"/>
                <w:sz w:val="24"/>
              </w:rPr>
              <w:t>表</w:t>
            </w:r>
            <w:r>
              <w:rPr>
                <w:rFonts w:hint="eastAsia"/>
                <w:b/>
                <w:color w:val="auto"/>
                <w:sz w:val="24"/>
              </w:rPr>
              <w:t>1.3-9</w:t>
            </w:r>
            <w:r>
              <w:rPr>
                <w:b/>
                <w:color w:val="auto"/>
                <w:sz w:val="24"/>
              </w:rPr>
              <w:t xml:space="preserve">  与文件相符性一览表</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5477"/>
              <w:gridCol w:w="2132"/>
            </w:tblGrid>
            <w:tr w14:paraId="016C1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67BD8E4C">
                  <w:pPr>
                    <w:pStyle w:val="76"/>
                    <w:spacing w:before="24" w:after="24"/>
                    <w:rPr>
                      <w:rFonts w:ascii="Times New Roman"/>
                      <w:b/>
                      <w:color w:val="auto"/>
                      <w:szCs w:val="21"/>
                    </w:rPr>
                  </w:pPr>
                  <w:r>
                    <w:rPr>
                      <w:rFonts w:ascii="Times New Roman"/>
                      <w:b/>
                      <w:color w:val="auto"/>
                      <w:szCs w:val="21"/>
                    </w:rPr>
                    <w:t>序号</w:t>
                  </w:r>
                </w:p>
              </w:tc>
              <w:tc>
                <w:tcPr>
                  <w:tcW w:w="3253" w:type="pct"/>
                  <w:vAlign w:val="center"/>
                </w:tcPr>
                <w:p w14:paraId="2A12F4AD">
                  <w:pPr>
                    <w:pStyle w:val="76"/>
                    <w:spacing w:before="24" w:after="24"/>
                    <w:rPr>
                      <w:rFonts w:ascii="Times New Roman"/>
                      <w:b/>
                      <w:color w:val="auto"/>
                      <w:szCs w:val="21"/>
                    </w:rPr>
                  </w:pPr>
                  <w:r>
                    <w:rPr>
                      <w:rFonts w:ascii="Times New Roman"/>
                      <w:b/>
                      <w:color w:val="auto"/>
                      <w:szCs w:val="21"/>
                    </w:rPr>
                    <w:t>管控条款</w:t>
                  </w:r>
                </w:p>
              </w:tc>
              <w:tc>
                <w:tcPr>
                  <w:tcW w:w="1266" w:type="pct"/>
                  <w:vAlign w:val="center"/>
                </w:tcPr>
                <w:p w14:paraId="633BB360">
                  <w:pPr>
                    <w:pStyle w:val="76"/>
                    <w:spacing w:before="24" w:after="24"/>
                    <w:rPr>
                      <w:rFonts w:ascii="Times New Roman"/>
                      <w:b/>
                      <w:color w:val="auto"/>
                      <w:szCs w:val="21"/>
                    </w:rPr>
                  </w:pPr>
                  <w:r>
                    <w:rPr>
                      <w:rFonts w:ascii="Times New Roman"/>
                      <w:b/>
                      <w:color w:val="auto"/>
                      <w:szCs w:val="21"/>
                    </w:rPr>
                    <w:t>本项目情况</w:t>
                  </w:r>
                </w:p>
              </w:tc>
            </w:tr>
            <w:tr w14:paraId="75158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6F0A94A0">
                  <w:pPr>
                    <w:pStyle w:val="76"/>
                    <w:spacing w:before="24" w:after="24"/>
                    <w:rPr>
                      <w:rFonts w:ascii="Times New Roman"/>
                      <w:color w:val="auto"/>
                      <w:szCs w:val="21"/>
                    </w:rPr>
                  </w:pPr>
                  <w:r>
                    <w:rPr>
                      <w:rFonts w:ascii="Times New Roman"/>
                      <w:color w:val="auto"/>
                      <w:szCs w:val="21"/>
                    </w:rPr>
                    <w:t>1</w:t>
                  </w:r>
                </w:p>
              </w:tc>
              <w:tc>
                <w:tcPr>
                  <w:tcW w:w="3253" w:type="pct"/>
                  <w:vAlign w:val="center"/>
                </w:tcPr>
                <w:p w14:paraId="29CB4C97">
                  <w:pPr>
                    <w:pStyle w:val="90"/>
                    <w:jc w:val="both"/>
                    <w:rPr>
                      <w:rFonts w:cs="Times New Roman"/>
                      <w:color w:val="auto"/>
                      <w:szCs w:val="21"/>
                    </w:rPr>
                  </w:pPr>
                  <w:r>
                    <w:rPr>
                      <w:rFonts w:cs="Times New Roman"/>
                      <w:color w:val="auto"/>
                      <w:szCs w:val="21"/>
                      <w:lang w:val="zh-CN"/>
                    </w:rPr>
                    <w:t>禁止建设不符合全国和省级港口布局规划以及港口总体规划的码头项目，禁止建设不符合《长江干线过江通道布局规划》的过</w:t>
                  </w:r>
                  <w:r>
                    <w:rPr>
                      <w:rFonts w:hint="eastAsia" w:cs="Times New Roman"/>
                      <w:color w:val="auto"/>
                      <w:szCs w:val="21"/>
                      <w:lang w:val="zh-CN"/>
                    </w:rPr>
                    <w:t>江</w:t>
                  </w:r>
                  <w:r>
                    <w:rPr>
                      <w:rFonts w:cs="Times New Roman"/>
                      <w:color w:val="auto"/>
                      <w:szCs w:val="21"/>
                      <w:lang w:val="zh-CN"/>
                    </w:rPr>
                    <w:t>通道项目。</w:t>
                  </w:r>
                </w:p>
              </w:tc>
              <w:tc>
                <w:tcPr>
                  <w:tcW w:w="1266" w:type="pct"/>
                  <w:vAlign w:val="center"/>
                </w:tcPr>
                <w:p w14:paraId="431CD4C1">
                  <w:pPr>
                    <w:pStyle w:val="90"/>
                    <w:jc w:val="both"/>
                    <w:rPr>
                      <w:rFonts w:cs="Times New Roman"/>
                      <w:color w:val="auto"/>
                      <w:szCs w:val="21"/>
                    </w:rPr>
                  </w:pPr>
                  <w:r>
                    <w:rPr>
                      <w:rFonts w:cs="Times New Roman"/>
                      <w:color w:val="auto"/>
                      <w:szCs w:val="21"/>
                    </w:rPr>
                    <w:t>本项目胶合板制造项目，不属于码头及过长江干线通道项目</w:t>
                  </w:r>
                </w:p>
              </w:tc>
            </w:tr>
            <w:tr w14:paraId="45324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7243DA53">
                  <w:pPr>
                    <w:pStyle w:val="76"/>
                    <w:spacing w:before="24" w:after="24"/>
                    <w:rPr>
                      <w:rFonts w:ascii="Times New Roman"/>
                      <w:color w:val="auto"/>
                      <w:szCs w:val="21"/>
                    </w:rPr>
                  </w:pPr>
                  <w:r>
                    <w:rPr>
                      <w:rFonts w:ascii="Times New Roman"/>
                      <w:color w:val="auto"/>
                      <w:szCs w:val="21"/>
                      <w:lang w:val="zh-CN"/>
                    </w:rPr>
                    <w:t>2</w:t>
                  </w:r>
                </w:p>
              </w:tc>
              <w:tc>
                <w:tcPr>
                  <w:tcW w:w="3253" w:type="pct"/>
                  <w:vAlign w:val="center"/>
                </w:tcPr>
                <w:p w14:paraId="58A9AEDD">
                  <w:pPr>
                    <w:pStyle w:val="90"/>
                    <w:jc w:val="both"/>
                    <w:rPr>
                      <w:rFonts w:cs="Times New Roman"/>
                      <w:color w:val="auto"/>
                      <w:szCs w:val="21"/>
                      <w:lang w:val="zh-CN"/>
                    </w:rPr>
                  </w:pPr>
                  <w:r>
                    <w:rPr>
                      <w:rFonts w:cs="Times New Roman"/>
                      <w:color w:val="auto"/>
                      <w:szCs w:val="21"/>
                      <w:lang w:val="zh-CN"/>
                    </w:rPr>
                    <w:t>禁止在自然保护区核心区、缓冲区的岸线和河段范围内投资建设旅游和生产经营项目。禁止在风景名胜区核心景区的岸线和河段范围内投资建设与风景名胜资源保护无关的项目。</w:t>
                  </w:r>
                </w:p>
              </w:tc>
              <w:tc>
                <w:tcPr>
                  <w:tcW w:w="1266" w:type="pct"/>
                  <w:vAlign w:val="center"/>
                </w:tcPr>
                <w:p w14:paraId="2917270A">
                  <w:pPr>
                    <w:pStyle w:val="90"/>
                    <w:jc w:val="both"/>
                    <w:rPr>
                      <w:rFonts w:cs="Times New Roman"/>
                      <w:color w:val="auto"/>
                      <w:szCs w:val="21"/>
                    </w:rPr>
                  </w:pPr>
                  <w:r>
                    <w:rPr>
                      <w:rFonts w:cs="Times New Roman"/>
                      <w:color w:val="auto"/>
                      <w:szCs w:val="21"/>
                    </w:rPr>
                    <w:t>本项目不涉及</w:t>
                  </w:r>
                  <w:r>
                    <w:rPr>
                      <w:rFonts w:cs="Times New Roman"/>
                      <w:color w:val="auto"/>
                      <w:szCs w:val="21"/>
                      <w:lang w:val="zh-CN"/>
                    </w:rPr>
                    <w:t>自然保护区核心区、缓冲区</w:t>
                  </w:r>
                </w:p>
              </w:tc>
            </w:tr>
            <w:tr w14:paraId="67425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49F9FA60">
                  <w:pPr>
                    <w:pStyle w:val="76"/>
                    <w:spacing w:before="24" w:after="24"/>
                    <w:rPr>
                      <w:rFonts w:ascii="Times New Roman"/>
                      <w:color w:val="auto"/>
                      <w:szCs w:val="21"/>
                    </w:rPr>
                  </w:pPr>
                  <w:r>
                    <w:rPr>
                      <w:rFonts w:ascii="Times New Roman"/>
                      <w:color w:val="auto"/>
                      <w:szCs w:val="21"/>
                    </w:rPr>
                    <w:t>3</w:t>
                  </w:r>
                </w:p>
              </w:tc>
              <w:tc>
                <w:tcPr>
                  <w:tcW w:w="3253" w:type="pct"/>
                  <w:vAlign w:val="center"/>
                </w:tcPr>
                <w:p w14:paraId="7483DEA8">
                  <w:pPr>
                    <w:pStyle w:val="90"/>
                    <w:jc w:val="both"/>
                    <w:rPr>
                      <w:rFonts w:cs="Times New Roman"/>
                      <w:color w:val="auto"/>
                      <w:szCs w:val="21"/>
                      <w:lang w:val="zh-CN"/>
                    </w:rPr>
                  </w:pPr>
                  <w:r>
                    <w:rPr>
                      <w:rFonts w:cs="Times New Roman"/>
                      <w:color w:val="auto"/>
                      <w:szCs w:val="21"/>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66" w:type="pct"/>
                  <w:vAlign w:val="center"/>
                </w:tcPr>
                <w:p w14:paraId="4B2A81F7">
                  <w:pPr>
                    <w:pStyle w:val="90"/>
                    <w:jc w:val="both"/>
                    <w:rPr>
                      <w:rFonts w:cs="Times New Roman"/>
                      <w:color w:val="auto"/>
                      <w:szCs w:val="21"/>
                    </w:rPr>
                  </w:pPr>
                  <w:r>
                    <w:rPr>
                      <w:rFonts w:cs="Times New Roman"/>
                      <w:color w:val="auto"/>
                      <w:szCs w:val="21"/>
                    </w:rPr>
                    <w:t>本项目不涉及</w:t>
                  </w:r>
                  <w:r>
                    <w:rPr>
                      <w:rFonts w:cs="Times New Roman"/>
                      <w:color w:val="auto"/>
                      <w:szCs w:val="21"/>
                      <w:lang w:val="zh-CN"/>
                    </w:rPr>
                    <w:t>饮用水水源一级保护区</w:t>
                  </w:r>
                </w:p>
              </w:tc>
            </w:tr>
            <w:tr w14:paraId="7B0AD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375015DD">
                  <w:pPr>
                    <w:pStyle w:val="76"/>
                    <w:spacing w:before="24" w:after="24"/>
                    <w:rPr>
                      <w:rFonts w:ascii="Times New Roman"/>
                      <w:color w:val="auto"/>
                      <w:szCs w:val="21"/>
                    </w:rPr>
                  </w:pPr>
                  <w:r>
                    <w:rPr>
                      <w:rFonts w:ascii="Times New Roman"/>
                      <w:color w:val="auto"/>
                      <w:szCs w:val="21"/>
                    </w:rPr>
                    <w:t>4</w:t>
                  </w:r>
                </w:p>
              </w:tc>
              <w:tc>
                <w:tcPr>
                  <w:tcW w:w="3253" w:type="pct"/>
                  <w:vAlign w:val="center"/>
                </w:tcPr>
                <w:p w14:paraId="64679F05">
                  <w:pPr>
                    <w:pStyle w:val="90"/>
                    <w:jc w:val="both"/>
                    <w:rPr>
                      <w:rFonts w:cs="Times New Roman"/>
                      <w:color w:val="auto"/>
                      <w:szCs w:val="21"/>
                      <w:lang w:val="zh-CN"/>
                    </w:rPr>
                  </w:pPr>
                  <w:r>
                    <w:rPr>
                      <w:rFonts w:cs="Times New Roman"/>
                      <w:color w:val="auto"/>
                      <w:szCs w:val="21"/>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66" w:type="pct"/>
                  <w:vAlign w:val="center"/>
                </w:tcPr>
                <w:p w14:paraId="494D4250">
                  <w:pPr>
                    <w:pStyle w:val="90"/>
                    <w:jc w:val="both"/>
                    <w:rPr>
                      <w:rFonts w:cs="Times New Roman"/>
                      <w:color w:val="auto"/>
                      <w:szCs w:val="21"/>
                    </w:rPr>
                  </w:pPr>
                  <w:r>
                    <w:rPr>
                      <w:rFonts w:cs="Times New Roman"/>
                      <w:color w:val="auto"/>
                      <w:szCs w:val="21"/>
                    </w:rPr>
                    <w:t>本项目为胶合板制造项目，不涉及</w:t>
                  </w:r>
                  <w:r>
                    <w:rPr>
                      <w:rFonts w:cs="Times New Roman"/>
                      <w:color w:val="auto"/>
                      <w:szCs w:val="21"/>
                      <w:lang w:val="zh-CN"/>
                    </w:rPr>
                    <w:t>围湖造田、围海造地或围填</w:t>
                  </w:r>
                  <w:r>
                    <w:rPr>
                      <w:rFonts w:cs="Times New Roman"/>
                      <w:color w:val="auto"/>
                      <w:szCs w:val="21"/>
                    </w:rPr>
                    <w:t>等项目，不属于禁止建设项目</w:t>
                  </w:r>
                </w:p>
              </w:tc>
            </w:tr>
            <w:tr w14:paraId="7575F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1ABD0BC4">
                  <w:pPr>
                    <w:pStyle w:val="76"/>
                    <w:spacing w:before="24" w:after="24"/>
                    <w:rPr>
                      <w:rFonts w:ascii="Times New Roman"/>
                      <w:color w:val="auto"/>
                      <w:kern w:val="2"/>
                      <w:szCs w:val="21"/>
                    </w:rPr>
                  </w:pPr>
                  <w:r>
                    <w:rPr>
                      <w:rFonts w:ascii="Times New Roman"/>
                      <w:color w:val="auto"/>
                      <w:kern w:val="2"/>
                      <w:szCs w:val="21"/>
                    </w:rPr>
                    <w:t>5</w:t>
                  </w:r>
                </w:p>
              </w:tc>
              <w:tc>
                <w:tcPr>
                  <w:tcW w:w="3253" w:type="pct"/>
                  <w:vAlign w:val="center"/>
                </w:tcPr>
                <w:p w14:paraId="2A98F27C">
                  <w:pPr>
                    <w:pStyle w:val="90"/>
                    <w:jc w:val="both"/>
                    <w:rPr>
                      <w:rFonts w:cs="Times New Roman"/>
                      <w:color w:val="auto"/>
                      <w:szCs w:val="21"/>
                      <w:lang w:val="zh-CN"/>
                    </w:rPr>
                  </w:pPr>
                  <w:r>
                    <w:rPr>
                      <w:rFonts w:cs="Times New Roman"/>
                      <w:color w:val="auto"/>
                      <w:szCs w:val="21"/>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66" w:type="pct"/>
                  <w:vAlign w:val="center"/>
                </w:tcPr>
                <w:p w14:paraId="4F3EDF70">
                  <w:pPr>
                    <w:pStyle w:val="90"/>
                    <w:jc w:val="both"/>
                    <w:rPr>
                      <w:rFonts w:cs="Times New Roman"/>
                      <w:color w:val="auto"/>
                      <w:szCs w:val="21"/>
                    </w:rPr>
                  </w:pPr>
                  <w:r>
                    <w:rPr>
                      <w:rFonts w:cs="Times New Roman"/>
                      <w:color w:val="auto"/>
                      <w:szCs w:val="21"/>
                    </w:rPr>
                    <w:t>本项目所在位置不属于《长江岸线保护和开发利用总体规划》划定的岸线保护区及《全国重要江河湖泊水功能区划》划定的河段保护区、保留区。</w:t>
                  </w:r>
                </w:p>
              </w:tc>
            </w:tr>
            <w:tr w14:paraId="1B254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25118CEF">
                  <w:pPr>
                    <w:pStyle w:val="76"/>
                    <w:spacing w:before="24" w:after="24"/>
                    <w:rPr>
                      <w:rFonts w:ascii="Times New Roman"/>
                      <w:color w:val="auto"/>
                      <w:kern w:val="2"/>
                      <w:szCs w:val="21"/>
                    </w:rPr>
                  </w:pPr>
                  <w:r>
                    <w:rPr>
                      <w:rFonts w:ascii="Times New Roman"/>
                      <w:color w:val="auto"/>
                      <w:kern w:val="2"/>
                      <w:szCs w:val="21"/>
                    </w:rPr>
                    <w:t>6</w:t>
                  </w:r>
                </w:p>
              </w:tc>
              <w:tc>
                <w:tcPr>
                  <w:tcW w:w="3253" w:type="pct"/>
                  <w:vAlign w:val="center"/>
                </w:tcPr>
                <w:p w14:paraId="1745EC4F">
                  <w:pPr>
                    <w:pStyle w:val="76"/>
                    <w:spacing w:before="24" w:after="24"/>
                    <w:rPr>
                      <w:rFonts w:ascii="Times New Roman"/>
                      <w:color w:val="auto"/>
                      <w:kern w:val="2"/>
                      <w:szCs w:val="21"/>
                      <w:lang w:val="zh-CN"/>
                    </w:rPr>
                  </w:pPr>
                  <w:r>
                    <w:rPr>
                      <w:rFonts w:ascii="Times New Roman"/>
                      <w:color w:val="auto"/>
                      <w:kern w:val="2"/>
                      <w:szCs w:val="21"/>
                      <w:lang w:val="zh-CN"/>
                    </w:rPr>
                    <w:t>禁止未经许可在长江干支流及湖泊新设、改设或扩大排污口。</w:t>
                  </w:r>
                </w:p>
              </w:tc>
              <w:tc>
                <w:tcPr>
                  <w:tcW w:w="1266" w:type="pct"/>
                  <w:vAlign w:val="center"/>
                </w:tcPr>
                <w:p w14:paraId="6E01F76F">
                  <w:pPr>
                    <w:spacing w:before="24" w:after="24"/>
                    <w:jc w:val="center"/>
                    <w:rPr>
                      <w:color w:val="auto"/>
                      <w:szCs w:val="21"/>
                    </w:rPr>
                  </w:pPr>
                  <w:r>
                    <w:rPr>
                      <w:color w:val="auto"/>
                      <w:szCs w:val="21"/>
                    </w:rPr>
                    <w:t>不涉及</w:t>
                  </w:r>
                </w:p>
              </w:tc>
            </w:tr>
            <w:tr w14:paraId="345D2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4647C6A6">
                  <w:pPr>
                    <w:pStyle w:val="76"/>
                    <w:spacing w:before="24" w:after="24"/>
                    <w:rPr>
                      <w:rFonts w:ascii="Times New Roman"/>
                      <w:color w:val="auto"/>
                      <w:kern w:val="2"/>
                      <w:szCs w:val="21"/>
                    </w:rPr>
                  </w:pPr>
                  <w:r>
                    <w:rPr>
                      <w:rFonts w:ascii="Times New Roman"/>
                      <w:color w:val="auto"/>
                      <w:kern w:val="2"/>
                      <w:szCs w:val="21"/>
                    </w:rPr>
                    <w:t>7</w:t>
                  </w:r>
                </w:p>
              </w:tc>
              <w:tc>
                <w:tcPr>
                  <w:tcW w:w="3253" w:type="pct"/>
                  <w:vAlign w:val="center"/>
                </w:tcPr>
                <w:p w14:paraId="0BFD722B">
                  <w:pPr>
                    <w:pStyle w:val="76"/>
                    <w:spacing w:before="24" w:after="24"/>
                    <w:rPr>
                      <w:rFonts w:ascii="Times New Roman"/>
                      <w:color w:val="auto"/>
                      <w:kern w:val="2"/>
                      <w:szCs w:val="21"/>
                    </w:rPr>
                  </w:pPr>
                  <w:r>
                    <w:rPr>
                      <w:rFonts w:ascii="Times New Roman"/>
                      <w:color w:val="auto"/>
                      <w:kern w:val="2"/>
                      <w:szCs w:val="21"/>
                      <w:lang w:val="zh-CN"/>
                    </w:rPr>
                    <w:t>禁止在“一江一口两湖七河”和332个水生生物保护区开展生产性捕捞。</w:t>
                  </w:r>
                </w:p>
              </w:tc>
              <w:tc>
                <w:tcPr>
                  <w:tcW w:w="1266" w:type="pct"/>
                  <w:vAlign w:val="center"/>
                </w:tcPr>
                <w:p w14:paraId="695E3FFE">
                  <w:pPr>
                    <w:jc w:val="center"/>
                    <w:rPr>
                      <w:color w:val="auto"/>
                      <w:szCs w:val="21"/>
                    </w:rPr>
                  </w:pPr>
                  <w:r>
                    <w:rPr>
                      <w:color w:val="auto"/>
                      <w:szCs w:val="21"/>
                    </w:rPr>
                    <w:t>不涉及</w:t>
                  </w:r>
                </w:p>
              </w:tc>
            </w:tr>
            <w:tr w14:paraId="5228E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7C849158">
                  <w:pPr>
                    <w:pStyle w:val="76"/>
                    <w:spacing w:before="24" w:after="24"/>
                    <w:rPr>
                      <w:rFonts w:ascii="Times New Roman"/>
                      <w:color w:val="auto"/>
                      <w:kern w:val="2"/>
                      <w:szCs w:val="21"/>
                    </w:rPr>
                  </w:pPr>
                  <w:r>
                    <w:rPr>
                      <w:rFonts w:ascii="Times New Roman"/>
                      <w:color w:val="auto"/>
                      <w:kern w:val="2"/>
                      <w:szCs w:val="21"/>
                    </w:rPr>
                    <w:t>8</w:t>
                  </w:r>
                </w:p>
              </w:tc>
              <w:tc>
                <w:tcPr>
                  <w:tcW w:w="3253" w:type="pct"/>
                  <w:vAlign w:val="center"/>
                </w:tcPr>
                <w:p w14:paraId="7A4E3DFF">
                  <w:pPr>
                    <w:pStyle w:val="76"/>
                    <w:spacing w:before="24" w:after="24"/>
                    <w:rPr>
                      <w:rFonts w:ascii="Times New Roman"/>
                      <w:color w:val="auto"/>
                      <w:kern w:val="2"/>
                      <w:szCs w:val="21"/>
                    </w:rPr>
                  </w:pPr>
                  <w:r>
                    <w:rPr>
                      <w:rFonts w:ascii="Times New Roman"/>
                      <w:color w:val="auto"/>
                      <w:kern w:val="2"/>
                      <w:szCs w:val="21"/>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66" w:type="pct"/>
                  <w:vAlign w:val="center"/>
                </w:tcPr>
                <w:p w14:paraId="51FED0C1">
                  <w:pPr>
                    <w:spacing w:before="24" w:after="24"/>
                    <w:jc w:val="center"/>
                    <w:rPr>
                      <w:color w:val="auto"/>
                      <w:szCs w:val="21"/>
                    </w:rPr>
                  </w:pPr>
                  <w:r>
                    <w:rPr>
                      <w:color w:val="auto"/>
                      <w:szCs w:val="21"/>
                    </w:rPr>
                    <w:t>本项目不涉及</w:t>
                  </w:r>
                  <w:r>
                    <w:rPr>
                      <w:color w:val="auto"/>
                      <w:szCs w:val="21"/>
                      <w:lang w:val="zh-CN"/>
                    </w:rPr>
                    <w:t>长江干支流、重要湖泊岸线</w:t>
                  </w:r>
                </w:p>
              </w:tc>
            </w:tr>
            <w:tr w14:paraId="11EC7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47613B9C">
                  <w:pPr>
                    <w:pStyle w:val="76"/>
                    <w:spacing w:before="24" w:after="24"/>
                    <w:rPr>
                      <w:rFonts w:ascii="Times New Roman"/>
                      <w:color w:val="auto"/>
                      <w:szCs w:val="21"/>
                    </w:rPr>
                  </w:pPr>
                  <w:r>
                    <w:rPr>
                      <w:rFonts w:ascii="Times New Roman"/>
                      <w:color w:val="auto"/>
                      <w:szCs w:val="21"/>
                    </w:rPr>
                    <w:t>9</w:t>
                  </w:r>
                </w:p>
              </w:tc>
              <w:tc>
                <w:tcPr>
                  <w:tcW w:w="3253" w:type="pct"/>
                  <w:vAlign w:val="center"/>
                </w:tcPr>
                <w:p w14:paraId="30E72636">
                  <w:pPr>
                    <w:pStyle w:val="76"/>
                    <w:spacing w:before="24" w:after="24"/>
                    <w:rPr>
                      <w:rFonts w:ascii="Times New Roman"/>
                      <w:color w:val="auto"/>
                      <w:kern w:val="2"/>
                      <w:szCs w:val="21"/>
                    </w:rPr>
                  </w:pPr>
                  <w:r>
                    <w:rPr>
                      <w:rFonts w:ascii="Times New Roman"/>
                      <w:color w:val="auto"/>
                      <w:kern w:val="2"/>
                      <w:szCs w:val="21"/>
                      <w:lang w:val="zh-CN"/>
                    </w:rPr>
                    <w:t>禁止在合规园区外新建、扩建钢铁、石化、化工、焦化、建材、有色、制浆造纸等高污染项目</w:t>
                  </w:r>
                </w:p>
              </w:tc>
              <w:tc>
                <w:tcPr>
                  <w:tcW w:w="1266" w:type="pct"/>
                  <w:vAlign w:val="center"/>
                </w:tcPr>
                <w:p w14:paraId="024EF553">
                  <w:pPr>
                    <w:pStyle w:val="76"/>
                    <w:spacing w:before="24" w:after="24"/>
                    <w:rPr>
                      <w:rFonts w:ascii="Times New Roman"/>
                      <w:color w:val="auto"/>
                      <w:kern w:val="2"/>
                      <w:szCs w:val="21"/>
                    </w:rPr>
                  </w:pPr>
                  <w:r>
                    <w:rPr>
                      <w:rFonts w:ascii="Times New Roman"/>
                      <w:color w:val="auto"/>
                      <w:kern w:val="2"/>
                      <w:szCs w:val="21"/>
                    </w:rPr>
                    <w:t>本项目不属于</w:t>
                  </w:r>
                  <w:r>
                    <w:rPr>
                      <w:rFonts w:ascii="Times New Roman"/>
                      <w:color w:val="auto"/>
                      <w:kern w:val="2"/>
                      <w:szCs w:val="21"/>
                      <w:lang w:val="zh-CN"/>
                    </w:rPr>
                    <w:t>钢铁、石化、化工、焦化、建材、有色、制浆造纸等高污染项目</w:t>
                  </w:r>
                </w:p>
              </w:tc>
            </w:tr>
            <w:tr w14:paraId="26ADF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23AAF095">
                  <w:pPr>
                    <w:pStyle w:val="76"/>
                    <w:spacing w:before="24" w:after="24"/>
                    <w:rPr>
                      <w:rFonts w:ascii="Times New Roman"/>
                      <w:color w:val="auto"/>
                      <w:kern w:val="2"/>
                      <w:szCs w:val="21"/>
                    </w:rPr>
                  </w:pPr>
                  <w:r>
                    <w:rPr>
                      <w:rFonts w:ascii="Times New Roman"/>
                      <w:color w:val="auto"/>
                      <w:kern w:val="2"/>
                      <w:szCs w:val="21"/>
                    </w:rPr>
                    <w:t>10</w:t>
                  </w:r>
                </w:p>
              </w:tc>
              <w:tc>
                <w:tcPr>
                  <w:tcW w:w="3253" w:type="pct"/>
                  <w:vAlign w:val="center"/>
                </w:tcPr>
                <w:p w14:paraId="597E9440">
                  <w:pPr>
                    <w:pStyle w:val="76"/>
                    <w:spacing w:before="24" w:after="24"/>
                    <w:rPr>
                      <w:rFonts w:ascii="Times New Roman"/>
                      <w:color w:val="auto"/>
                      <w:kern w:val="2"/>
                      <w:szCs w:val="21"/>
                      <w:lang w:val="zh-CN"/>
                    </w:rPr>
                  </w:pPr>
                  <w:r>
                    <w:rPr>
                      <w:rFonts w:ascii="Times New Roman"/>
                      <w:color w:val="auto"/>
                      <w:kern w:val="2"/>
                      <w:szCs w:val="21"/>
                      <w:lang w:val="zh-CN"/>
                    </w:rPr>
                    <w:t>禁止新建、扩建不符合国家石化、现代煤化工等产业布局规划的项目。</w:t>
                  </w:r>
                </w:p>
              </w:tc>
              <w:tc>
                <w:tcPr>
                  <w:tcW w:w="1266" w:type="pct"/>
                  <w:vAlign w:val="center"/>
                </w:tcPr>
                <w:p w14:paraId="15B500C0">
                  <w:pPr>
                    <w:pStyle w:val="76"/>
                    <w:spacing w:before="24" w:after="24"/>
                    <w:rPr>
                      <w:rFonts w:ascii="Times New Roman"/>
                      <w:color w:val="auto"/>
                      <w:kern w:val="2"/>
                      <w:szCs w:val="21"/>
                      <w:lang w:val="zh-CN"/>
                    </w:rPr>
                  </w:pPr>
                  <w:r>
                    <w:rPr>
                      <w:rFonts w:ascii="Times New Roman"/>
                      <w:color w:val="auto"/>
                      <w:kern w:val="2"/>
                      <w:szCs w:val="21"/>
                      <w:lang w:val="zh-CN"/>
                    </w:rPr>
                    <w:t>本项目不属于石化、现代煤化工项目</w:t>
                  </w:r>
                </w:p>
              </w:tc>
            </w:tr>
            <w:tr w14:paraId="2B205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681398D1">
                  <w:pPr>
                    <w:pStyle w:val="76"/>
                    <w:spacing w:before="24" w:after="24"/>
                    <w:rPr>
                      <w:rFonts w:ascii="Times New Roman"/>
                      <w:color w:val="auto"/>
                      <w:kern w:val="2"/>
                      <w:szCs w:val="21"/>
                    </w:rPr>
                  </w:pPr>
                  <w:r>
                    <w:rPr>
                      <w:rFonts w:ascii="Times New Roman"/>
                      <w:color w:val="auto"/>
                      <w:kern w:val="2"/>
                      <w:szCs w:val="21"/>
                    </w:rPr>
                    <w:t>11</w:t>
                  </w:r>
                </w:p>
              </w:tc>
              <w:tc>
                <w:tcPr>
                  <w:tcW w:w="3253" w:type="pct"/>
                  <w:vAlign w:val="center"/>
                </w:tcPr>
                <w:p w14:paraId="3FE8A5E4">
                  <w:pPr>
                    <w:pStyle w:val="76"/>
                    <w:spacing w:before="24" w:after="24"/>
                    <w:rPr>
                      <w:rFonts w:ascii="Times New Roman"/>
                      <w:color w:val="auto"/>
                      <w:kern w:val="2"/>
                      <w:szCs w:val="21"/>
                      <w:lang w:val="zh-CN"/>
                    </w:rPr>
                  </w:pPr>
                  <w:r>
                    <w:rPr>
                      <w:rFonts w:ascii="Times New Roman"/>
                      <w:color w:val="auto"/>
                      <w:kern w:val="2"/>
                      <w:szCs w:val="21"/>
                      <w:lang w:val="zh-CN"/>
                    </w:rPr>
                    <w:t>禁止新建、扩建法律法规和相关政策明令禁止的落后产能项目。禁止新建、扩建不符合国家产能置换要求的严重过剩产能行业的项目。禁止新建、扩建不符合要求的高耗能高排放项目。</w:t>
                  </w:r>
                </w:p>
              </w:tc>
              <w:tc>
                <w:tcPr>
                  <w:tcW w:w="1266" w:type="pct"/>
                  <w:vAlign w:val="center"/>
                </w:tcPr>
                <w:p w14:paraId="207B191A">
                  <w:pPr>
                    <w:pStyle w:val="90"/>
                    <w:jc w:val="both"/>
                    <w:rPr>
                      <w:rFonts w:cs="Times New Roman"/>
                      <w:color w:val="auto"/>
                      <w:szCs w:val="21"/>
                    </w:rPr>
                  </w:pPr>
                  <w:r>
                    <w:rPr>
                      <w:rFonts w:cs="Times New Roman"/>
                      <w:color w:val="auto"/>
                      <w:szCs w:val="21"/>
                    </w:rPr>
                    <w:t>本项目不属于</w:t>
                  </w:r>
                  <w:r>
                    <w:rPr>
                      <w:rFonts w:cs="Times New Roman"/>
                      <w:color w:val="auto"/>
                      <w:szCs w:val="21"/>
                      <w:lang w:val="zh-CN"/>
                    </w:rPr>
                    <w:t>落后产能、严重过剩产能行业，</w:t>
                  </w:r>
                  <w:r>
                    <w:rPr>
                      <w:rFonts w:cs="Times New Roman"/>
                      <w:color w:val="auto"/>
                      <w:szCs w:val="21"/>
                    </w:rPr>
                    <w:t>不属于</w:t>
                  </w:r>
                  <w:r>
                    <w:rPr>
                      <w:rFonts w:cs="Times New Roman"/>
                      <w:color w:val="auto"/>
                      <w:szCs w:val="21"/>
                      <w:lang w:val="zh-CN"/>
                    </w:rPr>
                    <w:t>高耗能高排放项目</w:t>
                  </w:r>
                </w:p>
              </w:tc>
            </w:tr>
            <w:tr w14:paraId="388A0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14:paraId="57F6F3F5">
                  <w:pPr>
                    <w:pStyle w:val="76"/>
                    <w:spacing w:before="24" w:after="24"/>
                    <w:rPr>
                      <w:rFonts w:ascii="Times New Roman"/>
                      <w:color w:val="auto"/>
                      <w:kern w:val="2"/>
                      <w:szCs w:val="21"/>
                    </w:rPr>
                  </w:pPr>
                  <w:r>
                    <w:rPr>
                      <w:rFonts w:ascii="Times New Roman"/>
                      <w:color w:val="auto"/>
                      <w:kern w:val="2"/>
                      <w:szCs w:val="21"/>
                    </w:rPr>
                    <w:t>12</w:t>
                  </w:r>
                </w:p>
              </w:tc>
              <w:tc>
                <w:tcPr>
                  <w:tcW w:w="3253" w:type="pct"/>
                  <w:vAlign w:val="center"/>
                </w:tcPr>
                <w:p w14:paraId="04C3A1E6">
                  <w:pPr>
                    <w:pStyle w:val="76"/>
                    <w:spacing w:before="24" w:after="24"/>
                    <w:rPr>
                      <w:rFonts w:ascii="Times New Roman"/>
                      <w:color w:val="auto"/>
                      <w:kern w:val="2"/>
                      <w:szCs w:val="21"/>
                    </w:rPr>
                  </w:pPr>
                  <w:r>
                    <w:rPr>
                      <w:rFonts w:ascii="Times New Roman"/>
                      <w:color w:val="auto"/>
                      <w:kern w:val="2"/>
                      <w:szCs w:val="21"/>
                      <w:lang w:val="zh-CN"/>
                    </w:rPr>
                    <w:t>法律法规及相关政策文件有更加严格规定的从其规定。</w:t>
                  </w:r>
                </w:p>
              </w:tc>
              <w:tc>
                <w:tcPr>
                  <w:tcW w:w="1266" w:type="pct"/>
                  <w:vAlign w:val="center"/>
                </w:tcPr>
                <w:p w14:paraId="4E216850">
                  <w:pPr>
                    <w:pStyle w:val="90"/>
                    <w:jc w:val="both"/>
                    <w:rPr>
                      <w:rFonts w:cs="Times New Roman"/>
                      <w:color w:val="auto"/>
                      <w:szCs w:val="21"/>
                    </w:rPr>
                  </w:pPr>
                  <w:r>
                    <w:rPr>
                      <w:rFonts w:cs="Times New Roman"/>
                      <w:color w:val="auto"/>
                      <w:szCs w:val="21"/>
                    </w:rPr>
                    <w:t>本项目符合现行</w:t>
                  </w:r>
                  <w:r>
                    <w:rPr>
                      <w:rFonts w:cs="Times New Roman"/>
                      <w:color w:val="auto"/>
                      <w:szCs w:val="21"/>
                      <w:lang w:val="zh-CN"/>
                    </w:rPr>
                    <w:t>法律法规及相关政策文件</w:t>
                  </w:r>
                  <w:r>
                    <w:rPr>
                      <w:rFonts w:cs="Times New Roman"/>
                      <w:color w:val="auto"/>
                      <w:szCs w:val="21"/>
                    </w:rPr>
                    <w:t>规定</w:t>
                  </w:r>
                </w:p>
              </w:tc>
            </w:tr>
          </w:tbl>
          <w:p w14:paraId="1EEF3F91">
            <w:pPr>
              <w:adjustRightInd w:val="0"/>
              <w:snapToGrid w:val="0"/>
              <w:spacing w:before="120" w:beforeLines="50" w:line="360" w:lineRule="auto"/>
              <w:ind w:firstLine="480" w:firstLineChars="200"/>
              <w:rPr>
                <w:color w:val="auto"/>
              </w:rPr>
            </w:pPr>
            <w:r>
              <w:rPr>
                <w:rFonts w:eastAsiaTheme="minorEastAsia"/>
                <w:color w:val="auto"/>
                <w:sz w:val="24"/>
              </w:rPr>
              <w:t>综上所述，</w:t>
            </w:r>
            <w:r>
              <w:rPr>
                <w:rFonts w:hint="eastAsia" w:eastAsiaTheme="minorEastAsia"/>
                <w:color w:val="auto"/>
                <w:sz w:val="24"/>
              </w:rPr>
              <w:t>建设</w:t>
            </w:r>
            <w:r>
              <w:rPr>
                <w:rFonts w:eastAsiaTheme="minorEastAsia"/>
                <w:color w:val="auto"/>
                <w:sz w:val="24"/>
              </w:rPr>
              <w:t>项目符合“三线一单”的要求。</w:t>
            </w:r>
          </w:p>
          <w:p w14:paraId="7159EF9B">
            <w:pPr>
              <w:pStyle w:val="89"/>
              <w:spacing w:line="360" w:lineRule="auto"/>
              <w:ind w:firstLine="482"/>
              <w:jc w:val="left"/>
              <w:rPr>
                <w:b/>
                <w:color w:val="auto"/>
                <w:sz w:val="24"/>
              </w:rPr>
            </w:pPr>
            <w:bookmarkStart w:id="5" w:name="_Toc12943"/>
            <w:r>
              <w:rPr>
                <w:b/>
                <w:color w:val="auto"/>
                <w:sz w:val="24"/>
              </w:rPr>
              <w:t>3、其他相关生态环境保护法律法规、生态环境保护规划相符性分析</w:t>
            </w:r>
            <w:bookmarkEnd w:id="5"/>
          </w:p>
          <w:p w14:paraId="6BB8DFA6">
            <w:pPr>
              <w:pStyle w:val="89"/>
              <w:spacing w:line="360" w:lineRule="auto"/>
              <w:ind w:firstLine="0" w:firstLineChars="0"/>
              <w:jc w:val="left"/>
              <w:rPr>
                <w:b/>
                <w:color w:val="auto"/>
                <w:sz w:val="24"/>
              </w:rPr>
            </w:pPr>
            <w:r>
              <w:rPr>
                <w:b/>
                <w:color w:val="auto"/>
                <w:sz w:val="24"/>
              </w:rPr>
              <w:t>（1）与产业政策相符性分析</w:t>
            </w:r>
          </w:p>
          <w:p w14:paraId="08B5B9D3">
            <w:pPr>
              <w:spacing w:line="360" w:lineRule="auto"/>
              <w:ind w:firstLine="480" w:firstLineChars="200"/>
              <w:rPr>
                <w:color w:val="auto"/>
                <w:kern w:val="0"/>
                <w:sz w:val="24"/>
              </w:rPr>
            </w:pPr>
            <w:r>
              <w:rPr>
                <w:snapToGrid w:val="0"/>
                <w:color w:val="auto"/>
                <w:kern w:val="0"/>
                <w:sz w:val="24"/>
              </w:rPr>
              <w:t>本项目属于C2021胶合板制造，经查《产业结构调整目录（</w:t>
            </w:r>
            <w:r>
              <w:rPr>
                <w:rFonts w:eastAsiaTheme="minorEastAsia"/>
                <w:color w:val="auto"/>
                <w:sz w:val="24"/>
              </w:rPr>
              <w:t>20</w:t>
            </w:r>
            <w:r>
              <w:rPr>
                <w:rFonts w:hint="eastAsia" w:eastAsiaTheme="minorEastAsia"/>
                <w:color w:val="auto"/>
                <w:sz w:val="24"/>
              </w:rPr>
              <w:t>24</w:t>
            </w:r>
            <w:r>
              <w:rPr>
                <w:rFonts w:eastAsiaTheme="minorEastAsia"/>
                <w:color w:val="auto"/>
                <w:sz w:val="24"/>
              </w:rPr>
              <w:t>年本</w:t>
            </w:r>
            <w:r>
              <w:rPr>
                <w:snapToGrid w:val="0"/>
                <w:color w:val="auto"/>
                <w:kern w:val="0"/>
                <w:sz w:val="24"/>
              </w:rPr>
              <w:t>）》，本项目</w:t>
            </w:r>
            <w:r>
              <w:rPr>
                <w:rFonts w:hint="eastAsia"/>
                <w:snapToGrid w:val="0"/>
                <w:color w:val="auto"/>
                <w:kern w:val="0"/>
                <w:sz w:val="24"/>
              </w:rPr>
              <w:t>年加工</w:t>
            </w:r>
            <w:r>
              <w:rPr>
                <w:rFonts w:hint="eastAsia"/>
                <w:snapToGrid w:val="0"/>
                <w:color w:val="auto"/>
                <w:kern w:val="0"/>
                <w:sz w:val="24"/>
                <w:lang w:eastAsia="zh-CN"/>
              </w:rPr>
              <w:t>玩具胶合板</w:t>
            </w:r>
            <w:r>
              <w:rPr>
                <w:rFonts w:hint="eastAsia"/>
                <w:snapToGrid w:val="0"/>
                <w:color w:val="auto"/>
                <w:kern w:val="0"/>
                <w:sz w:val="24"/>
              </w:rPr>
              <w:t>11000立方米</w:t>
            </w:r>
            <w:r>
              <w:rPr>
                <w:rFonts w:hint="eastAsia"/>
                <w:color w:val="auto"/>
                <w:sz w:val="24"/>
              </w:rPr>
              <w:t>，</w:t>
            </w:r>
            <w:r>
              <w:rPr>
                <w:snapToGrid w:val="0"/>
                <w:color w:val="auto"/>
                <w:kern w:val="0"/>
                <w:sz w:val="24"/>
              </w:rPr>
              <w:t>不属于其</w:t>
            </w:r>
            <w:r>
              <w:rPr>
                <w:color w:val="auto"/>
                <w:kern w:val="0"/>
                <w:sz w:val="24"/>
              </w:rPr>
              <w:t>中限制类</w:t>
            </w:r>
            <w:r>
              <w:rPr>
                <w:rFonts w:hint="eastAsia"/>
                <w:color w:val="auto"/>
                <w:kern w:val="0"/>
                <w:sz w:val="24"/>
              </w:rPr>
              <w:t>中</w:t>
            </w:r>
            <w:r>
              <w:rPr>
                <w:color w:val="auto"/>
                <w:kern w:val="0"/>
                <w:sz w:val="24"/>
              </w:rPr>
              <w:t>1万立方米/年以下的胶合板和细木工板生产线，为允许类。因此，本项目的建设符合国家产业政策。</w:t>
            </w:r>
          </w:p>
          <w:p w14:paraId="0E7DDD74">
            <w:pPr>
              <w:spacing w:line="360" w:lineRule="auto"/>
              <w:ind w:firstLine="480" w:firstLineChars="200"/>
              <w:rPr>
                <w:snapToGrid w:val="0"/>
                <w:color w:val="auto"/>
                <w:kern w:val="0"/>
                <w:sz w:val="24"/>
              </w:rPr>
            </w:pPr>
            <w:r>
              <w:rPr>
                <w:bCs/>
                <w:color w:val="auto"/>
                <w:sz w:val="24"/>
              </w:rPr>
              <w:t>项目不属于《江苏省产业结构调整限制、淘汰和禁止目录》（2018年发布，苏办发</w:t>
            </w:r>
            <w:r>
              <w:rPr>
                <w:rFonts w:hint="eastAsia"/>
                <w:bCs/>
                <w:color w:val="auto"/>
                <w:sz w:val="24"/>
              </w:rPr>
              <w:t>〔2018〕32号</w:t>
            </w:r>
            <w:r>
              <w:rPr>
                <w:bCs/>
                <w:color w:val="auto"/>
                <w:sz w:val="24"/>
              </w:rPr>
              <w:t>文附件3）中的限制类、淘汰类、禁止类项目；不属于《产业发展与转移指导目录（2018年本）》中江苏省引导逐步调整退出的产业和引导不再承接的产业。</w:t>
            </w:r>
            <w:r>
              <w:rPr>
                <w:snapToGrid w:val="0"/>
                <w:color w:val="auto"/>
                <w:kern w:val="0"/>
                <w:sz w:val="24"/>
              </w:rPr>
              <w:t>本项目不属于鼓励类、限制类和淘汰类，为允许类。因此，本项目的建设符合地方产业政策。</w:t>
            </w:r>
          </w:p>
          <w:p w14:paraId="6D157411">
            <w:pPr>
              <w:pStyle w:val="89"/>
              <w:spacing w:line="360" w:lineRule="auto"/>
              <w:ind w:firstLine="0" w:firstLineChars="0"/>
              <w:jc w:val="left"/>
              <w:rPr>
                <w:b/>
                <w:color w:val="auto"/>
                <w:sz w:val="24"/>
              </w:rPr>
            </w:pPr>
            <w:r>
              <w:rPr>
                <w:b/>
                <w:color w:val="auto"/>
                <w:sz w:val="24"/>
              </w:rPr>
              <w:t>（2）选址合理性分析</w:t>
            </w:r>
          </w:p>
          <w:p w14:paraId="0F6C39E1">
            <w:pPr>
              <w:spacing w:line="360" w:lineRule="auto"/>
              <w:ind w:firstLine="480" w:firstLineChars="200"/>
              <w:rPr>
                <w:color w:val="auto"/>
                <w:sz w:val="24"/>
              </w:rPr>
            </w:pPr>
            <w:r>
              <w:rPr>
                <w:color w:val="auto"/>
                <w:sz w:val="24"/>
                <w:szCs w:val="22"/>
              </w:rPr>
              <w:t>本项目位于</w:t>
            </w:r>
            <w:r>
              <w:rPr>
                <w:color w:val="auto"/>
                <w:sz w:val="24"/>
                <w:lang w:val="zh-CN"/>
              </w:rPr>
              <w:t>江苏省淮安市涟水县</w:t>
            </w:r>
            <w:r>
              <w:rPr>
                <w:rFonts w:hint="eastAsia"/>
                <w:color w:val="auto"/>
                <w:sz w:val="24"/>
                <w:lang w:val="zh-CN"/>
              </w:rPr>
              <w:t>高沟</w:t>
            </w:r>
            <w:r>
              <w:rPr>
                <w:color w:val="auto"/>
                <w:sz w:val="24"/>
                <w:lang w:val="zh-CN"/>
              </w:rPr>
              <w:t>镇</w:t>
            </w:r>
            <w:r>
              <w:rPr>
                <w:rFonts w:hint="eastAsia"/>
                <w:color w:val="auto"/>
                <w:sz w:val="24"/>
                <w:lang w:val="zh-CN"/>
              </w:rPr>
              <w:t>高秀</w:t>
            </w:r>
            <w:r>
              <w:rPr>
                <w:color w:val="auto"/>
                <w:sz w:val="24"/>
                <w:lang w:val="zh-CN"/>
              </w:rPr>
              <w:t>工业集中区</w:t>
            </w:r>
            <w:r>
              <w:rPr>
                <w:color w:val="auto"/>
                <w:sz w:val="24"/>
                <w:szCs w:val="22"/>
              </w:rPr>
              <w:t>，属于工业用地，</w:t>
            </w:r>
            <w:r>
              <w:rPr>
                <w:color w:val="auto"/>
                <w:sz w:val="24"/>
              </w:rPr>
              <w:t>用地性质不属于《禁止用地项目名录（2012年本）</w:t>
            </w:r>
            <w:r>
              <w:rPr>
                <w:rFonts w:hint="eastAsia"/>
                <w:color w:val="auto"/>
                <w:sz w:val="24"/>
                <w:lang w:eastAsia="zh-CN"/>
              </w:rPr>
              <w:t>》《</w:t>
            </w:r>
            <w:r>
              <w:rPr>
                <w:color w:val="auto"/>
                <w:sz w:val="24"/>
              </w:rPr>
              <w:t>禁止限制用地项目目录（2012年本）</w:t>
            </w:r>
            <w:r>
              <w:rPr>
                <w:rFonts w:hint="eastAsia"/>
                <w:color w:val="auto"/>
                <w:sz w:val="24"/>
                <w:lang w:eastAsia="zh-CN"/>
              </w:rPr>
              <w:t>》《</w:t>
            </w:r>
            <w:r>
              <w:rPr>
                <w:color w:val="auto"/>
                <w:sz w:val="24"/>
              </w:rPr>
              <w:t>江苏省限制用地项目目录（2013年本）</w:t>
            </w:r>
            <w:r>
              <w:rPr>
                <w:rFonts w:hint="eastAsia"/>
                <w:color w:val="auto"/>
                <w:sz w:val="24"/>
                <w:lang w:eastAsia="zh-CN"/>
              </w:rPr>
              <w:t>》《</w:t>
            </w:r>
            <w:r>
              <w:rPr>
                <w:color w:val="auto"/>
                <w:sz w:val="24"/>
              </w:rPr>
              <w:t>江苏省禁止用地项目目录（2013年本）》中的“限制类”和“禁止类”，</w:t>
            </w:r>
            <w:r>
              <w:rPr>
                <w:bCs/>
                <w:color w:val="auto"/>
                <w:sz w:val="24"/>
              </w:rPr>
              <w:t>因此符合国家及地方的用地规划。</w:t>
            </w:r>
          </w:p>
          <w:p w14:paraId="54E58C36">
            <w:pPr>
              <w:pStyle w:val="89"/>
              <w:spacing w:line="360" w:lineRule="auto"/>
              <w:ind w:firstLine="0" w:firstLineChars="0"/>
              <w:jc w:val="left"/>
              <w:rPr>
                <w:b/>
                <w:color w:val="auto"/>
                <w:sz w:val="24"/>
              </w:rPr>
            </w:pPr>
            <w:r>
              <w:rPr>
                <w:b/>
                <w:color w:val="auto"/>
                <w:sz w:val="24"/>
              </w:rPr>
              <w:t>（3）与</w:t>
            </w:r>
            <w:r>
              <w:rPr>
                <w:rFonts w:eastAsiaTheme="minorEastAsia"/>
                <w:b/>
                <w:color w:val="auto"/>
                <w:sz w:val="24"/>
              </w:rPr>
              <w:t>相关环保法规、指南等相符性</w:t>
            </w:r>
            <w:r>
              <w:rPr>
                <w:b/>
                <w:color w:val="auto"/>
                <w:sz w:val="24"/>
              </w:rPr>
              <w:t>分析</w:t>
            </w:r>
          </w:p>
          <w:p w14:paraId="7827A314">
            <w:pPr>
              <w:tabs>
                <w:tab w:val="left" w:pos="1095"/>
              </w:tabs>
              <w:ind w:firstLine="480" w:firstLineChars="200"/>
              <w:rPr>
                <w:rFonts w:eastAsiaTheme="minorEastAsia"/>
                <w:b/>
                <w:bCs/>
                <w:color w:val="auto"/>
                <w:sz w:val="24"/>
              </w:rPr>
            </w:pPr>
            <w:r>
              <w:rPr>
                <w:rFonts w:hint="eastAsia" w:eastAsiaTheme="minorEastAsia"/>
                <w:color w:val="auto"/>
                <w:sz w:val="24"/>
              </w:rPr>
              <w:t>建设</w:t>
            </w:r>
            <w:r>
              <w:rPr>
                <w:rFonts w:eastAsiaTheme="minorEastAsia"/>
                <w:color w:val="auto"/>
                <w:sz w:val="24"/>
              </w:rPr>
              <w:t>项目与国家、江苏省、淮安市相关环保法规、指南相符性分析，见表</w:t>
            </w:r>
            <w:r>
              <w:rPr>
                <w:rFonts w:hint="eastAsia" w:eastAsiaTheme="minorEastAsia"/>
                <w:color w:val="auto"/>
                <w:sz w:val="24"/>
              </w:rPr>
              <w:t>1.3-10</w:t>
            </w:r>
            <w:r>
              <w:rPr>
                <w:rFonts w:eastAsiaTheme="minorEastAsia"/>
                <w:color w:val="auto"/>
                <w:sz w:val="24"/>
              </w:rPr>
              <w:t>。</w:t>
            </w:r>
          </w:p>
          <w:p w14:paraId="7F4CA5FF">
            <w:pPr>
              <w:adjustRightInd w:val="0"/>
              <w:snapToGrid w:val="0"/>
              <w:jc w:val="center"/>
              <w:rPr>
                <w:rFonts w:eastAsiaTheme="minorEastAsia"/>
                <w:b/>
                <w:bCs/>
                <w:color w:val="auto"/>
                <w:sz w:val="24"/>
              </w:rPr>
            </w:pPr>
            <w:r>
              <w:rPr>
                <w:rFonts w:eastAsiaTheme="minorEastAsia"/>
                <w:b/>
                <w:bCs/>
                <w:color w:val="auto"/>
                <w:sz w:val="24"/>
              </w:rPr>
              <w:t>表</w:t>
            </w:r>
            <w:r>
              <w:rPr>
                <w:rFonts w:hint="eastAsia" w:eastAsiaTheme="minorEastAsia"/>
                <w:b/>
                <w:bCs/>
                <w:color w:val="auto"/>
                <w:sz w:val="24"/>
              </w:rPr>
              <w:t>1.3-10 建设</w:t>
            </w:r>
            <w:r>
              <w:rPr>
                <w:rFonts w:eastAsiaTheme="minorEastAsia"/>
                <w:b/>
                <w:bCs/>
                <w:color w:val="auto"/>
                <w:sz w:val="24"/>
              </w:rPr>
              <w:t>项目与相关环保法规、指南等相符性分析表</w:t>
            </w:r>
          </w:p>
          <w:tbl>
            <w:tblPr>
              <w:tblStyle w:val="42"/>
              <w:tblpPr w:leftFromText="180" w:rightFromText="180" w:vertAnchor="text" w:horzAnchor="page" w:tblpX="-757" w:tblpY="320"/>
              <w:tblOverlap w:val="never"/>
              <w:tblW w:w="505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783"/>
              <w:gridCol w:w="278"/>
              <w:gridCol w:w="2930"/>
              <w:gridCol w:w="3048"/>
              <w:gridCol w:w="477"/>
            </w:tblGrid>
            <w:tr w14:paraId="6F36FA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1046" w:type="pct"/>
                  <w:vAlign w:val="center"/>
                </w:tcPr>
                <w:p w14:paraId="5B71B5DD">
                  <w:pPr>
                    <w:adjustRightInd w:val="0"/>
                    <w:snapToGrid w:val="0"/>
                    <w:jc w:val="center"/>
                    <w:rPr>
                      <w:rFonts w:eastAsiaTheme="minorEastAsia"/>
                      <w:b/>
                      <w:color w:val="auto"/>
                      <w:szCs w:val="21"/>
                    </w:rPr>
                  </w:pPr>
                  <w:r>
                    <w:rPr>
                      <w:rFonts w:eastAsiaTheme="minorEastAsia"/>
                      <w:b/>
                      <w:color w:val="auto"/>
                      <w:szCs w:val="21"/>
                    </w:rPr>
                    <w:t>文件名称</w:t>
                  </w:r>
                </w:p>
              </w:tc>
              <w:tc>
                <w:tcPr>
                  <w:tcW w:w="1884" w:type="pct"/>
                  <w:gridSpan w:val="2"/>
                  <w:vAlign w:val="center"/>
                </w:tcPr>
                <w:p w14:paraId="74412F1B">
                  <w:pPr>
                    <w:adjustRightInd w:val="0"/>
                    <w:snapToGrid w:val="0"/>
                    <w:jc w:val="center"/>
                    <w:rPr>
                      <w:rFonts w:eastAsiaTheme="minorEastAsia"/>
                      <w:b/>
                      <w:color w:val="auto"/>
                      <w:szCs w:val="21"/>
                    </w:rPr>
                  </w:pPr>
                  <w:r>
                    <w:rPr>
                      <w:rFonts w:eastAsiaTheme="minorEastAsia"/>
                      <w:b/>
                      <w:color w:val="auto"/>
                      <w:szCs w:val="21"/>
                    </w:rPr>
                    <w:t>要求</w:t>
                  </w:r>
                </w:p>
              </w:tc>
              <w:tc>
                <w:tcPr>
                  <w:tcW w:w="1789" w:type="pct"/>
                  <w:vAlign w:val="center"/>
                </w:tcPr>
                <w:p w14:paraId="200F3C3C">
                  <w:pPr>
                    <w:adjustRightInd w:val="0"/>
                    <w:snapToGrid w:val="0"/>
                    <w:jc w:val="center"/>
                    <w:rPr>
                      <w:rFonts w:eastAsiaTheme="minorEastAsia"/>
                      <w:b/>
                      <w:color w:val="auto"/>
                      <w:szCs w:val="21"/>
                    </w:rPr>
                  </w:pPr>
                  <w:r>
                    <w:rPr>
                      <w:rFonts w:hint="eastAsia" w:eastAsiaTheme="minorEastAsia"/>
                      <w:b/>
                      <w:color w:val="auto"/>
                      <w:szCs w:val="21"/>
                    </w:rPr>
                    <w:t>建设</w:t>
                  </w:r>
                  <w:r>
                    <w:rPr>
                      <w:rFonts w:eastAsiaTheme="minorEastAsia"/>
                      <w:b/>
                      <w:color w:val="auto"/>
                      <w:szCs w:val="21"/>
                    </w:rPr>
                    <w:t>项目情况</w:t>
                  </w:r>
                </w:p>
              </w:tc>
              <w:tc>
                <w:tcPr>
                  <w:tcW w:w="280" w:type="pct"/>
                  <w:vAlign w:val="center"/>
                </w:tcPr>
                <w:p w14:paraId="60F6D718">
                  <w:pPr>
                    <w:adjustRightInd w:val="0"/>
                    <w:snapToGrid w:val="0"/>
                    <w:jc w:val="center"/>
                    <w:rPr>
                      <w:rFonts w:eastAsiaTheme="minorEastAsia"/>
                      <w:b/>
                      <w:color w:val="auto"/>
                      <w:szCs w:val="21"/>
                    </w:rPr>
                  </w:pPr>
                  <w:r>
                    <w:rPr>
                      <w:rFonts w:eastAsiaTheme="minorEastAsia"/>
                      <w:b/>
                      <w:color w:val="auto"/>
                      <w:szCs w:val="21"/>
                    </w:rPr>
                    <w:t>相符性判定</w:t>
                  </w:r>
                </w:p>
              </w:tc>
            </w:tr>
            <w:tr w14:paraId="04DCF0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restart"/>
                  <w:vAlign w:val="center"/>
                </w:tcPr>
                <w:p w14:paraId="2A211F59">
                  <w:pPr>
                    <w:autoSpaceDE w:val="0"/>
                    <w:autoSpaceDN w:val="0"/>
                    <w:adjustRightInd w:val="0"/>
                    <w:jc w:val="center"/>
                    <w:rPr>
                      <w:rFonts w:eastAsiaTheme="minorEastAsia"/>
                      <w:color w:val="auto"/>
                      <w:kern w:val="0"/>
                      <w:szCs w:val="21"/>
                    </w:rPr>
                  </w:pPr>
                  <w:r>
                    <w:rPr>
                      <w:color w:val="auto"/>
                      <w:szCs w:val="21"/>
                    </w:rPr>
                    <w:t>《挥发性有机物无组织排放控制标准》（GB37822-2019）</w:t>
                  </w:r>
                </w:p>
              </w:tc>
              <w:tc>
                <w:tcPr>
                  <w:tcW w:w="1884" w:type="pct"/>
                  <w:gridSpan w:val="2"/>
                  <w:vAlign w:val="center"/>
                </w:tcPr>
                <w:p w14:paraId="75F1401A">
                  <w:pPr>
                    <w:adjustRightInd w:val="0"/>
                    <w:snapToGrid w:val="0"/>
                    <w:jc w:val="left"/>
                    <w:rPr>
                      <w:rFonts w:eastAsiaTheme="minorEastAsia"/>
                      <w:color w:val="auto"/>
                      <w:szCs w:val="21"/>
                    </w:rPr>
                  </w:pPr>
                  <w:r>
                    <w:rPr>
                      <w:color w:val="auto"/>
                      <w:szCs w:val="21"/>
                    </w:rPr>
                    <w:t>企业应考虑生产工艺、操作方式、废气性质、处理方法等因</w:t>
                  </w:r>
                  <w:r>
                    <w:rPr>
                      <w:rFonts w:hint="eastAsia"/>
                      <w:color w:val="auto"/>
                      <w:szCs w:val="21"/>
                    </w:rPr>
                    <w:t>素</w:t>
                  </w:r>
                  <w:r>
                    <w:rPr>
                      <w:color w:val="auto"/>
                      <w:szCs w:val="21"/>
                    </w:rPr>
                    <w:t>，对VOCs废气进行分类收集。</w:t>
                  </w:r>
                </w:p>
              </w:tc>
              <w:tc>
                <w:tcPr>
                  <w:tcW w:w="1789" w:type="pct"/>
                  <w:vMerge w:val="restart"/>
                  <w:vAlign w:val="center"/>
                </w:tcPr>
                <w:p w14:paraId="02C0D6C9">
                  <w:pPr>
                    <w:adjustRightInd w:val="0"/>
                    <w:snapToGrid w:val="0"/>
                    <w:jc w:val="left"/>
                    <w:rPr>
                      <w:rFonts w:eastAsiaTheme="minorEastAsia"/>
                      <w:color w:val="auto"/>
                      <w:kern w:val="0"/>
                      <w:szCs w:val="21"/>
                    </w:rPr>
                  </w:pPr>
                  <w:r>
                    <w:rPr>
                      <w:rFonts w:hint="eastAsia" w:eastAsiaTheme="minorEastAsia"/>
                      <w:color w:val="auto"/>
                      <w:kern w:val="0"/>
                      <w:szCs w:val="21"/>
                    </w:rPr>
                    <w:t>建设项目涂胶、调胶、热压废气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hint="eastAsia"/>
                      <w:color w:val="auto"/>
                      <w:szCs w:val="21"/>
                    </w:rPr>
                    <w:t>。</w:t>
                  </w:r>
                  <w:r>
                    <w:rPr>
                      <w:color w:val="auto"/>
                      <w:szCs w:val="21"/>
                    </w:rPr>
                    <w:t>废气收集处理系统符合GB/T16758的规定。</w:t>
                  </w:r>
                </w:p>
              </w:tc>
              <w:tc>
                <w:tcPr>
                  <w:tcW w:w="280" w:type="pct"/>
                  <w:vAlign w:val="center"/>
                </w:tcPr>
                <w:p w14:paraId="5F142BF9">
                  <w:pPr>
                    <w:adjustRightInd w:val="0"/>
                    <w:snapToGrid w:val="0"/>
                    <w:jc w:val="center"/>
                    <w:rPr>
                      <w:rFonts w:eastAsiaTheme="minorEastAsia"/>
                      <w:color w:val="auto"/>
                      <w:szCs w:val="21"/>
                    </w:rPr>
                  </w:pPr>
                  <w:r>
                    <w:rPr>
                      <w:rFonts w:eastAsiaTheme="minorEastAsia"/>
                      <w:color w:val="auto"/>
                      <w:szCs w:val="21"/>
                    </w:rPr>
                    <w:t>符合</w:t>
                  </w:r>
                </w:p>
              </w:tc>
            </w:tr>
            <w:tr w14:paraId="2AAC73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4C027DB5">
                  <w:pPr>
                    <w:autoSpaceDE w:val="0"/>
                    <w:autoSpaceDN w:val="0"/>
                    <w:adjustRightInd w:val="0"/>
                    <w:jc w:val="center"/>
                    <w:rPr>
                      <w:rFonts w:eastAsiaTheme="minorEastAsia"/>
                      <w:color w:val="auto"/>
                      <w:kern w:val="0"/>
                      <w:szCs w:val="21"/>
                    </w:rPr>
                  </w:pPr>
                </w:p>
              </w:tc>
              <w:tc>
                <w:tcPr>
                  <w:tcW w:w="1884" w:type="pct"/>
                  <w:gridSpan w:val="2"/>
                  <w:vAlign w:val="center"/>
                </w:tcPr>
                <w:p w14:paraId="2DA8A802">
                  <w:pPr>
                    <w:adjustRightInd w:val="0"/>
                    <w:snapToGrid w:val="0"/>
                    <w:jc w:val="left"/>
                    <w:rPr>
                      <w:rFonts w:eastAsiaTheme="minorEastAsia"/>
                      <w:color w:val="auto"/>
                      <w:szCs w:val="21"/>
                    </w:rPr>
                  </w:pPr>
                  <w:r>
                    <w:rPr>
                      <w:color w:val="auto"/>
                      <w:szCs w:val="21"/>
                    </w:rPr>
                    <w:t>废气收集系统排风罩（集气罩）的设置应符合GB/T 16758的规定。</w:t>
                  </w:r>
                </w:p>
              </w:tc>
              <w:tc>
                <w:tcPr>
                  <w:tcW w:w="1789" w:type="pct"/>
                  <w:vMerge w:val="continue"/>
                  <w:vAlign w:val="center"/>
                </w:tcPr>
                <w:p w14:paraId="75596BD6">
                  <w:pPr>
                    <w:adjustRightInd w:val="0"/>
                    <w:snapToGrid w:val="0"/>
                    <w:jc w:val="left"/>
                    <w:rPr>
                      <w:rFonts w:eastAsiaTheme="minorEastAsia"/>
                      <w:color w:val="auto"/>
                      <w:kern w:val="0"/>
                      <w:szCs w:val="21"/>
                    </w:rPr>
                  </w:pPr>
                </w:p>
              </w:tc>
              <w:tc>
                <w:tcPr>
                  <w:tcW w:w="280" w:type="pct"/>
                  <w:vAlign w:val="center"/>
                </w:tcPr>
                <w:p w14:paraId="5ACF1E49">
                  <w:pPr>
                    <w:adjustRightInd w:val="0"/>
                    <w:snapToGrid w:val="0"/>
                    <w:jc w:val="center"/>
                    <w:rPr>
                      <w:rFonts w:eastAsiaTheme="minorEastAsia"/>
                      <w:color w:val="auto"/>
                      <w:szCs w:val="21"/>
                    </w:rPr>
                  </w:pPr>
                  <w:r>
                    <w:rPr>
                      <w:rFonts w:eastAsiaTheme="minorEastAsia"/>
                      <w:color w:val="auto"/>
                      <w:szCs w:val="21"/>
                    </w:rPr>
                    <w:t>符合</w:t>
                  </w:r>
                </w:p>
              </w:tc>
            </w:tr>
            <w:tr w14:paraId="3B672D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0C92360">
                  <w:pPr>
                    <w:autoSpaceDE w:val="0"/>
                    <w:autoSpaceDN w:val="0"/>
                    <w:adjustRightInd w:val="0"/>
                    <w:jc w:val="center"/>
                    <w:rPr>
                      <w:rFonts w:eastAsiaTheme="minorEastAsia"/>
                      <w:color w:val="auto"/>
                      <w:kern w:val="0"/>
                      <w:szCs w:val="21"/>
                    </w:rPr>
                  </w:pPr>
                </w:p>
              </w:tc>
              <w:tc>
                <w:tcPr>
                  <w:tcW w:w="1884" w:type="pct"/>
                  <w:gridSpan w:val="2"/>
                  <w:vAlign w:val="center"/>
                </w:tcPr>
                <w:p w14:paraId="67E21482">
                  <w:pPr>
                    <w:adjustRightInd w:val="0"/>
                    <w:snapToGrid w:val="0"/>
                    <w:jc w:val="left"/>
                    <w:rPr>
                      <w:rFonts w:eastAsiaTheme="minorEastAsia"/>
                      <w:color w:val="auto"/>
                      <w:szCs w:val="21"/>
                    </w:rPr>
                  </w:pPr>
                  <w:r>
                    <w:rPr>
                      <w:color w:val="auto"/>
                      <w:szCs w:val="21"/>
                    </w:rPr>
                    <w:t>废气收集系统的输送管道应密闭。</w:t>
                  </w:r>
                </w:p>
              </w:tc>
              <w:tc>
                <w:tcPr>
                  <w:tcW w:w="1789" w:type="pct"/>
                  <w:vAlign w:val="center"/>
                </w:tcPr>
                <w:p w14:paraId="08B22D2F">
                  <w:pPr>
                    <w:adjustRightInd w:val="0"/>
                    <w:snapToGrid w:val="0"/>
                    <w:jc w:val="left"/>
                    <w:rPr>
                      <w:rFonts w:eastAsiaTheme="minorEastAsia"/>
                      <w:color w:val="auto"/>
                      <w:kern w:val="0"/>
                      <w:szCs w:val="21"/>
                    </w:rPr>
                  </w:pPr>
                  <w:r>
                    <w:rPr>
                      <w:rFonts w:hint="eastAsia" w:eastAsiaTheme="minorEastAsia"/>
                      <w:color w:val="auto"/>
                      <w:kern w:val="0"/>
                      <w:szCs w:val="21"/>
                    </w:rPr>
                    <w:t>建设项目有机废气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w:t>
                  </w:r>
                  <w:r>
                    <w:rPr>
                      <w:rFonts w:hint="eastAsia" w:eastAsiaTheme="minorEastAsia"/>
                      <w:color w:val="auto"/>
                      <w:kern w:val="0"/>
                      <w:szCs w:val="21"/>
                    </w:rPr>
                    <w:t>后经密闭管道输送至二级活性炭设备处理废气。</w:t>
                  </w:r>
                </w:p>
              </w:tc>
              <w:tc>
                <w:tcPr>
                  <w:tcW w:w="280" w:type="pct"/>
                  <w:vAlign w:val="center"/>
                </w:tcPr>
                <w:p w14:paraId="2164A9CE">
                  <w:pPr>
                    <w:adjustRightInd w:val="0"/>
                    <w:snapToGrid w:val="0"/>
                    <w:jc w:val="center"/>
                    <w:rPr>
                      <w:rFonts w:eastAsiaTheme="minorEastAsia"/>
                      <w:color w:val="auto"/>
                      <w:szCs w:val="21"/>
                    </w:rPr>
                  </w:pPr>
                  <w:r>
                    <w:rPr>
                      <w:rFonts w:eastAsiaTheme="minorEastAsia"/>
                      <w:color w:val="auto"/>
                      <w:szCs w:val="21"/>
                    </w:rPr>
                    <w:t>符合</w:t>
                  </w:r>
                </w:p>
              </w:tc>
            </w:tr>
            <w:tr w14:paraId="474F2C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19C9A48">
                  <w:pPr>
                    <w:autoSpaceDE w:val="0"/>
                    <w:autoSpaceDN w:val="0"/>
                    <w:adjustRightInd w:val="0"/>
                    <w:jc w:val="center"/>
                    <w:rPr>
                      <w:rFonts w:eastAsiaTheme="minorEastAsia"/>
                      <w:color w:val="auto"/>
                      <w:kern w:val="0"/>
                      <w:szCs w:val="21"/>
                    </w:rPr>
                  </w:pPr>
                </w:p>
              </w:tc>
              <w:tc>
                <w:tcPr>
                  <w:tcW w:w="1884" w:type="pct"/>
                  <w:gridSpan w:val="2"/>
                  <w:vAlign w:val="center"/>
                </w:tcPr>
                <w:p w14:paraId="6016E751">
                  <w:pPr>
                    <w:adjustRightInd w:val="0"/>
                    <w:snapToGrid w:val="0"/>
                    <w:rPr>
                      <w:rFonts w:eastAsiaTheme="minorEastAsia"/>
                      <w:color w:val="auto"/>
                      <w:szCs w:val="21"/>
                    </w:rPr>
                  </w:pPr>
                  <w:r>
                    <w:rPr>
                      <w:color w:val="auto"/>
                      <w:szCs w:val="21"/>
                    </w:rPr>
                    <w:t>收集处理系统污染物排放应符合GB16297或相关行业排放标准的规定。</w:t>
                  </w:r>
                </w:p>
              </w:tc>
              <w:tc>
                <w:tcPr>
                  <w:tcW w:w="1789" w:type="pct"/>
                  <w:vAlign w:val="center"/>
                </w:tcPr>
                <w:p w14:paraId="0FE7048D">
                  <w:pPr>
                    <w:adjustRightInd w:val="0"/>
                    <w:snapToGrid w:val="0"/>
                    <w:jc w:val="left"/>
                    <w:rPr>
                      <w:rFonts w:eastAsiaTheme="minorEastAsia"/>
                      <w:color w:val="auto"/>
                      <w:kern w:val="0"/>
                      <w:szCs w:val="21"/>
                    </w:rPr>
                  </w:pPr>
                  <w:r>
                    <w:rPr>
                      <w:rFonts w:hint="eastAsia" w:eastAsiaTheme="minorEastAsia"/>
                      <w:color w:val="auto"/>
                      <w:kern w:val="0"/>
                      <w:szCs w:val="21"/>
                    </w:rPr>
                    <w:t>建设项目涂胶、调胶、热压废气收集处理</w:t>
                  </w:r>
                  <w:r>
                    <w:rPr>
                      <w:rFonts w:hint="eastAsia" w:eastAsiaTheme="minorEastAsia"/>
                      <w:color w:val="auto"/>
                      <w:szCs w:val="21"/>
                    </w:rPr>
                    <w:t>满足</w:t>
                  </w:r>
                  <w:r>
                    <w:rPr>
                      <w:color w:val="auto"/>
                      <w:szCs w:val="21"/>
                    </w:rPr>
                    <w:t>江苏省地方标准《木材加工行业大气污染物排放标准》（DB32</w:t>
                  </w:r>
                  <w:r>
                    <w:rPr>
                      <w:rFonts w:hint="eastAsia"/>
                      <w:color w:val="auto"/>
                      <w:szCs w:val="21"/>
                    </w:rPr>
                    <w:t>/</w:t>
                  </w:r>
                  <w:r>
                    <w:rPr>
                      <w:color w:val="auto"/>
                      <w:szCs w:val="21"/>
                    </w:rPr>
                    <w:t>4436-2022）</w:t>
                  </w:r>
                  <w:r>
                    <w:rPr>
                      <w:rFonts w:hint="eastAsia"/>
                      <w:color w:val="auto"/>
                      <w:szCs w:val="21"/>
                    </w:rPr>
                    <w:t>中相应标准要求。</w:t>
                  </w:r>
                </w:p>
              </w:tc>
              <w:tc>
                <w:tcPr>
                  <w:tcW w:w="280" w:type="pct"/>
                  <w:vAlign w:val="center"/>
                </w:tcPr>
                <w:p w14:paraId="7CDB6621">
                  <w:pPr>
                    <w:adjustRightInd w:val="0"/>
                    <w:snapToGrid w:val="0"/>
                    <w:jc w:val="center"/>
                    <w:rPr>
                      <w:rFonts w:eastAsiaTheme="minorEastAsia"/>
                      <w:color w:val="auto"/>
                      <w:szCs w:val="21"/>
                    </w:rPr>
                  </w:pPr>
                  <w:r>
                    <w:rPr>
                      <w:rFonts w:eastAsiaTheme="minorEastAsia"/>
                      <w:color w:val="auto"/>
                      <w:szCs w:val="21"/>
                    </w:rPr>
                    <w:t>符合</w:t>
                  </w:r>
                </w:p>
              </w:tc>
            </w:tr>
            <w:tr w14:paraId="39C84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1046" w:type="pct"/>
                  <w:vMerge w:val="continue"/>
                  <w:vAlign w:val="center"/>
                </w:tcPr>
                <w:p w14:paraId="498448C3">
                  <w:pPr>
                    <w:autoSpaceDE w:val="0"/>
                    <w:autoSpaceDN w:val="0"/>
                    <w:adjustRightInd w:val="0"/>
                    <w:jc w:val="center"/>
                    <w:rPr>
                      <w:rFonts w:eastAsiaTheme="minorEastAsia"/>
                      <w:color w:val="auto"/>
                      <w:kern w:val="0"/>
                      <w:szCs w:val="21"/>
                    </w:rPr>
                  </w:pPr>
                </w:p>
              </w:tc>
              <w:tc>
                <w:tcPr>
                  <w:tcW w:w="1884" w:type="pct"/>
                  <w:gridSpan w:val="2"/>
                  <w:vAlign w:val="center"/>
                </w:tcPr>
                <w:p w14:paraId="02B4C399">
                  <w:pPr>
                    <w:adjustRightInd w:val="0"/>
                    <w:snapToGrid w:val="0"/>
                    <w:jc w:val="left"/>
                    <w:rPr>
                      <w:rFonts w:eastAsiaTheme="minorEastAsia"/>
                      <w:color w:val="auto"/>
                      <w:szCs w:val="21"/>
                    </w:rPr>
                  </w:pPr>
                  <w:r>
                    <w:rPr>
                      <w:color w:val="auto"/>
                      <w:szCs w:val="21"/>
                    </w:rPr>
                    <w:t>收集的废气中NMHC初始排放速率≥3kg/h时，应配置VOCs处理设施，处理效率不应低于80%；对于重点地区，收集的废气NMHC初始排放速率≥2kg/h时，应配置VOCs处理设施，处理效率不应低于80%；采用的原辅材料符合国家有关低VOCs含量产品规定的除外。</w:t>
                  </w:r>
                </w:p>
              </w:tc>
              <w:tc>
                <w:tcPr>
                  <w:tcW w:w="1789" w:type="pct"/>
                  <w:vAlign w:val="center"/>
                </w:tcPr>
                <w:p w14:paraId="3D8024B8">
                  <w:pPr>
                    <w:adjustRightInd w:val="0"/>
                    <w:snapToGrid w:val="0"/>
                    <w:jc w:val="left"/>
                    <w:rPr>
                      <w:rFonts w:eastAsiaTheme="minorEastAsia"/>
                      <w:color w:val="auto"/>
                      <w:szCs w:val="21"/>
                    </w:rPr>
                  </w:pPr>
                  <w:r>
                    <w:rPr>
                      <w:color w:val="auto"/>
                      <w:szCs w:val="21"/>
                    </w:rPr>
                    <w:t>建设项目位于重点地区，NMHC初始排放速率</w:t>
                  </w:r>
                  <w:r>
                    <w:rPr>
                      <w:rFonts w:hint="eastAsia"/>
                      <w:color w:val="auto"/>
                      <w:szCs w:val="21"/>
                    </w:rPr>
                    <w:t>0.</w:t>
                  </w:r>
                  <w:r>
                    <w:rPr>
                      <w:rFonts w:hint="eastAsia"/>
                      <w:color w:val="auto"/>
                      <w:szCs w:val="21"/>
                      <w:lang w:val="en-US" w:eastAsia="zh-CN"/>
                    </w:rPr>
                    <w:t>0286</w:t>
                  </w:r>
                  <w:r>
                    <w:rPr>
                      <w:color w:val="auto"/>
                      <w:szCs w:val="21"/>
                    </w:rPr>
                    <w:t>kg/h，为减少有机废气的排放，</w:t>
                  </w:r>
                  <w:r>
                    <w:rPr>
                      <w:rFonts w:hint="eastAsia" w:eastAsiaTheme="minorEastAsia"/>
                      <w:color w:val="auto"/>
                      <w:kern w:val="0"/>
                      <w:szCs w:val="21"/>
                    </w:rPr>
                    <w:t>建设项目涂胶、调胶、热压废气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eastAsiaTheme="minorEastAsia"/>
                      <w:color w:val="auto"/>
                      <w:szCs w:val="21"/>
                    </w:rPr>
                    <w:t>。</w:t>
                  </w:r>
                </w:p>
                <w:p w14:paraId="32685EC0">
                  <w:pPr>
                    <w:adjustRightInd w:val="0"/>
                    <w:snapToGrid w:val="0"/>
                    <w:jc w:val="left"/>
                    <w:rPr>
                      <w:rFonts w:hint="eastAsia" w:eastAsia="宋体"/>
                      <w:color w:val="auto"/>
                      <w:kern w:val="0"/>
                      <w:szCs w:val="21"/>
                      <w:lang w:eastAsia="zh-CN"/>
                    </w:rPr>
                  </w:pPr>
                  <w:r>
                    <w:rPr>
                      <w:rFonts w:eastAsiaTheme="minorEastAsia"/>
                      <w:color w:val="auto"/>
                      <w:szCs w:val="21"/>
                    </w:rPr>
                    <w:t>采用符合标准的低VOCs胶黏剂，从源头减少VOCs产生量</w:t>
                  </w:r>
                  <w:r>
                    <w:rPr>
                      <w:color w:val="auto"/>
                      <w:szCs w:val="21"/>
                    </w:rPr>
                    <w:t>。</w:t>
                  </w:r>
                  <w:r>
                    <w:rPr>
                      <w:rFonts w:hint="eastAsia"/>
                      <w:color w:val="auto"/>
                      <w:szCs w:val="21"/>
                      <w:lang w:eastAsia="zh-CN"/>
                    </w:rPr>
                    <w:t>废气的收集密闭管道输送，废气应收尽收。</w:t>
                  </w:r>
                </w:p>
              </w:tc>
              <w:tc>
                <w:tcPr>
                  <w:tcW w:w="280" w:type="pct"/>
                  <w:vAlign w:val="center"/>
                </w:tcPr>
                <w:p w14:paraId="7D52EB0A">
                  <w:pPr>
                    <w:adjustRightInd w:val="0"/>
                    <w:snapToGrid w:val="0"/>
                    <w:jc w:val="center"/>
                    <w:rPr>
                      <w:rFonts w:eastAsiaTheme="minorEastAsia"/>
                      <w:color w:val="auto"/>
                      <w:szCs w:val="21"/>
                    </w:rPr>
                  </w:pPr>
                  <w:r>
                    <w:rPr>
                      <w:rFonts w:eastAsiaTheme="minorEastAsia"/>
                      <w:color w:val="auto"/>
                      <w:szCs w:val="21"/>
                    </w:rPr>
                    <w:t>符合</w:t>
                  </w:r>
                </w:p>
              </w:tc>
            </w:tr>
            <w:tr w14:paraId="33D57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1FBB1549">
                  <w:pPr>
                    <w:autoSpaceDE w:val="0"/>
                    <w:autoSpaceDN w:val="0"/>
                    <w:adjustRightInd w:val="0"/>
                    <w:jc w:val="center"/>
                    <w:rPr>
                      <w:rFonts w:eastAsiaTheme="minorEastAsia"/>
                      <w:color w:val="auto"/>
                      <w:kern w:val="0"/>
                      <w:szCs w:val="21"/>
                    </w:rPr>
                  </w:pPr>
                </w:p>
              </w:tc>
              <w:tc>
                <w:tcPr>
                  <w:tcW w:w="1884" w:type="pct"/>
                  <w:gridSpan w:val="2"/>
                  <w:vAlign w:val="center"/>
                </w:tcPr>
                <w:p w14:paraId="0E9C0E7C">
                  <w:pPr>
                    <w:adjustRightInd w:val="0"/>
                    <w:snapToGrid w:val="0"/>
                    <w:jc w:val="left"/>
                    <w:rPr>
                      <w:rFonts w:eastAsiaTheme="minorEastAsia"/>
                      <w:color w:val="auto"/>
                      <w:szCs w:val="21"/>
                    </w:rPr>
                  </w:pPr>
                  <w:r>
                    <w:rPr>
                      <w:color w:val="auto"/>
                      <w:szCs w:val="21"/>
                    </w:rPr>
                    <w:t>排气筒高度不低于15m（因安全考虑或有特殊工艺要求的除外），具体高度以及与周围建筑物的相对高度关系应根据环境影响评价文件确定。</w:t>
                  </w:r>
                </w:p>
              </w:tc>
              <w:tc>
                <w:tcPr>
                  <w:tcW w:w="1789" w:type="pct"/>
                  <w:vAlign w:val="center"/>
                </w:tcPr>
                <w:p w14:paraId="3EE53F43">
                  <w:pPr>
                    <w:adjustRightInd w:val="0"/>
                    <w:snapToGrid w:val="0"/>
                    <w:jc w:val="left"/>
                    <w:rPr>
                      <w:rFonts w:eastAsiaTheme="minorEastAsia"/>
                      <w:color w:val="auto"/>
                      <w:kern w:val="0"/>
                      <w:szCs w:val="21"/>
                    </w:rPr>
                  </w:pPr>
                  <w:r>
                    <w:rPr>
                      <w:color w:val="auto"/>
                      <w:szCs w:val="21"/>
                    </w:rPr>
                    <w:t>建设项目排气筒高度</w:t>
                  </w:r>
                  <w:r>
                    <w:rPr>
                      <w:rFonts w:hint="eastAsia"/>
                      <w:color w:val="auto"/>
                      <w:szCs w:val="21"/>
                    </w:rPr>
                    <w:t>为</w:t>
                  </w:r>
                  <w:r>
                    <w:rPr>
                      <w:color w:val="auto"/>
                      <w:szCs w:val="21"/>
                    </w:rPr>
                    <w:t>15m。</w:t>
                  </w:r>
                </w:p>
              </w:tc>
              <w:tc>
                <w:tcPr>
                  <w:tcW w:w="280" w:type="pct"/>
                  <w:vAlign w:val="center"/>
                </w:tcPr>
                <w:p w14:paraId="516C54B3">
                  <w:pPr>
                    <w:adjustRightInd w:val="0"/>
                    <w:snapToGrid w:val="0"/>
                    <w:jc w:val="center"/>
                    <w:rPr>
                      <w:rFonts w:eastAsiaTheme="minorEastAsia"/>
                      <w:color w:val="auto"/>
                      <w:szCs w:val="21"/>
                    </w:rPr>
                  </w:pPr>
                  <w:r>
                    <w:rPr>
                      <w:rFonts w:eastAsiaTheme="minorEastAsia"/>
                      <w:color w:val="auto"/>
                      <w:szCs w:val="21"/>
                    </w:rPr>
                    <w:t>符合</w:t>
                  </w:r>
                </w:p>
              </w:tc>
            </w:tr>
            <w:tr w14:paraId="043063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restart"/>
                  <w:vAlign w:val="center"/>
                </w:tcPr>
                <w:p w14:paraId="18572271">
                  <w:pPr>
                    <w:autoSpaceDE w:val="0"/>
                    <w:autoSpaceDN w:val="0"/>
                    <w:adjustRightInd w:val="0"/>
                    <w:jc w:val="center"/>
                    <w:rPr>
                      <w:rFonts w:eastAsiaTheme="minorEastAsia"/>
                      <w:color w:val="auto"/>
                      <w:kern w:val="0"/>
                      <w:szCs w:val="21"/>
                    </w:rPr>
                  </w:pPr>
                  <w:r>
                    <w:rPr>
                      <w:color w:val="auto"/>
                      <w:szCs w:val="21"/>
                    </w:rPr>
                    <w:t>《关于印发</w:t>
                  </w:r>
                  <w:r>
                    <w:rPr>
                      <w:rFonts w:hint="eastAsia"/>
                      <w:color w:val="auto"/>
                      <w:szCs w:val="21"/>
                      <w:lang w:eastAsia="zh-CN"/>
                    </w:rPr>
                    <w:t>〈</w:t>
                  </w:r>
                  <w:r>
                    <w:rPr>
                      <w:color w:val="auto"/>
                      <w:szCs w:val="21"/>
                    </w:rPr>
                    <w:t>重点行业挥发性有机物综合治理方案</w:t>
                  </w:r>
                  <w:r>
                    <w:rPr>
                      <w:rFonts w:hint="eastAsia"/>
                      <w:color w:val="auto"/>
                      <w:szCs w:val="21"/>
                      <w:lang w:eastAsia="zh-CN"/>
                    </w:rPr>
                    <w:t>〉</w:t>
                  </w:r>
                  <w:r>
                    <w:rPr>
                      <w:color w:val="auto"/>
                      <w:szCs w:val="21"/>
                    </w:rPr>
                    <w:t>的通知》</w:t>
                  </w:r>
                  <w:r>
                    <w:rPr>
                      <w:bCs/>
                      <w:color w:val="auto"/>
                      <w:szCs w:val="21"/>
                    </w:rPr>
                    <w:t>（环大气</w:t>
                  </w:r>
                  <w:r>
                    <w:rPr>
                      <w:rFonts w:hint="eastAsia"/>
                      <w:bCs/>
                      <w:color w:val="auto"/>
                      <w:szCs w:val="21"/>
                      <w:lang w:eastAsia="zh-CN"/>
                    </w:rPr>
                    <w:t>〔2019〕53号</w:t>
                  </w:r>
                  <w:r>
                    <w:rPr>
                      <w:bCs/>
                      <w:color w:val="auto"/>
                      <w:szCs w:val="21"/>
                    </w:rPr>
                    <w:t>）</w:t>
                  </w:r>
                </w:p>
              </w:tc>
              <w:tc>
                <w:tcPr>
                  <w:tcW w:w="1884" w:type="pct"/>
                  <w:gridSpan w:val="2"/>
                  <w:vAlign w:val="center"/>
                </w:tcPr>
                <w:p w14:paraId="6ED5E1F8">
                  <w:pPr>
                    <w:adjustRightInd w:val="0"/>
                    <w:snapToGrid w:val="0"/>
                    <w:jc w:val="left"/>
                    <w:rPr>
                      <w:color w:val="auto"/>
                      <w:szCs w:val="21"/>
                    </w:rPr>
                  </w:pPr>
                  <w:r>
                    <w:rPr>
                      <w:color w:val="auto"/>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52BE7514">
                  <w:pPr>
                    <w:adjustRightInd w:val="0"/>
                    <w:snapToGrid w:val="0"/>
                    <w:jc w:val="left"/>
                    <w:rPr>
                      <w:rFonts w:eastAsiaTheme="minorEastAsia"/>
                      <w:color w:val="auto"/>
                      <w:szCs w:val="21"/>
                    </w:rPr>
                  </w:pPr>
                  <w:r>
                    <w:rPr>
                      <w:color w:val="auto"/>
                      <w:szCs w:val="21"/>
                    </w:rPr>
                    <w:t>提高废气收集率。遵循“应收尽收、分质收集”的原则，科学设计废气收集系统，将无组织排放转变为有组织排放进行控制。</w:t>
                  </w:r>
                </w:p>
              </w:tc>
              <w:tc>
                <w:tcPr>
                  <w:tcW w:w="1789" w:type="pct"/>
                  <w:vAlign w:val="center"/>
                </w:tcPr>
                <w:p w14:paraId="02684D9E">
                  <w:pPr>
                    <w:adjustRightInd w:val="0"/>
                    <w:snapToGrid w:val="0"/>
                    <w:jc w:val="left"/>
                    <w:rPr>
                      <w:rFonts w:eastAsiaTheme="minorEastAsia"/>
                      <w:color w:val="auto"/>
                      <w:kern w:val="0"/>
                      <w:szCs w:val="21"/>
                    </w:rPr>
                  </w:pPr>
                  <w:r>
                    <w:rPr>
                      <w:rFonts w:eastAsiaTheme="minorEastAsia"/>
                      <w:color w:val="auto"/>
                      <w:szCs w:val="21"/>
                    </w:rPr>
                    <w:t>建设项目使用的</w:t>
                  </w:r>
                  <w:r>
                    <w:rPr>
                      <w:rFonts w:hint="eastAsia" w:eastAsiaTheme="minorEastAsia"/>
                      <w:color w:val="auto"/>
                      <w:szCs w:val="21"/>
                    </w:rPr>
                    <w:t>脲醛胶</w:t>
                  </w:r>
                  <w:r>
                    <w:rPr>
                      <w:rFonts w:eastAsiaTheme="minorEastAsia"/>
                      <w:color w:val="auto"/>
                      <w:szCs w:val="21"/>
                    </w:rPr>
                    <w:t>密闭</w:t>
                  </w:r>
                  <w:r>
                    <w:rPr>
                      <w:rFonts w:hint="eastAsia" w:eastAsiaTheme="minorEastAsia"/>
                      <w:color w:val="auto"/>
                      <w:szCs w:val="21"/>
                      <w:lang w:eastAsia="zh-CN"/>
                    </w:rPr>
                    <w:t>桶装</w:t>
                  </w:r>
                  <w:r>
                    <w:rPr>
                      <w:rFonts w:hint="eastAsia" w:eastAsiaTheme="minorEastAsia"/>
                      <w:color w:val="auto"/>
                      <w:szCs w:val="21"/>
                    </w:rPr>
                    <w:t>置于化学品库</w:t>
                  </w:r>
                  <w:r>
                    <w:rPr>
                      <w:rFonts w:hint="eastAsia" w:eastAsiaTheme="minorEastAsia"/>
                      <w:color w:val="auto"/>
                      <w:szCs w:val="21"/>
                      <w:lang w:eastAsia="zh-CN"/>
                    </w:rPr>
                    <w:t>，生产线下使用脲醛胶需在集气罩下进行，保证废气应收尽收，使用完脲醛胶及时关紧桶盖。</w:t>
                  </w:r>
                  <w:r>
                    <w:rPr>
                      <w:rFonts w:hint="eastAsia" w:eastAsiaTheme="minorEastAsia"/>
                      <w:color w:val="auto"/>
                      <w:kern w:val="0"/>
                      <w:szCs w:val="21"/>
                    </w:rPr>
                    <w:t>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color w:val="auto"/>
                      <w:szCs w:val="21"/>
                    </w:rPr>
                    <w:t>为90</w:t>
                  </w:r>
                  <w:r>
                    <w:rPr>
                      <w:color w:val="auto"/>
                      <w:szCs w:val="21"/>
                    </w:rPr>
                    <w:t>%</w:t>
                  </w:r>
                  <w:r>
                    <w:rPr>
                      <w:rFonts w:hint="eastAsia"/>
                      <w:color w:val="auto"/>
                      <w:szCs w:val="21"/>
                    </w:rPr>
                    <w:t>，</w:t>
                  </w:r>
                  <w:r>
                    <w:rPr>
                      <w:rFonts w:eastAsiaTheme="minorEastAsia"/>
                      <w:color w:val="auto"/>
                      <w:szCs w:val="21"/>
                    </w:rPr>
                    <w:t>有效削减非甲烷总烃无组织排放。</w:t>
                  </w:r>
                </w:p>
              </w:tc>
              <w:tc>
                <w:tcPr>
                  <w:tcW w:w="280" w:type="pct"/>
                  <w:vAlign w:val="center"/>
                </w:tcPr>
                <w:p w14:paraId="300ABD88">
                  <w:pPr>
                    <w:adjustRightInd w:val="0"/>
                    <w:snapToGrid w:val="0"/>
                    <w:jc w:val="center"/>
                    <w:rPr>
                      <w:rFonts w:eastAsiaTheme="minorEastAsia"/>
                      <w:color w:val="auto"/>
                      <w:szCs w:val="21"/>
                    </w:rPr>
                  </w:pPr>
                  <w:r>
                    <w:rPr>
                      <w:rFonts w:eastAsiaTheme="minorEastAsia"/>
                      <w:color w:val="auto"/>
                      <w:szCs w:val="21"/>
                    </w:rPr>
                    <w:t>符合</w:t>
                  </w:r>
                </w:p>
              </w:tc>
            </w:tr>
            <w:tr w14:paraId="45E72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1046" w:type="pct"/>
                  <w:vMerge w:val="continue"/>
                  <w:vAlign w:val="center"/>
                </w:tcPr>
                <w:p w14:paraId="17194AF4">
                  <w:pPr>
                    <w:autoSpaceDE w:val="0"/>
                    <w:autoSpaceDN w:val="0"/>
                    <w:adjustRightInd w:val="0"/>
                    <w:jc w:val="center"/>
                    <w:rPr>
                      <w:rFonts w:eastAsiaTheme="minorEastAsia"/>
                      <w:color w:val="auto"/>
                      <w:kern w:val="0"/>
                      <w:szCs w:val="21"/>
                    </w:rPr>
                  </w:pPr>
                </w:p>
              </w:tc>
              <w:tc>
                <w:tcPr>
                  <w:tcW w:w="1884" w:type="pct"/>
                  <w:gridSpan w:val="2"/>
                  <w:vAlign w:val="center"/>
                </w:tcPr>
                <w:p w14:paraId="587BDBFE">
                  <w:pPr>
                    <w:adjustRightInd w:val="0"/>
                    <w:snapToGrid w:val="0"/>
                    <w:jc w:val="left"/>
                    <w:rPr>
                      <w:rFonts w:eastAsiaTheme="minorEastAsia"/>
                      <w:color w:val="auto"/>
                      <w:kern w:val="0"/>
                      <w:szCs w:val="21"/>
                    </w:rPr>
                  </w:pPr>
                  <w:r>
                    <w:rPr>
                      <w:color w:val="auto"/>
                      <w:szCs w:val="21"/>
                    </w:rPr>
                    <w:t>企业新建治污设施或对现有治污设施实施改造，应依据排放废气的浓度、组分、风量，温度、湿度、压力，以及生产工况等，合理选择治理技术。鼓励企业采用多种技术的组合工艺，提高VOCs治理效率。</w:t>
                  </w:r>
                </w:p>
              </w:tc>
              <w:tc>
                <w:tcPr>
                  <w:tcW w:w="1789" w:type="pct"/>
                  <w:vAlign w:val="center"/>
                </w:tcPr>
                <w:p w14:paraId="2F33B595">
                  <w:pPr>
                    <w:adjustRightInd w:val="0"/>
                    <w:snapToGrid w:val="0"/>
                    <w:jc w:val="left"/>
                    <w:rPr>
                      <w:color w:val="auto"/>
                      <w:kern w:val="0"/>
                      <w:szCs w:val="21"/>
                    </w:rPr>
                  </w:pPr>
                  <w:r>
                    <w:rPr>
                      <w:rFonts w:hint="eastAsia" w:eastAsiaTheme="minorEastAsia"/>
                      <w:color w:val="auto"/>
                      <w:kern w:val="0"/>
                      <w:szCs w:val="21"/>
                    </w:rPr>
                    <w:t>建设项目涂胶、调胶、热压废气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hint="eastAsia"/>
                      <w:color w:val="auto"/>
                      <w:szCs w:val="21"/>
                    </w:rPr>
                    <w:t>。</w:t>
                  </w:r>
                </w:p>
              </w:tc>
              <w:tc>
                <w:tcPr>
                  <w:tcW w:w="280" w:type="pct"/>
                  <w:vAlign w:val="center"/>
                </w:tcPr>
                <w:p w14:paraId="41443BB9">
                  <w:pPr>
                    <w:adjustRightInd w:val="0"/>
                    <w:snapToGrid w:val="0"/>
                    <w:jc w:val="center"/>
                    <w:rPr>
                      <w:rFonts w:eastAsiaTheme="minorEastAsia"/>
                      <w:color w:val="auto"/>
                      <w:szCs w:val="21"/>
                    </w:rPr>
                  </w:pPr>
                  <w:r>
                    <w:rPr>
                      <w:rFonts w:eastAsiaTheme="minorEastAsia"/>
                      <w:color w:val="auto"/>
                      <w:szCs w:val="21"/>
                    </w:rPr>
                    <w:t>符合</w:t>
                  </w:r>
                </w:p>
              </w:tc>
            </w:tr>
            <w:tr w14:paraId="17291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1FCCDAAB">
                  <w:pPr>
                    <w:autoSpaceDE w:val="0"/>
                    <w:autoSpaceDN w:val="0"/>
                    <w:adjustRightInd w:val="0"/>
                    <w:jc w:val="center"/>
                    <w:rPr>
                      <w:rFonts w:eastAsiaTheme="minorEastAsia"/>
                      <w:color w:val="auto"/>
                      <w:kern w:val="0"/>
                      <w:szCs w:val="21"/>
                    </w:rPr>
                  </w:pPr>
                </w:p>
              </w:tc>
              <w:tc>
                <w:tcPr>
                  <w:tcW w:w="1884" w:type="pct"/>
                  <w:gridSpan w:val="2"/>
                  <w:vAlign w:val="center"/>
                </w:tcPr>
                <w:p w14:paraId="75E985EE">
                  <w:pPr>
                    <w:adjustRightInd w:val="0"/>
                    <w:snapToGrid w:val="0"/>
                    <w:jc w:val="left"/>
                    <w:rPr>
                      <w:rFonts w:eastAsiaTheme="minorEastAsia"/>
                      <w:color w:val="auto"/>
                      <w:kern w:val="0"/>
                      <w:szCs w:val="21"/>
                    </w:rPr>
                  </w:pPr>
                  <w:r>
                    <w:rPr>
                      <w:color w:val="auto"/>
                      <w:szCs w:val="21"/>
                    </w:rPr>
                    <w:t>规范工程设计。采用吸附处理工艺的，应满足《吸附法工业有机废气治理工程技术规范》要求：废气温度宜低于40℃；预处理产生的粉尘和废渣以及更换后的过滤材料、吸附剂和催化剂的处理应符合国家固体废弃物处理与处置的相关规定。</w:t>
                  </w:r>
                </w:p>
              </w:tc>
              <w:tc>
                <w:tcPr>
                  <w:tcW w:w="1789" w:type="pct"/>
                  <w:vAlign w:val="center"/>
                </w:tcPr>
                <w:p w14:paraId="60384B33">
                  <w:pPr>
                    <w:adjustRightInd w:val="0"/>
                    <w:snapToGrid w:val="0"/>
                    <w:jc w:val="left"/>
                    <w:rPr>
                      <w:rFonts w:eastAsiaTheme="minorEastAsia"/>
                      <w:color w:val="auto"/>
                      <w:kern w:val="0"/>
                      <w:szCs w:val="21"/>
                    </w:rPr>
                  </w:pPr>
                  <w:r>
                    <w:rPr>
                      <w:rFonts w:hint="eastAsia" w:eastAsiaTheme="minorEastAsia"/>
                      <w:color w:val="auto"/>
                      <w:kern w:val="0"/>
                      <w:szCs w:val="21"/>
                    </w:rPr>
                    <w:t>建设项目涂胶、调胶、热压</w:t>
                  </w:r>
                  <w:r>
                    <w:rPr>
                      <w:rFonts w:eastAsiaTheme="minorEastAsia"/>
                      <w:color w:val="auto"/>
                      <w:szCs w:val="21"/>
                    </w:rPr>
                    <w:t>工序</w:t>
                  </w:r>
                  <w:r>
                    <w:rPr>
                      <w:rFonts w:eastAsiaTheme="minorEastAsia"/>
                      <w:color w:val="auto"/>
                      <w:kern w:val="0"/>
                      <w:szCs w:val="21"/>
                    </w:rPr>
                    <w:t>产生的</w:t>
                  </w:r>
                  <w:r>
                    <w:rPr>
                      <w:rFonts w:hint="eastAsia" w:eastAsiaTheme="minorEastAsia"/>
                      <w:color w:val="auto"/>
                      <w:kern w:val="0"/>
                      <w:szCs w:val="21"/>
                    </w:rPr>
                    <w:t>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收集后采用二级活性炭吸附装置处理进入活性炭吸附装置的气体温度低于40℃；产生的二次污染物废活性炭委托有资质单位进行安全处置</w:t>
                  </w:r>
                  <w:r>
                    <w:rPr>
                      <w:rFonts w:hint="eastAsia" w:eastAsiaTheme="minorEastAsia"/>
                      <w:color w:val="auto"/>
                      <w:szCs w:val="21"/>
                    </w:rPr>
                    <w:t>，</w:t>
                  </w:r>
                  <w:r>
                    <w:rPr>
                      <w:rFonts w:eastAsiaTheme="minorEastAsia"/>
                      <w:color w:val="auto"/>
                      <w:szCs w:val="21"/>
                    </w:rPr>
                    <w:t>零排放。</w:t>
                  </w:r>
                </w:p>
              </w:tc>
              <w:tc>
                <w:tcPr>
                  <w:tcW w:w="280" w:type="pct"/>
                  <w:vAlign w:val="center"/>
                </w:tcPr>
                <w:p w14:paraId="126AB756">
                  <w:pPr>
                    <w:adjustRightInd w:val="0"/>
                    <w:snapToGrid w:val="0"/>
                    <w:jc w:val="center"/>
                    <w:rPr>
                      <w:rFonts w:eastAsiaTheme="minorEastAsia"/>
                      <w:color w:val="auto"/>
                      <w:szCs w:val="21"/>
                    </w:rPr>
                  </w:pPr>
                  <w:r>
                    <w:rPr>
                      <w:rFonts w:eastAsiaTheme="minorEastAsia"/>
                      <w:color w:val="auto"/>
                      <w:szCs w:val="21"/>
                    </w:rPr>
                    <w:t>符合</w:t>
                  </w:r>
                </w:p>
              </w:tc>
            </w:tr>
            <w:tr w14:paraId="6843D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586434E7">
                  <w:pPr>
                    <w:autoSpaceDE w:val="0"/>
                    <w:autoSpaceDN w:val="0"/>
                    <w:adjustRightInd w:val="0"/>
                    <w:jc w:val="center"/>
                    <w:rPr>
                      <w:rFonts w:eastAsiaTheme="minorEastAsia"/>
                      <w:color w:val="auto"/>
                      <w:kern w:val="0"/>
                      <w:szCs w:val="21"/>
                    </w:rPr>
                  </w:pPr>
                </w:p>
              </w:tc>
              <w:tc>
                <w:tcPr>
                  <w:tcW w:w="1884" w:type="pct"/>
                  <w:gridSpan w:val="2"/>
                  <w:vAlign w:val="center"/>
                </w:tcPr>
                <w:p w14:paraId="21FF17C1">
                  <w:pPr>
                    <w:adjustRightInd w:val="0"/>
                    <w:snapToGrid w:val="0"/>
                    <w:jc w:val="left"/>
                    <w:rPr>
                      <w:rFonts w:eastAsiaTheme="minorEastAsia"/>
                      <w:color w:val="auto"/>
                      <w:szCs w:val="21"/>
                    </w:rPr>
                  </w:pPr>
                  <w:r>
                    <w:rPr>
                      <w:color w:val="auto"/>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789" w:type="pct"/>
                  <w:vAlign w:val="center"/>
                </w:tcPr>
                <w:p w14:paraId="1FF9E5A4">
                  <w:pPr>
                    <w:adjustRightInd w:val="0"/>
                    <w:snapToGrid w:val="0"/>
                    <w:jc w:val="left"/>
                    <w:rPr>
                      <w:rFonts w:eastAsiaTheme="minorEastAsia"/>
                      <w:color w:val="auto"/>
                      <w:kern w:val="0"/>
                      <w:szCs w:val="21"/>
                    </w:rPr>
                  </w:pPr>
                  <w:r>
                    <w:rPr>
                      <w:rFonts w:eastAsiaTheme="minorEastAsia"/>
                      <w:color w:val="auto"/>
                      <w:szCs w:val="21"/>
                    </w:rPr>
                    <w:t>建设项目位于重点地区，非甲烷总烃初始排放速率</w:t>
                  </w:r>
                  <w:r>
                    <w:rPr>
                      <w:rFonts w:hint="eastAsia" w:eastAsiaTheme="minorEastAsia"/>
                      <w:color w:val="auto"/>
                      <w:szCs w:val="21"/>
                    </w:rPr>
                    <w:t>为</w:t>
                  </w:r>
                  <w:r>
                    <w:rPr>
                      <w:rFonts w:hint="eastAsia"/>
                      <w:color w:val="auto"/>
                      <w:szCs w:val="21"/>
                    </w:rPr>
                    <w:t>0.</w:t>
                  </w:r>
                  <w:r>
                    <w:rPr>
                      <w:rFonts w:hint="eastAsia"/>
                      <w:color w:val="auto"/>
                      <w:szCs w:val="21"/>
                      <w:lang w:val="en-US" w:eastAsia="zh-CN"/>
                    </w:rPr>
                    <w:t>0286</w:t>
                  </w:r>
                  <w:r>
                    <w:rPr>
                      <w:rFonts w:eastAsiaTheme="minorEastAsia"/>
                      <w:color w:val="auto"/>
                      <w:szCs w:val="21"/>
                    </w:rPr>
                    <w:t>kg/h，为确保有机废气排放浓度稳定达标，</w:t>
                  </w:r>
                  <w:r>
                    <w:rPr>
                      <w:rFonts w:hint="eastAsia" w:eastAsiaTheme="minorEastAsia"/>
                      <w:color w:val="auto"/>
                      <w:kern w:val="0"/>
                      <w:szCs w:val="21"/>
                    </w:rPr>
                    <w:t>项目涂胶、调胶、热压</w:t>
                  </w:r>
                  <w:r>
                    <w:rPr>
                      <w:rFonts w:eastAsiaTheme="minorEastAsia"/>
                      <w:color w:val="auto"/>
                      <w:szCs w:val="21"/>
                    </w:rPr>
                    <w:t>工序</w:t>
                  </w:r>
                  <w:r>
                    <w:rPr>
                      <w:rFonts w:eastAsiaTheme="minorEastAsia"/>
                      <w:color w:val="auto"/>
                      <w:kern w:val="0"/>
                      <w:szCs w:val="21"/>
                    </w:rPr>
                    <w:t>产生的</w:t>
                  </w:r>
                  <w:r>
                    <w:rPr>
                      <w:rFonts w:hint="eastAsia" w:eastAsiaTheme="minorEastAsia"/>
                      <w:color w:val="auto"/>
                      <w:kern w:val="0"/>
                      <w:szCs w:val="21"/>
                    </w:rPr>
                    <w:t>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rFonts w:eastAsiaTheme="minorEastAsia"/>
                      <w:color w:val="auto"/>
                      <w:szCs w:val="21"/>
                    </w:rPr>
                    <w:t>非甲烷总烃整体去除效率</w:t>
                  </w:r>
                  <w:r>
                    <w:rPr>
                      <w:rFonts w:hint="eastAsia" w:eastAsiaTheme="minorEastAsia"/>
                      <w:color w:val="auto"/>
                      <w:szCs w:val="21"/>
                    </w:rPr>
                    <w:t>为</w:t>
                  </w:r>
                  <w:r>
                    <w:rPr>
                      <w:rFonts w:eastAsiaTheme="minorEastAsia"/>
                      <w:color w:val="auto"/>
                      <w:szCs w:val="21"/>
                    </w:rPr>
                    <w:t>90%以上。</w:t>
                  </w:r>
                </w:p>
              </w:tc>
              <w:tc>
                <w:tcPr>
                  <w:tcW w:w="280" w:type="pct"/>
                  <w:vAlign w:val="center"/>
                </w:tcPr>
                <w:p w14:paraId="32ADF665">
                  <w:pPr>
                    <w:adjustRightInd w:val="0"/>
                    <w:snapToGrid w:val="0"/>
                    <w:jc w:val="center"/>
                    <w:rPr>
                      <w:rFonts w:eastAsiaTheme="minorEastAsia"/>
                      <w:color w:val="auto"/>
                      <w:szCs w:val="21"/>
                    </w:rPr>
                  </w:pPr>
                  <w:r>
                    <w:rPr>
                      <w:rFonts w:eastAsiaTheme="minorEastAsia"/>
                      <w:color w:val="auto"/>
                      <w:szCs w:val="21"/>
                    </w:rPr>
                    <w:t>符合</w:t>
                  </w:r>
                </w:p>
              </w:tc>
            </w:tr>
            <w:tr w14:paraId="085D8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44A32128">
                  <w:pPr>
                    <w:autoSpaceDE w:val="0"/>
                    <w:autoSpaceDN w:val="0"/>
                    <w:adjustRightInd w:val="0"/>
                    <w:jc w:val="center"/>
                    <w:rPr>
                      <w:rFonts w:eastAsiaTheme="minorEastAsia"/>
                      <w:color w:val="auto"/>
                      <w:kern w:val="0"/>
                      <w:szCs w:val="21"/>
                    </w:rPr>
                  </w:pPr>
                </w:p>
              </w:tc>
              <w:tc>
                <w:tcPr>
                  <w:tcW w:w="1884" w:type="pct"/>
                  <w:gridSpan w:val="2"/>
                  <w:vAlign w:val="center"/>
                </w:tcPr>
                <w:p w14:paraId="07769C02">
                  <w:pPr>
                    <w:adjustRightInd w:val="0"/>
                    <w:snapToGrid w:val="0"/>
                    <w:jc w:val="center"/>
                    <w:rPr>
                      <w:rFonts w:eastAsiaTheme="minorEastAsia"/>
                      <w:color w:val="auto"/>
                      <w:szCs w:val="21"/>
                    </w:rPr>
                  </w:pPr>
                  <w:r>
                    <w:rPr>
                      <w:color w:val="auto"/>
                      <w:szCs w:val="21"/>
                    </w:rPr>
                    <w:t>按照“应收尽收”的原则提升废气收集率。优先采用密闭设备、在密闭空间中操作或采用全密闭集气罩收集方式；对于采用局部集气罩的，应根据废气排放特点合理选择收集点位，距集气罩开口面最远处的VOCs无组织排放位置，控制风速不低于0.3米/秒；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789" w:type="pct"/>
                  <w:vAlign w:val="center"/>
                </w:tcPr>
                <w:p w14:paraId="0F588CF8">
                  <w:pPr>
                    <w:adjustRightInd w:val="0"/>
                    <w:snapToGrid w:val="0"/>
                    <w:jc w:val="left"/>
                    <w:rPr>
                      <w:rFonts w:eastAsiaTheme="minorEastAsia"/>
                      <w:color w:val="auto"/>
                      <w:kern w:val="0"/>
                      <w:szCs w:val="21"/>
                    </w:rPr>
                  </w:pPr>
                  <w:r>
                    <w:rPr>
                      <w:rFonts w:hint="eastAsia" w:eastAsiaTheme="minorEastAsia"/>
                      <w:color w:val="auto"/>
                      <w:kern w:val="0"/>
                      <w:szCs w:val="21"/>
                    </w:rPr>
                    <w:t>建设项目涂胶、调胶、热压废气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hint="eastAsia"/>
                      <w:color w:val="auto"/>
                      <w:szCs w:val="21"/>
                    </w:rPr>
                    <w:t>。</w:t>
                  </w:r>
                  <w:r>
                    <w:rPr>
                      <w:color w:val="auto"/>
                      <w:szCs w:val="21"/>
                    </w:rPr>
                    <w:t>VOCs废气处理系统发生故障或检修时，对应生产工艺设备应停止运行，待检修完毕后同步投入使用；选择碘值800毫克/克的活性炭，并按设计要求足量添加、及时更换。</w:t>
                  </w:r>
                </w:p>
              </w:tc>
              <w:tc>
                <w:tcPr>
                  <w:tcW w:w="280" w:type="pct"/>
                  <w:vAlign w:val="center"/>
                </w:tcPr>
                <w:p w14:paraId="0B9F9F33">
                  <w:pPr>
                    <w:adjustRightInd w:val="0"/>
                    <w:snapToGrid w:val="0"/>
                    <w:jc w:val="center"/>
                    <w:rPr>
                      <w:rFonts w:eastAsiaTheme="minorEastAsia"/>
                      <w:color w:val="auto"/>
                      <w:szCs w:val="21"/>
                    </w:rPr>
                  </w:pPr>
                  <w:r>
                    <w:rPr>
                      <w:rFonts w:eastAsiaTheme="minorEastAsia"/>
                      <w:color w:val="auto"/>
                      <w:szCs w:val="21"/>
                    </w:rPr>
                    <w:t>符合</w:t>
                  </w:r>
                </w:p>
              </w:tc>
            </w:tr>
            <w:tr w14:paraId="0449C3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Align w:val="center"/>
                </w:tcPr>
                <w:p w14:paraId="6D4190D0">
                  <w:pPr>
                    <w:autoSpaceDE w:val="0"/>
                    <w:autoSpaceDN w:val="0"/>
                    <w:adjustRightInd w:val="0"/>
                    <w:jc w:val="center"/>
                    <w:rPr>
                      <w:rFonts w:eastAsiaTheme="minorEastAsia"/>
                      <w:color w:val="auto"/>
                      <w:kern w:val="0"/>
                      <w:szCs w:val="21"/>
                    </w:rPr>
                  </w:pPr>
                  <w:r>
                    <w:rPr>
                      <w:color w:val="auto"/>
                      <w:szCs w:val="21"/>
                    </w:rPr>
                    <w:t>《江苏省挥发性有机物污染防治管理办法》(省政府令119号)</w:t>
                  </w:r>
                </w:p>
              </w:tc>
              <w:tc>
                <w:tcPr>
                  <w:tcW w:w="1884" w:type="pct"/>
                  <w:gridSpan w:val="2"/>
                  <w:vAlign w:val="center"/>
                </w:tcPr>
                <w:p w14:paraId="066F8EF6">
                  <w:pPr>
                    <w:adjustRightInd w:val="0"/>
                    <w:snapToGrid w:val="0"/>
                    <w:rPr>
                      <w:color w:val="auto"/>
                      <w:szCs w:val="21"/>
                    </w:rPr>
                  </w:pPr>
                  <w:r>
                    <w:rPr>
                      <w:color w:val="auto"/>
                      <w:szCs w:val="21"/>
                    </w:rPr>
                    <w:t>产生挥发性有机物废气的生产经营活动应当在密闭空间或者密闭设备中进行。生产场所、生产设备应当按照环境保护和安全生产等要求设计、安装和有效运行挥发性有机物回收或净化设施；</w:t>
                  </w:r>
                </w:p>
                <w:p w14:paraId="5B32C6E4">
                  <w:pPr>
                    <w:adjustRightInd w:val="0"/>
                    <w:snapToGrid w:val="0"/>
                    <w:jc w:val="left"/>
                    <w:rPr>
                      <w:rFonts w:eastAsiaTheme="minorEastAsia"/>
                      <w:color w:val="auto"/>
                      <w:szCs w:val="21"/>
                    </w:rPr>
                  </w:pPr>
                  <w:r>
                    <w:rPr>
                      <w:color w:val="auto"/>
                      <w:szCs w:val="21"/>
                    </w:rPr>
                    <w:t>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789" w:type="pct"/>
                  <w:vAlign w:val="center"/>
                </w:tcPr>
                <w:p w14:paraId="5D0FFC69">
                  <w:pPr>
                    <w:adjustRightInd w:val="0"/>
                    <w:snapToGrid w:val="0"/>
                    <w:jc w:val="left"/>
                    <w:rPr>
                      <w:rFonts w:hint="eastAsia" w:eastAsia="宋体"/>
                      <w:color w:val="auto"/>
                      <w:kern w:val="0"/>
                      <w:szCs w:val="21"/>
                      <w:lang w:eastAsia="zh-CN"/>
                    </w:rPr>
                  </w:pPr>
                  <w:r>
                    <w:rPr>
                      <w:rFonts w:eastAsiaTheme="minorEastAsia"/>
                      <w:color w:val="auto"/>
                      <w:szCs w:val="21"/>
                    </w:rPr>
                    <w:t>建设项目使用的</w:t>
                  </w:r>
                  <w:r>
                    <w:rPr>
                      <w:rFonts w:hint="eastAsia" w:eastAsiaTheme="minorEastAsia"/>
                      <w:color w:val="auto"/>
                      <w:szCs w:val="21"/>
                    </w:rPr>
                    <w:t>脲醛胶</w:t>
                  </w:r>
                  <w:r>
                    <w:rPr>
                      <w:rFonts w:hint="eastAsia" w:eastAsiaTheme="minorEastAsia"/>
                      <w:color w:val="auto"/>
                      <w:szCs w:val="21"/>
                      <w:lang w:eastAsia="zh-CN"/>
                    </w:rPr>
                    <w:t>需在生产线集气罩下进行，保证废气应收尽收，使用完脲醛胶及时关紧桶盖。</w:t>
                  </w:r>
                  <w:r>
                    <w:rPr>
                      <w:rFonts w:hint="eastAsia" w:eastAsiaTheme="minorEastAsia"/>
                      <w:color w:val="auto"/>
                      <w:kern w:val="0"/>
                      <w:szCs w:val="21"/>
                    </w:rPr>
                    <w:t>建设项目涂胶、调胶、热压废气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eastAsiaTheme="minorEastAsia"/>
                      <w:color w:val="auto"/>
                      <w:szCs w:val="21"/>
                    </w:rPr>
                    <w:t>；</w:t>
                  </w:r>
                  <w:r>
                    <w:rPr>
                      <w:rFonts w:hint="eastAsia"/>
                      <w:color w:val="auto"/>
                      <w:szCs w:val="21"/>
                    </w:rPr>
                    <w:t>裁边废气采用</w:t>
                  </w:r>
                  <w:r>
                    <w:rPr>
                      <w:rFonts w:hint="eastAsia"/>
                      <w:color w:val="auto"/>
                      <w:szCs w:val="21"/>
                      <w:lang w:eastAsia="zh-CN"/>
                    </w:rPr>
                    <w:t>集气罩（顶式集气罩＋三面软帘）</w:t>
                  </w:r>
                  <w:r>
                    <w:rPr>
                      <w:rFonts w:hint="eastAsia"/>
                      <w:color w:val="auto"/>
                      <w:szCs w:val="21"/>
                    </w:rPr>
                    <w:t>收集后采用布袋除尘设施处理，</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hint="eastAsia"/>
                      <w:color w:val="auto"/>
                      <w:szCs w:val="21"/>
                    </w:rPr>
                    <w:t>。</w:t>
                  </w:r>
                  <w:r>
                    <w:rPr>
                      <w:color w:val="auto"/>
                      <w:szCs w:val="21"/>
                    </w:rPr>
                    <w:t>项目产生的挥发性危险废物密闭储存后交有资质单位安全处置。</w:t>
                  </w:r>
                  <w:r>
                    <w:rPr>
                      <w:rFonts w:hint="eastAsia"/>
                      <w:color w:val="auto"/>
                      <w:szCs w:val="21"/>
                      <w:lang w:eastAsia="zh-CN"/>
                    </w:rPr>
                    <w:t>运输和装卸过程中，物料无破损，泄漏等，</w:t>
                  </w:r>
                  <w:r>
                    <w:rPr>
                      <w:color w:val="auto"/>
                      <w:szCs w:val="21"/>
                    </w:rPr>
                    <w:t>在密闭空间进行</w:t>
                  </w:r>
                  <w:r>
                    <w:rPr>
                      <w:rFonts w:hint="eastAsia"/>
                      <w:color w:val="auto"/>
                      <w:szCs w:val="21"/>
                      <w:lang w:eastAsia="zh-CN"/>
                    </w:rPr>
                    <w:t>。</w:t>
                  </w:r>
                </w:p>
              </w:tc>
              <w:tc>
                <w:tcPr>
                  <w:tcW w:w="280" w:type="pct"/>
                  <w:vAlign w:val="center"/>
                </w:tcPr>
                <w:p w14:paraId="71A0EA85">
                  <w:pPr>
                    <w:adjustRightInd w:val="0"/>
                    <w:snapToGrid w:val="0"/>
                    <w:jc w:val="center"/>
                    <w:rPr>
                      <w:rFonts w:eastAsiaTheme="minorEastAsia"/>
                      <w:color w:val="auto"/>
                      <w:szCs w:val="21"/>
                    </w:rPr>
                  </w:pPr>
                  <w:r>
                    <w:rPr>
                      <w:rFonts w:eastAsiaTheme="minorEastAsia"/>
                      <w:color w:val="auto"/>
                      <w:szCs w:val="21"/>
                    </w:rPr>
                    <w:t>符合</w:t>
                  </w:r>
                </w:p>
              </w:tc>
            </w:tr>
            <w:tr w14:paraId="0F540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restart"/>
                  <w:tcBorders>
                    <w:right w:val="single" w:color="auto" w:sz="4" w:space="0"/>
                  </w:tcBorders>
                  <w:vAlign w:val="center"/>
                </w:tcPr>
                <w:p w14:paraId="0624FF69">
                  <w:pPr>
                    <w:adjustRightInd w:val="0"/>
                    <w:snapToGrid w:val="0"/>
                    <w:jc w:val="center"/>
                    <w:rPr>
                      <w:rFonts w:eastAsiaTheme="minorEastAsia"/>
                      <w:color w:val="auto"/>
                      <w:kern w:val="0"/>
                      <w:szCs w:val="21"/>
                    </w:rPr>
                  </w:pPr>
                  <w:r>
                    <w:rPr>
                      <w:color w:val="auto"/>
                      <w:szCs w:val="21"/>
                    </w:rPr>
                    <w:t>《江苏省重点行业挥发性有机物污染控制指南》（江苏省环保厅，2014年5月20日）</w:t>
                  </w:r>
                </w:p>
              </w:tc>
              <w:tc>
                <w:tcPr>
                  <w:tcW w:w="164" w:type="pct"/>
                  <w:vMerge w:val="restart"/>
                  <w:tcBorders>
                    <w:left w:val="single" w:color="auto" w:sz="4" w:space="0"/>
                  </w:tcBorders>
                  <w:vAlign w:val="center"/>
                </w:tcPr>
                <w:p w14:paraId="75D45C1E">
                  <w:pPr>
                    <w:adjustRightInd w:val="0"/>
                    <w:snapToGrid w:val="0"/>
                    <w:jc w:val="center"/>
                    <w:rPr>
                      <w:rFonts w:eastAsiaTheme="minorEastAsia"/>
                      <w:color w:val="auto"/>
                      <w:kern w:val="0"/>
                      <w:szCs w:val="21"/>
                    </w:rPr>
                  </w:pPr>
                  <w:r>
                    <w:rPr>
                      <w:b/>
                      <w:color w:val="auto"/>
                      <w:szCs w:val="21"/>
                    </w:rPr>
                    <w:t>总体要求</w:t>
                  </w:r>
                </w:p>
              </w:tc>
              <w:tc>
                <w:tcPr>
                  <w:tcW w:w="1719" w:type="pct"/>
                  <w:vAlign w:val="center"/>
                </w:tcPr>
                <w:p w14:paraId="066292E2">
                  <w:pPr>
                    <w:adjustRightInd w:val="0"/>
                    <w:snapToGrid w:val="0"/>
                    <w:jc w:val="center"/>
                    <w:rPr>
                      <w:rFonts w:eastAsiaTheme="minorEastAsia"/>
                      <w:color w:val="auto"/>
                      <w:kern w:val="0"/>
                      <w:szCs w:val="21"/>
                    </w:rPr>
                  </w:pPr>
                  <w:r>
                    <w:rPr>
                      <w:color w:val="auto"/>
                      <w:szCs w:val="21"/>
                    </w:rPr>
                    <w:t>所有产生有机废气污染的企业，应优先采用环保型原辅料、生产工艺和装备，对相应生产单元或设施进行密闭，从源头控制VOCs的产生，减少废气污染物排放。</w:t>
                  </w:r>
                </w:p>
              </w:tc>
              <w:tc>
                <w:tcPr>
                  <w:tcW w:w="1789" w:type="pct"/>
                  <w:vAlign w:val="center"/>
                </w:tcPr>
                <w:p w14:paraId="09DBB747">
                  <w:pPr>
                    <w:widowControl/>
                    <w:tabs>
                      <w:tab w:val="left" w:pos="0"/>
                    </w:tabs>
                    <w:adjustRightInd w:val="0"/>
                    <w:snapToGrid w:val="0"/>
                    <w:jc w:val="left"/>
                    <w:rPr>
                      <w:rFonts w:eastAsiaTheme="minorEastAsia"/>
                      <w:color w:val="auto"/>
                      <w:kern w:val="0"/>
                      <w:szCs w:val="21"/>
                    </w:rPr>
                  </w:pPr>
                  <w:r>
                    <w:rPr>
                      <w:rFonts w:eastAsiaTheme="minorEastAsia"/>
                      <w:color w:val="auto"/>
                      <w:szCs w:val="21"/>
                    </w:rPr>
                    <w:t>建设项目采用环保型原辅料、生产工艺和装备，</w:t>
                  </w:r>
                  <w:r>
                    <w:rPr>
                      <w:rFonts w:hint="eastAsia" w:eastAsiaTheme="minorEastAsia"/>
                      <w:color w:val="auto"/>
                      <w:kern w:val="0"/>
                      <w:szCs w:val="21"/>
                    </w:rPr>
                    <w:t>项目废气使用</w:t>
                  </w:r>
                  <w:r>
                    <w:rPr>
                      <w:rFonts w:hint="eastAsia" w:eastAsiaTheme="minorEastAsia"/>
                      <w:color w:val="auto"/>
                      <w:kern w:val="0"/>
                      <w:szCs w:val="21"/>
                      <w:lang w:eastAsia="zh-CN"/>
                    </w:rPr>
                    <w:t>集气罩（顶式集气罩＋三面软帘）</w:t>
                  </w:r>
                  <w:r>
                    <w:rPr>
                      <w:rFonts w:hint="eastAsia" w:eastAsiaTheme="minorEastAsia"/>
                      <w:color w:val="auto"/>
                      <w:kern w:val="0"/>
                      <w:szCs w:val="21"/>
                    </w:rPr>
                    <w:t>收集</w:t>
                  </w:r>
                  <w:r>
                    <w:rPr>
                      <w:rFonts w:hint="eastAsia"/>
                      <w:color w:val="auto"/>
                      <w:szCs w:val="21"/>
                    </w:rPr>
                    <w:t>，</w:t>
                  </w:r>
                  <w:r>
                    <w:rPr>
                      <w:rFonts w:eastAsiaTheme="minorEastAsia"/>
                      <w:color w:val="auto"/>
                      <w:szCs w:val="21"/>
                    </w:rPr>
                    <w:t>减少废气污染物排放。</w:t>
                  </w:r>
                </w:p>
              </w:tc>
              <w:tc>
                <w:tcPr>
                  <w:tcW w:w="280" w:type="pct"/>
                  <w:vAlign w:val="center"/>
                </w:tcPr>
                <w:p w14:paraId="4724BC44">
                  <w:pPr>
                    <w:adjustRightInd w:val="0"/>
                    <w:snapToGrid w:val="0"/>
                    <w:jc w:val="center"/>
                    <w:rPr>
                      <w:rFonts w:eastAsiaTheme="minorEastAsia"/>
                      <w:color w:val="auto"/>
                      <w:szCs w:val="21"/>
                    </w:rPr>
                  </w:pPr>
                  <w:r>
                    <w:rPr>
                      <w:rFonts w:eastAsiaTheme="minorEastAsia"/>
                      <w:color w:val="auto"/>
                      <w:szCs w:val="21"/>
                    </w:rPr>
                    <w:t>符合</w:t>
                  </w:r>
                </w:p>
              </w:tc>
            </w:tr>
            <w:tr w14:paraId="5CA863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tcBorders>
                    <w:right w:val="single" w:color="auto" w:sz="4" w:space="0"/>
                  </w:tcBorders>
                  <w:vAlign w:val="center"/>
                </w:tcPr>
                <w:p w14:paraId="096EF900">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1BFFAC6F">
                  <w:pPr>
                    <w:adjustRightInd w:val="0"/>
                    <w:snapToGrid w:val="0"/>
                    <w:rPr>
                      <w:rFonts w:eastAsiaTheme="minorEastAsia"/>
                      <w:color w:val="auto"/>
                      <w:kern w:val="0"/>
                      <w:szCs w:val="21"/>
                    </w:rPr>
                  </w:pPr>
                </w:p>
              </w:tc>
              <w:tc>
                <w:tcPr>
                  <w:tcW w:w="1719" w:type="pct"/>
                  <w:vAlign w:val="center"/>
                </w:tcPr>
                <w:p w14:paraId="6E5B5D80">
                  <w:pPr>
                    <w:adjustRightInd w:val="0"/>
                    <w:snapToGrid w:val="0"/>
                    <w:jc w:val="center"/>
                    <w:rPr>
                      <w:rFonts w:eastAsiaTheme="minorEastAsia"/>
                      <w:color w:val="auto"/>
                      <w:kern w:val="0"/>
                      <w:szCs w:val="21"/>
                    </w:rPr>
                  </w:pPr>
                  <w:r>
                    <w:rPr>
                      <w:color w:val="auto"/>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789" w:type="pct"/>
                  <w:vAlign w:val="center"/>
                </w:tcPr>
                <w:p w14:paraId="03D9892A">
                  <w:pPr>
                    <w:adjustRightInd w:val="0"/>
                    <w:snapToGrid w:val="0"/>
                    <w:jc w:val="left"/>
                    <w:rPr>
                      <w:rFonts w:eastAsiaTheme="minorEastAsia"/>
                      <w:color w:val="auto"/>
                      <w:kern w:val="0"/>
                      <w:szCs w:val="21"/>
                    </w:rPr>
                  </w:pPr>
                  <w:r>
                    <w:rPr>
                      <w:rFonts w:eastAsiaTheme="minorEastAsia"/>
                      <w:color w:val="auto"/>
                      <w:szCs w:val="21"/>
                    </w:rPr>
                    <w:t>建设项目排放的非甲烷总烃废气不具备回收利用条件。</w:t>
                  </w:r>
                  <w:r>
                    <w:rPr>
                      <w:rFonts w:hint="eastAsia" w:eastAsiaTheme="minorEastAsia"/>
                      <w:color w:val="auto"/>
                      <w:kern w:val="0"/>
                      <w:szCs w:val="21"/>
                    </w:rPr>
                    <w:t>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eastAsiaTheme="minorEastAsia"/>
                      <w:color w:val="auto"/>
                      <w:szCs w:val="21"/>
                    </w:rPr>
                    <w:t>，</w:t>
                  </w:r>
                  <w:r>
                    <w:rPr>
                      <w:rFonts w:eastAsiaTheme="minorEastAsia"/>
                      <w:color w:val="auto"/>
                      <w:kern w:val="0"/>
                      <w:szCs w:val="21"/>
                    </w:rPr>
                    <w:t>收集效率90%</w:t>
                  </w:r>
                  <w:r>
                    <w:rPr>
                      <w:rFonts w:hint="eastAsia" w:eastAsiaTheme="minorEastAsia"/>
                      <w:color w:val="auto"/>
                      <w:kern w:val="0"/>
                      <w:szCs w:val="21"/>
                    </w:rPr>
                    <w:t>。</w:t>
                  </w:r>
                </w:p>
              </w:tc>
              <w:tc>
                <w:tcPr>
                  <w:tcW w:w="280" w:type="pct"/>
                  <w:vAlign w:val="center"/>
                </w:tcPr>
                <w:p w14:paraId="1D4A4FFE">
                  <w:pPr>
                    <w:adjustRightInd w:val="0"/>
                    <w:snapToGrid w:val="0"/>
                    <w:jc w:val="center"/>
                    <w:rPr>
                      <w:rFonts w:eastAsiaTheme="minorEastAsia"/>
                      <w:color w:val="auto"/>
                      <w:szCs w:val="21"/>
                    </w:rPr>
                  </w:pPr>
                  <w:r>
                    <w:rPr>
                      <w:rFonts w:eastAsiaTheme="minorEastAsia"/>
                      <w:color w:val="auto"/>
                      <w:szCs w:val="21"/>
                    </w:rPr>
                    <w:t>符合</w:t>
                  </w:r>
                </w:p>
              </w:tc>
            </w:tr>
            <w:tr w14:paraId="0868F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992" w:hRule="atLeast"/>
              </w:trPr>
              <w:tc>
                <w:tcPr>
                  <w:tcW w:w="1046" w:type="pct"/>
                  <w:vMerge w:val="continue"/>
                  <w:tcBorders>
                    <w:right w:val="single" w:color="auto" w:sz="4" w:space="0"/>
                  </w:tcBorders>
                  <w:vAlign w:val="center"/>
                </w:tcPr>
                <w:p w14:paraId="1EE21845">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591377E6">
                  <w:pPr>
                    <w:adjustRightInd w:val="0"/>
                    <w:snapToGrid w:val="0"/>
                    <w:rPr>
                      <w:rFonts w:eastAsiaTheme="minorEastAsia"/>
                      <w:color w:val="auto"/>
                      <w:kern w:val="0"/>
                      <w:szCs w:val="21"/>
                    </w:rPr>
                  </w:pPr>
                </w:p>
              </w:tc>
              <w:tc>
                <w:tcPr>
                  <w:tcW w:w="1719" w:type="pct"/>
                  <w:tcBorders>
                    <w:bottom w:val="single" w:color="auto" w:sz="4" w:space="0"/>
                  </w:tcBorders>
                  <w:vAlign w:val="center"/>
                </w:tcPr>
                <w:p w14:paraId="316940FE">
                  <w:pPr>
                    <w:adjustRightInd w:val="0"/>
                    <w:snapToGrid w:val="0"/>
                    <w:jc w:val="center"/>
                    <w:rPr>
                      <w:rFonts w:eastAsiaTheme="minorEastAsia"/>
                      <w:color w:val="auto"/>
                      <w:kern w:val="0"/>
                      <w:szCs w:val="21"/>
                    </w:rPr>
                  </w:pPr>
                  <w:r>
                    <w:rPr>
                      <w:color w:val="auto"/>
                      <w:szCs w:val="21"/>
                    </w:rPr>
                    <w:t>企业应提出针对VOCs的废气治理方案，明确处理装置长期有效运行的管理方案和监控方案，经审核备案后作为环境监察的依据。</w:t>
                  </w:r>
                </w:p>
              </w:tc>
              <w:tc>
                <w:tcPr>
                  <w:tcW w:w="1789" w:type="pct"/>
                  <w:tcBorders>
                    <w:bottom w:val="single" w:color="auto" w:sz="4" w:space="0"/>
                  </w:tcBorders>
                  <w:vAlign w:val="center"/>
                </w:tcPr>
                <w:p w14:paraId="3D78FBD6">
                  <w:pPr>
                    <w:adjustRightInd w:val="0"/>
                    <w:snapToGrid w:val="0"/>
                    <w:jc w:val="left"/>
                    <w:rPr>
                      <w:rFonts w:eastAsiaTheme="minorEastAsia"/>
                      <w:color w:val="auto"/>
                      <w:kern w:val="0"/>
                      <w:szCs w:val="21"/>
                    </w:rPr>
                  </w:pPr>
                  <w:r>
                    <w:rPr>
                      <w:rFonts w:eastAsiaTheme="minorEastAsia"/>
                      <w:color w:val="auto"/>
                      <w:szCs w:val="21"/>
                    </w:rPr>
                    <w:t>建设项目采用环保型原辅料、生产工艺和装备，</w:t>
                  </w:r>
                  <w:r>
                    <w:rPr>
                      <w:rFonts w:hint="eastAsia" w:eastAsiaTheme="minorEastAsia"/>
                      <w:color w:val="auto"/>
                      <w:kern w:val="0"/>
                      <w:szCs w:val="21"/>
                    </w:rPr>
                    <w:t>项目涂胶、调胶、热压废气</w:t>
                  </w:r>
                  <w:r>
                    <w:rPr>
                      <w:rFonts w:eastAsiaTheme="minorEastAsia"/>
                      <w:color w:val="auto"/>
                      <w:szCs w:val="21"/>
                    </w:rPr>
                    <w:t>经</w:t>
                  </w:r>
                  <w:r>
                    <w:rPr>
                      <w:rFonts w:hint="eastAsia" w:eastAsiaTheme="minorEastAsia"/>
                      <w:color w:val="auto"/>
                      <w:szCs w:val="21"/>
                      <w:lang w:eastAsia="zh-CN"/>
                    </w:rPr>
                    <w:t>集气罩（顶式集气罩＋三面软帘）</w:t>
                  </w:r>
                  <w:r>
                    <w:rPr>
                      <w:rFonts w:eastAsiaTheme="minorEastAsia"/>
                      <w:color w:val="auto"/>
                      <w:szCs w:val="21"/>
                    </w:rPr>
                    <w:t>收集后采用二级活性炭吸附装置处理</w:t>
                  </w:r>
                  <w:r>
                    <w:rPr>
                      <w:rFonts w:hint="eastAsia"/>
                      <w:color w:val="auto"/>
                      <w:szCs w:val="21"/>
                    </w:rPr>
                    <w:t>，</w:t>
                  </w:r>
                  <w:r>
                    <w:rPr>
                      <w:rFonts w:eastAsiaTheme="minorEastAsia"/>
                      <w:color w:val="auto"/>
                      <w:szCs w:val="21"/>
                    </w:rPr>
                    <w:t>按要求明确管理方案和监控方案，作为处理装置长期有效运行的管理和监控依据</w:t>
                  </w:r>
                  <w:r>
                    <w:rPr>
                      <w:rFonts w:hint="eastAsia" w:eastAsiaTheme="minorEastAsia"/>
                      <w:color w:val="auto"/>
                      <w:szCs w:val="21"/>
                    </w:rPr>
                    <w:t>。</w:t>
                  </w:r>
                </w:p>
              </w:tc>
              <w:tc>
                <w:tcPr>
                  <w:tcW w:w="280" w:type="pct"/>
                  <w:tcBorders>
                    <w:bottom w:val="single" w:color="auto" w:sz="4" w:space="0"/>
                  </w:tcBorders>
                  <w:vAlign w:val="center"/>
                </w:tcPr>
                <w:p w14:paraId="5169E957">
                  <w:pPr>
                    <w:adjustRightInd w:val="0"/>
                    <w:snapToGrid w:val="0"/>
                    <w:jc w:val="center"/>
                    <w:rPr>
                      <w:rFonts w:eastAsiaTheme="minorEastAsia"/>
                      <w:color w:val="auto"/>
                      <w:szCs w:val="21"/>
                    </w:rPr>
                  </w:pPr>
                  <w:r>
                    <w:rPr>
                      <w:rFonts w:eastAsiaTheme="minorEastAsia"/>
                      <w:color w:val="auto"/>
                      <w:szCs w:val="21"/>
                    </w:rPr>
                    <w:t>符合</w:t>
                  </w:r>
                </w:p>
              </w:tc>
            </w:tr>
            <w:tr w14:paraId="3417F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0244DA80">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6E683C7E">
                  <w:pPr>
                    <w:adjustRightInd w:val="0"/>
                    <w:snapToGrid w:val="0"/>
                    <w:rPr>
                      <w:rFonts w:eastAsiaTheme="minorEastAsia"/>
                      <w:color w:val="auto"/>
                      <w:kern w:val="0"/>
                      <w:szCs w:val="21"/>
                    </w:rPr>
                  </w:pPr>
                </w:p>
              </w:tc>
              <w:tc>
                <w:tcPr>
                  <w:tcW w:w="1719" w:type="pct"/>
                  <w:tcBorders>
                    <w:top w:val="single" w:color="auto" w:sz="4" w:space="0"/>
                    <w:bottom w:val="single" w:color="auto" w:sz="4" w:space="0"/>
                  </w:tcBorders>
                  <w:vAlign w:val="center"/>
                </w:tcPr>
                <w:p w14:paraId="0A15FE61">
                  <w:pPr>
                    <w:adjustRightInd w:val="0"/>
                    <w:snapToGrid w:val="0"/>
                    <w:jc w:val="center"/>
                    <w:rPr>
                      <w:rFonts w:eastAsiaTheme="minorEastAsia"/>
                      <w:color w:val="auto"/>
                      <w:kern w:val="0"/>
                      <w:szCs w:val="21"/>
                    </w:rPr>
                  </w:pPr>
                  <w:r>
                    <w:rPr>
                      <w:color w:val="auto"/>
                      <w:szCs w:val="21"/>
                    </w:rPr>
                    <w:t>企业在VOCs污染防治设施验收时应监测TVOCs净化效率，并记录在线连续检测装置或其他检测方法获取的TVOCs排放浓度，以作为设施日常稳定运行情况的考核依据。</w:t>
                  </w:r>
                </w:p>
              </w:tc>
              <w:tc>
                <w:tcPr>
                  <w:tcW w:w="1789" w:type="pct"/>
                  <w:tcBorders>
                    <w:top w:val="single" w:color="auto" w:sz="4" w:space="0"/>
                    <w:bottom w:val="single" w:color="auto" w:sz="4" w:space="0"/>
                  </w:tcBorders>
                  <w:vAlign w:val="center"/>
                </w:tcPr>
                <w:p w14:paraId="14B8E670">
                  <w:pPr>
                    <w:adjustRightInd w:val="0"/>
                    <w:snapToGrid w:val="0"/>
                    <w:jc w:val="left"/>
                    <w:rPr>
                      <w:rFonts w:eastAsiaTheme="minorEastAsia"/>
                      <w:color w:val="auto"/>
                      <w:kern w:val="0"/>
                      <w:szCs w:val="21"/>
                    </w:rPr>
                  </w:pPr>
                  <w:r>
                    <w:rPr>
                      <w:rFonts w:eastAsiaTheme="minorEastAsia"/>
                      <w:color w:val="auto"/>
                      <w:szCs w:val="21"/>
                    </w:rPr>
                    <w:t>企业投产后按监测方案确定的频次，采用例行监测的方式监测非甲烷总烃排放浓度，作为设施日常稳定运行情况的考核依据</w:t>
                  </w:r>
                  <w:r>
                    <w:rPr>
                      <w:rFonts w:hint="eastAsia" w:eastAsiaTheme="minorEastAsia"/>
                      <w:color w:val="auto"/>
                      <w:szCs w:val="21"/>
                    </w:rPr>
                    <w:t>。</w:t>
                  </w:r>
                </w:p>
              </w:tc>
              <w:tc>
                <w:tcPr>
                  <w:tcW w:w="280" w:type="pct"/>
                  <w:tcBorders>
                    <w:top w:val="single" w:color="auto" w:sz="4" w:space="0"/>
                    <w:bottom w:val="single" w:color="auto" w:sz="4" w:space="0"/>
                  </w:tcBorders>
                  <w:vAlign w:val="center"/>
                </w:tcPr>
                <w:p w14:paraId="7BBFB833">
                  <w:pPr>
                    <w:adjustRightInd w:val="0"/>
                    <w:snapToGrid w:val="0"/>
                    <w:jc w:val="center"/>
                    <w:rPr>
                      <w:rFonts w:eastAsiaTheme="minorEastAsia"/>
                      <w:color w:val="auto"/>
                      <w:szCs w:val="21"/>
                    </w:rPr>
                  </w:pPr>
                  <w:r>
                    <w:rPr>
                      <w:rFonts w:eastAsiaTheme="minorEastAsia"/>
                      <w:color w:val="auto"/>
                      <w:szCs w:val="21"/>
                    </w:rPr>
                    <w:t>符合</w:t>
                  </w:r>
                </w:p>
              </w:tc>
            </w:tr>
            <w:tr w14:paraId="6A8524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6B680394">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29FEDA9A">
                  <w:pPr>
                    <w:adjustRightInd w:val="0"/>
                    <w:snapToGrid w:val="0"/>
                    <w:rPr>
                      <w:rFonts w:eastAsiaTheme="minorEastAsia"/>
                      <w:color w:val="auto"/>
                      <w:kern w:val="0"/>
                      <w:szCs w:val="21"/>
                    </w:rPr>
                  </w:pPr>
                </w:p>
              </w:tc>
              <w:tc>
                <w:tcPr>
                  <w:tcW w:w="1719" w:type="pct"/>
                  <w:tcBorders>
                    <w:top w:val="single" w:color="auto" w:sz="4" w:space="0"/>
                    <w:bottom w:val="single" w:color="auto" w:sz="4" w:space="0"/>
                  </w:tcBorders>
                  <w:vAlign w:val="center"/>
                </w:tcPr>
                <w:p w14:paraId="63335BB9">
                  <w:pPr>
                    <w:adjustRightInd w:val="0"/>
                    <w:snapToGrid w:val="0"/>
                    <w:jc w:val="center"/>
                    <w:rPr>
                      <w:rFonts w:eastAsiaTheme="minorEastAsia"/>
                      <w:color w:val="auto"/>
                      <w:kern w:val="0"/>
                      <w:szCs w:val="21"/>
                    </w:rPr>
                  </w:pPr>
                  <w:r>
                    <w:rPr>
                      <w:color w:val="auto"/>
                      <w:szCs w:val="21"/>
                    </w:rPr>
                    <w:t>企业应安排有关机构和专门人员负责VOCs污染控制的相关工作。需定期更换吸附剂、催化剂或吸收液的，应有详细的购买及更换台账。</w:t>
                  </w:r>
                </w:p>
              </w:tc>
              <w:tc>
                <w:tcPr>
                  <w:tcW w:w="1789" w:type="pct"/>
                  <w:tcBorders>
                    <w:top w:val="single" w:color="auto" w:sz="4" w:space="0"/>
                    <w:bottom w:val="single" w:color="auto" w:sz="4" w:space="0"/>
                  </w:tcBorders>
                  <w:vAlign w:val="center"/>
                </w:tcPr>
                <w:p w14:paraId="7911FB98">
                  <w:pPr>
                    <w:adjustRightInd w:val="0"/>
                    <w:snapToGrid w:val="0"/>
                    <w:jc w:val="left"/>
                    <w:rPr>
                      <w:rFonts w:eastAsiaTheme="minorEastAsia"/>
                      <w:color w:val="auto"/>
                      <w:kern w:val="0"/>
                      <w:szCs w:val="21"/>
                    </w:rPr>
                  </w:pPr>
                  <w:r>
                    <w:rPr>
                      <w:rFonts w:eastAsiaTheme="minorEastAsia"/>
                      <w:color w:val="auto"/>
                      <w:szCs w:val="21"/>
                    </w:rPr>
                    <w:t>企业按要求安排专职环保机构及人员负责非甲烷总烃污染控制的相关工作，定期更换活性炭等，按要求建立污染防治工作台账。</w:t>
                  </w:r>
                </w:p>
              </w:tc>
              <w:tc>
                <w:tcPr>
                  <w:tcW w:w="280" w:type="pct"/>
                  <w:tcBorders>
                    <w:top w:val="single" w:color="auto" w:sz="4" w:space="0"/>
                    <w:bottom w:val="single" w:color="auto" w:sz="4" w:space="0"/>
                  </w:tcBorders>
                  <w:vAlign w:val="center"/>
                </w:tcPr>
                <w:p w14:paraId="60FBECCC">
                  <w:pPr>
                    <w:adjustRightInd w:val="0"/>
                    <w:snapToGrid w:val="0"/>
                    <w:jc w:val="center"/>
                    <w:rPr>
                      <w:rFonts w:eastAsiaTheme="minorEastAsia"/>
                      <w:color w:val="auto"/>
                      <w:szCs w:val="21"/>
                    </w:rPr>
                  </w:pPr>
                  <w:r>
                    <w:rPr>
                      <w:rFonts w:eastAsiaTheme="minorEastAsia"/>
                      <w:color w:val="auto"/>
                      <w:szCs w:val="21"/>
                    </w:rPr>
                    <w:t>符合</w:t>
                  </w:r>
                </w:p>
              </w:tc>
            </w:tr>
            <w:tr w14:paraId="2FA49C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3BC738FD">
                  <w:pPr>
                    <w:adjustRightInd w:val="0"/>
                    <w:snapToGrid w:val="0"/>
                    <w:rPr>
                      <w:rFonts w:eastAsiaTheme="minorEastAsia"/>
                      <w:color w:val="auto"/>
                      <w:kern w:val="0"/>
                      <w:szCs w:val="21"/>
                    </w:rPr>
                  </w:pPr>
                </w:p>
              </w:tc>
              <w:tc>
                <w:tcPr>
                  <w:tcW w:w="164" w:type="pct"/>
                  <w:vMerge w:val="restart"/>
                  <w:tcBorders>
                    <w:left w:val="single" w:color="auto" w:sz="4" w:space="0"/>
                  </w:tcBorders>
                  <w:vAlign w:val="center"/>
                </w:tcPr>
                <w:p w14:paraId="783B6728">
                  <w:pPr>
                    <w:widowControl/>
                    <w:jc w:val="center"/>
                    <w:rPr>
                      <w:rFonts w:eastAsiaTheme="minorEastAsia"/>
                      <w:color w:val="auto"/>
                      <w:kern w:val="0"/>
                      <w:szCs w:val="21"/>
                    </w:rPr>
                  </w:pPr>
                  <w:r>
                    <w:rPr>
                      <w:b/>
                      <w:color w:val="auto"/>
                      <w:szCs w:val="21"/>
                    </w:rPr>
                    <w:t>人造板制造行业</w:t>
                  </w:r>
                </w:p>
              </w:tc>
              <w:tc>
                <w:tcPr>
                  <w:tcW w:w="1719" w:type="pct"/>
                  <w:tcBorders>
                    <w:top w:val="single" w:color="auto" w:sz="4" w:space="0"/>
                    <w:bottom w:val="single" w:color="auto" w:sz="4" w:space="0"/>
                  </w:tcBorders>
                  <w:vAlign w:val="center"/>
                </w:tcPr>
                <w:p w14:paraId="752B007B">
                  <w:pPr>
                    <w:adjustRightInd w:val="0"/>
                    <w:snapToGrid w:val="0"/>
                    <w:jc w:val="left"/>
                    <w:rPr>
                      <w:color w:val="auto"/>
                      <w:szCs w:val="21"/>
                    </w:rPr>
                  </w:pPr>
                  <w:r>
                    <w:rPr>
                      <w:color w:val="auto"/>
                      <w:szCs w:val="21"/>
                    </w:rPr>
                    <w:t>用于室内装饰装修材料的人造板及其制品中甲醛释放量应符合《室内装饰装修材料人造板及其制品中甲醛释放限量》（GB18580-2001）的要求。</w:t>
                  </w:r>
                </w:p>
              </w:tc>
              <w:tc>
                <w:tcPr>
                  <w:tcW w:w="1789" w:type="pct"/>
                  <w:tcBorders>
                    <w:top w:val="single" w:color="auto" w:sz="4" w:space="0"/>
                    <w:bottom w:val="single" w:color="auto" w:sz="4" w:space="0"/>
                  </w:tcBorders>
                  <w:vAlign w:val="center"/>
                </w:tcPr>
                <w:p w14:paraId="2868D566">
                  <w:pPr>
                    <w:adjustRightInd w:val="0"/>
                    <w:snapToGrid w:val="0"/>
                    <w:jc w:val="left"/>
                    <w:rPr>
                      <w:rFonts w:hint="eastAsia" w:eastAsiaTheme="minorEastAsia"/>
                      <w:color w:val="auto"/>
                      <w:szCs w:val="21"/>
                      <w:lang w:eastAsia="zh-CN"/>
                    </w:rPr>
                  </w:pPr>
                  <w:r>
                    <w:rPr>
                      <w:rFonts w:hint="eastAsia" w:eastAsiaTheme="minorEastAsia"/>
                      <w:color w:val="auto"/>
                      <w:szCs w:val="21"/>
                    </w:rPr>
                    <w:t>建设项目产品执行《室内装饰装修材料人造板及其制品中甲醛释放限量》（GB18580-2001）的要求，甲醛释放</w:t>
                  </w:r>
                  <w:r>
                    <w:rPr>
                      <w:rFonts w:hint="eastAsia" w:eastAsiaTheme="minorEastAsia"/>
                      <w:color w:val="auto"/>
                      <w:szCs w:val="21"/>
                      <w:lang w:eastAsia="zh-CN"/>
                    </w:rPr>
                    <w:t>未</w:t>
                  </w:r>
                  <w:r>
                    <w:rPr>
                      <w:rFonts w:hint="eastAsia" w:eastAsiaTheme="minorEastAsia"/>
                      <w:color w:val="auto"/>
                      <w:szCs w:val="21"/>
                    </w:rPr>
                    <w:t>超过限量的0.124mg/m</w:t>
                  </w:r>
                  <w:r>
                    <w:rPr>
                      <w:rFonts w:hint="eastAsia" w:eastAsiaTheme="minorEastAsia"/>
                      <w:color w:val="auto"/>
                      <w:szCs w:val="21"/>
                      <w:vertAlign w:val="superscript"/>
                    </w:rPr>
                    <w:t>3</w:t>
                  </w:r>
                  <w:r>
                    <w:rPr>
                      <w:rFonts w:hint="eastAsia" w:eastAsiaTheme="minorEastAsia"/>
                      <w:color w:val="auto"/>
                      <w:szCs w:val="21"/>
                    </w:rPr>
                    <w:t>。</w:t>
                  </w:r>
                  <w:r>
                    <w:rPr>
                      <w:rFonts w:hint="eastAsia" w:eastAsiaTheme="minorEastAsia"/>
                      <w:color w:val="auto"/>
                      <w:szCs w:val="21"/>
                      <w:lang w:eastAsia="zh-CN"/>
                    </w:rPr>
                    <w:t>根据同行业同生产工艺诺贝尔科技沭阳有限公司提供资料，</w:t>
                  </w:r>
                  <w:r>
                    <w:rPr>
                      <w:rFonts w:hint="eastAsia" w:eastAsiaTheme="minorEastAsia"/>
                      <w:color w:val="auto"/>
                      <w:szCs w:val="21"/>
                    </w:rPr>
                    <w:t>甲醛释放量稳定在0.0</w:t>
                  </w:r>
                  <w:r>
                    <w:rPr>
                      <w:rFonts w:hint="eastAsia" w:eastAsiaTheme="minorEastAsia"/>
                      <w:color w:val="auto"/>
                      <w:szCs w:val="21"/>
                      <w:lang w:val="en-US" w:eastAsia="zh-CN"/>
                    </w:rPr>
                    <w:t>3—</w:t>
                  </w:r>
                  <w:r>
                    <w:rPr>
                      <w:rFonts w:hint="eastAsia" w:eastAsiaTheme="minorEastAsia"/>
                      <w:color w:val="auto"/>
                      <w:szCs w:val="21"/>
                    </w:rPr>
                    <w:t>0</w:t>
                  </w:r>
                  <w:r>
                    <w:rPr>
                      <w:rFonts w:hint="eastAsia" w:eastAsiaTheme="minorEastAsia"/>
                      <w:color w:val="auto"/>
                      <w:szCs w:val="21"/>
                      <w:lang w:val="en-US" w:eastAsia="zh-CN"/>
                    </w:rPr>
                    <w:t>.05</w:t>
                  </w:r>
                  <w:r>
                    <w:rPr>
                      <w:rFonts w:hint="eastAsia" w:eastAsiaTheme="minorEastAsia"/>
                      <w:color w:val="auto"/>
                      <w:szCs w:val="21"/>
                    </w:rPr>
                    <w:t>mg/m</w:t>
                  </w:r>
                  <w:r>
                    <w:rPr>
                      <w:rFonts w:hint="eastAsia" w:eastAsiaTheme="minorEastAsia"/>
                      <w:color w:val="auto"/>
                      <w:szCs w:val="21"/>
                      <w:vertAlign w:val="superscript"/>
                      <w:lang w:val="en-US" w:eastAsia="zh-CN"/>
                    </w:rPr>
                    <w:t>3</w:t>
                  </w:r>
                  <w:r>
                    <w:rPr>
                      <w:rFonts w:hint="eastAsia" w:eastAsiaTheme="minorEastAsia"/>
                      <w:color w:val="auto"/>
                      <w:szCs w:val="21"/>
                    </w:rPr>
                    <w:t>，优于国家标准。</w:t>
                  </w:r>
                  <w:r>
                    <w:rPr>
                      <w:rFonts w:hint="eastAsia" w:eastAsiaTheme="minorEastAsia"/>
                      <w:color w:val="auto"/>
                      <w:szCs w:val="21"/>
                      <w:lang w:eastAsia="zh-CN"/>
                    </w:rPr>
                    <w:t>符合甲醛释放限量。</w:t>
                  </w:r>
                </w:p>
              </w:tc>
              <w:tc>
                <w:tcPr>
                  <w:tcW w:w="280" w:type="pct"/>
                  <w:tcBorders>
                    <w:top w:val="single" w:color="auto" w:sz="4" w:space="0"/>
                    <w:bottom w:val="single" w:color="auto" w:sz="4" w:space="0"/>
                  </w:tcBorders>
                  <w:vAlign w:val="center"/>
                </w:tcPr>
                <w:p w14:paraId="237D0ACD">
                  <w:pPr>
                    <w:adjustRightInd w:val="0"/>
                    <w:snapToGrid w:val="0"/>
                    <w:jc w:val="left"/>
                    <w:rPr>
                      <w:rFonts w:hint="eastAsia" w:eastAsiaTheme="minorEastAsia"/>
                      <w:color w:val="auto"/>
                      <w:szCs w:val="21"/>
                    </w:rPr>
                  </w:pPr>
                  <w:r>
                    <w:rPr>
                      <w:rFonts w:hint="eastAsia" w:eastAsiaTheme="minorEastAsia"/>
                      <w:color w:val="auto"/>
                      <w:szCs w:val="21"/>
                    </w:rPr>
                    <w:t>符合</w:t>
                  </w:r>
                </w:p>
              </w:tc>
            </w:tr>
            <w:tr w14:paraId="0721B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1046" w:type="pct"/>
                  <w:vMerge w:val="continue"/>
                  <w:tcBorders>
                    <w:right w:val="single" w:color="auto" w:sz="4" w:space="0"/>
                  </w:tcBorders>
                  <w:vAlign w:val="center"/>
                </w:tcPr>
                <w:p w14:paraId="3230F433">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6EB7A8F3">
                  <w:pPr>
                    <w:widowControl/>
                    <w:jc w:val="left"/>
                    <w:rPr>
                      <w:b/>
                      <w:color w:val="auto"/>
                      <w:szCs w:val="21"/>
                    </w:rPr>
                  </w:pPr>
                </w:p>
              </w:tc>
              <w:tc>
                <w:tcPr>
                  <w:tcW w:w="1719" w:type="pct"/>
                  <w:tcBorders>
                    <w:top w:val="single" w:color="auto" w:sz="4" w:space="0"/>
                    <w:bottom w:val="single" w:color="auto" w:sz="4" w:space="0"/>
                  </w:tcBorders>
                  <w:vAlign w:val="center"/>
                </w:tcPr>
                <w:p w14:paraId="2448DAB4">
                  <w:pPr>
                    <w:adjustRightInd w:val="0"/>
                    <w:snapToGrid w:val="0"/>
                    <w:rPr>
                      <w:color w:val="auto"/>
                      <w:szCs w:val="21"/>
                    </w:rPr>
                  </w:pPr>
                  <w:r>
                    <w:rPr>
                      <w:color w:val="auto"/>
                      <w:szCs w:val="21"/>
                    </w:rPr>
                    <w:t>推广使用通过中国环境标志产品认证的环保型胶粘剂和水性胶粘剂。鼓励企业通过改进原料（杨木、松木、杂木等）配比、研发新胶种，控制施胶量等措施从源头减少VOCs排放。</w:t>
                  </w:r>
                </w:p>
              </w:tc>
              <w:tc>
                <w:tcPr>
                  <w:tcW w:w="1789" w:type="pct"/>
                  <w:tcBorders>
                    <w:top w:val="single" w:color="auto" w:sz="4" w:space="0"/>
                    <w:bottom w:val="single" w:color="auto" w:sz="4" w:space="0"/>
                  </w:tcBorders>
                  <w:vAlign w:val="center"/>
                </w:tcPr>
                <w:p w14:paraId="25AD3827">
                  <w:pPr>
                    <w:adjustRightInd w:val="0"/>
                    <w:snapToGrid w:val="0"/>
                    <w:jc w:val="left"/>
                    <w:rPr>
                      <w:rFonts w:eastAsiaTheme="minorEastAsia"/>
                      <w:color w:val="auto"/>
                      <w:szCs w:val="21"/>
                    </w:rPr>
                  </w:pPr>
                  <w:r>
                    <w:rPr>
                      <w:rFonts w:hint="eastAsia" w:eastAsiaTheme="minorEastAsia"/>
                      <w:color w:val="auto"/>
                      <w:szCs w:val="21"/>
                    </w:rPr>
                    <w:t>建设项目使用环保型的脲醛胶，通过控制施胶量从源头减少</w:t>
                  </w:r>
                  <w:r>
                    <w:rPr>
                      <w:color w:val="auto"/>
                      <w:szCs w:val="21"/>
                    </w:rPr>
                    <w:t>VOCs排放</w:t>
                  </w:r>
                  <w:r>
                    <w:rPr>
                      <w:rFonts w:hint="eastAsia"/>
                      <w:color w:val="auto"/>
                      <w:szCs w:val="21"/>
                    </w:rPr>
                    <w:t>。</w:t>
                  </w:r>
                </w:p>
              </w:tc>
              <w:tc>
                <w:tcPr>
                  <w:tcW w:w="280" w:type="pct"/>
                  <w:tcBorders>
                    <w:top w:val="single" w:color="auto" w:sz="4" w:space="0"/>
                    <w:bottom w:val="single" w:color="auto" w:sz="4" w:space="0"/>
                  </w:tcBorders>
                  <w:vAlign w:val="center"/>
                </w:tcPr>
                <w:p w14:paraId="54A8285E">
                  <w:pPr>
                    <w:adjustRightInd w:val="0"/>
                    <w:snapToGrid w:val="0"/>
                    <w:jc w:val="center"/>
                    <w:rPr>
                      <w:rFonts w:eastAsiaTheme="minorEastAsia"/>
                      <w:color w:val="auto"/>
                      <w:szCs w:val="21"/>
                    </w:rPr>
                  </w:pPr>
                  <w:r>
                    <w:rPr>
                      <w:rFonts w:eastAsiaTheme="minorEastAsia"/>
                      <w:color w:val="auto"/>
                      <w:szCs w:val="21"/>
                    </w:rPr>
                    <w:t>符合</w:t>
                  </w:r>
                </w:p>
              </w:tc>
            </w:tr>
            <w:tr w14:paraId="4EF519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0F89FEB3">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366B7C8D">
                  <w:pPr>
                    <w:widowControl/>
                    <w:jc w:val="left"/>
                    <w:rPr>
                      <w:b/>
                      <w:color w:val="auto"/>
                      <w:szCs w:val="21"/>
                    </w:rPr>
                  </w:pPr>
                </w:p>
              </w:tc>
              <w:tc>
                <w:tcPr>
                  <w:tcW w:w="1719" w:type="pct"/>
                  <w:tcBorders>
                    <w:top w:val="single" w:color="auto" w:sz="4" w:space="0"/>
                    <w:bottom w:val="single" w:color="auto" w:sz="4" w:space="0"/>
                  </w:tcBorders>
                  <w:vAlign w:val="center"/>
                </w:tcPr>
                <w:p w14:paraId="3DC0EF9E">
                  <w:pPr>
                    <w:adjustRightInd w:val="0"/>
                    <w:snapToGrid w:val="0"/>
                    <w:rPr>
                      <w:color w:val="auto"/>
                      <w:szCs w:val="21"/>
                    </w:rPr>
                  </w:pPr>
                  <w:r>
                    <w:rPr>
                      <w:color w:val="auto"/>
                      <w:szCs w:val="21"/>
                    </w:rPr>
                    <w:t>鼓励企业改进生产工艺，热压车间应设置热压机及车间废气集气罩，并采取有效措施处理后排放。热压机废气经预处理后可接入热能中心作为助燃空气高温焚烧处理，热能中心含尘废气需经多管旋风＋静电除尘或直接采用静电除尘净化处理后再作为干燥空气热源。优先采用干燥工序或</w:t>
                  </w:r>
                  <w:r>
                    <w:rPr>
                      <w:rFonts w:hint="eastAsia"/>
                      <w:color w:val="auto"/>
                      <w:szCs w:val="21"/>
                      <w:lang w:eastAsia="zh-CN"/>
                    </w:rPr>
                    <w:t>其他工序</w:t>
                  </w:r>
                  <w:r>
                    <w:rPr>
                      <w:color w:val="auto"/>
                      <w:szCs w:val="21"/>
                    </w:rPr>
                    <w:t>废气作为干燥空气，从源头减少废气排放。</w:t>
                  </w:r>
                </w:p>
              </w:tc>
              <w:tc>
                <w:tcPr>
                  <w:tcW w:w="1789" w:type="pct"/>
                  <w:tcBorders>
                    <w:top w:val="single" w:color="auto" w:sz="4" w:space="0"/>
                    <w:bottom w:val="single" w:color="auto" w:sz="4" w:space="0"/>
                  </w:tcBorders>
                  <w:vAlign w:val="center"/>
                </w:tcPr>
                <w:p w14:paraId="368FABBB">
                  <w:pPr>
                    <w:adjustRightInd w:val="0"/>
                    <w:snapToGrid w:val="0"/>
                    <w:jc w:val="left"/>
                    <w:rPr>
                      <w:color w:val="auto"/>
                      <w:szCs w:val="21"/>
                    </w:rPr>
                  </w:pPr>
                  <w:r>
                    <w:rPr>
                      <w:rFonts w:hint="eastAsia" w:eastAsiaTheme="minorEastAsia"/>
                      <w:color w:val="auto"/>
                      <w:szCs w:val="21"/>
                    </w:rPr>
                    <w:t>建设项目热压车间设置了4台热压机，热压废气经</w:t>
                  </w:r>
                  <w:r>
                    <w:rPr>
                      <w:rFonts w:hint="eastAsia" w:eastAsiaTheme="minorEastAsia"/>
                      <w:color w:val="auto"/>
                      <w:szCs w:val="21"/>
                      <w:lang w:eastAsia="zh-CN"/>
                    </w:rPr>
                    <w:t>集气罩（顶式集气罩＋三面软帘）</w:t>
                  </w:r>
                  <w:r>
                    <w:rPr>
                      <w:rFonts w:hint="eastAsia" w:eastAsiaTheme="minorEastAsia"/>
                      <w:color w:val="auto"/>
                      <w:szCs w:val="21"/>
                    </w:rPr>
                    <w:t>收集后采用二级活性炭吸附装置处理后排放，排板废气产生量较少，生产线较长无法收集，故无组织排放。</w:t>
                  </w:r>
                  <w:r>
                    <w:rPr>
                      <w:color w:val="auto"/>
                      <w:szCs w:val="21"/>
                    </w:rPr>
                    <w:t>VOCs去除效率</w:t>
                  </w:r>
                  <w:r>
                    <w:rPr>
                      <w:rFonts w:hint="eastAsia" w:eastAsiaTheme="minorEastAsia"/>
                      <w:color w:val="auto"/>
                      <w:szCs w:val="21"/>
                    </w:rPr>
                    <w:t>为</w:t>
                  </w:r>
                  <w:r>
                    <w:rPr>
                      <w:rFonts w:hint="eastAsia"/>
                      <w:color w:val="auto"/>
                      <w:szCs w:val="21"/>
                    </w:rPr>
                    <w:t>90</w:t>
                  </w:r>
                  <w:r>
                    <w:rPr>
                      <w:color w:val="auto"/>
                      <w:szCs w:val="21"/>
                    </w:rPr>
                    <w:t>%</w:t>
                  </w:r>
                  <w:r>
                    <w:rPr>
                      <w:rFonts w:hint="eastAsia"/>
                      <w:color w:val="auto"/>
                      <w:szCs w:val="21"/>
                    </w:rPr>
                    <w:t>，从源头减少废气排放。</w:t>
                  </w:r>
                </w:p>
              </w:tc>
              <w:tc>
                <w:tcPr>
                  <w:tcW w:w="280" w:type="pct"/>
                  <w:tcBorders>
                    <w:top w:val="single" w:color="auto" w:sz="4" w:space="0"/>
                    <w:bottom w:val="single" w:color="auto" w:sz="4" w:space="0"/>
                  </w:tcBorders>
                  <w:vAlign w:val="center"/>
                </w:tcPr>
                <w:p w14:paraId="3CC253B3">
                  <w:pPr>
                    <w:adjustRightInd w:val="0"/>
                    <w:snapToGrid w:val="0"/>
                    <w:jc w:val="center"/>
                    <w:rPr>
                      <w:rFonts w:eastAsiaTheme="minorEastAsia"/>
                      <w:color w:val="auto"/>
                      <w:szCs w:val="21"/>
                    </w:rPr>
                  </w:pPr>
                  <w:r>
                    <w:rPr>
                      <w:rFonts w:eastAsiaTheme="minorEastAsia"/>
                      <w:color w:val="auto"/>
                      <w:szCs w:val="21"/>
                    </w:rPr>
                    <w:t>符合</w:t>
                  </w:r>
                </w:p>
              </w:tc>
            </w:tr>
            <w:tr w14:paraId="1DE540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28DDF740">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084094E6">
                  <w:pPr>
                    <w:widowControl/>
                    <w:jc w:val="left"/>
                    <w:rPr>
                      <w:b/>
                      <w:color w:val="auto"/>
                      <w:szCs w:val="21"/>
                    </w:rPr>
                  </w:pPr>
                </w:p>
              </w:tc>
              <w:tc>
                <w:tcPr>
                  <w:tcW w:w="1719" w:type="pct"/>
                  <w:tcBorders>
                    <w:top w:val="single" w:color="auto" w:sz="4" w:space="0"/>
                    <w:bottom w:val="single" w:color="auto" w:sz="4" w:space="0"/>
                  </w:tcBorders>
                  <w:vAlign w:val="center"/>
                </w:tcPr>
                <w:p w14:paraId="14DFE641">
                  <w:pPr>
                    <w:adjustRightInd w:val="0"/>
                    <w:snapToGrid w:val="0"/>
                    <w:rPr>
                      <w:color w:val="auto"/>
                      <w:szCs w:val="21"/>
                    </w:rPr>
                  </w:pPr>
                  <w:r>
                    <w:rPr>
                      <w:color w:val="auto"/>
                      <w:szCs w:val="21"/>
                    </w:rPr>
                    <w:t>干燥工序废气应采取有效措施处理后排放。干燥工序废气管道应配备水喷淋系统，以降低废气温度，防止废气中颗粒物在管道壁结垢，废气经湿式除尘＋静电除雾＋微生物或湿式除尘＋低温</w:t>
                  </w:r>
                  <w:r>
                    <w:rPr>
                      <w:rFonts w:hint="eastAsia"/>
                      <w:color w:val="auto"/>
                      <w:szCs w:val="21"/>
                      <w:lang w:eastAsia="zh-CN"/>
                    </w:rPr>
                    <w:t>等离子焰</w:t>
                  </w:r>
                  <w:r>
                    <w:rPr>
                      <w:color w:val="auto"/>
                      <w:szCs w:val="21"/>
                    </w:rPr>
                    <w:t>组合工艺净化处理后排放。</w:t>
                  </w:r>
                </w:p>
              </w:tc>
              <w:tc>
                <w:tcPr>
                  <w:tcW w:w="1789" w:type="pct"/>
                  <w:tcBorders>
                    <w:top w:val="single" w:color="auto" w:sz="4" w:space="0"/>
                    <w:bottom w:val="single" w:color="auto" w:sz="4" w:space="0"/>
                  </w:tcBorders>
                  <w:vAlign w:val="center"/>
                </w:tcPr>
                <w:p w14:paraId="4CAEFB3A">
                  <w:pPr>
                    <w:adjustRightInd w:val="0"/>
                    <w:snapToGrid w:val="0"/>
                    <w:jc w:val="left"/>
                    <w:rPr>
                      <w:rFonts w:eastAsiaTheme="minorEastAsia"/>
                      <w:color w:val="auto"/>
                      <w:szCs w:val="21"/>
                    </w:rPr>
                  </w:pPr>
                  <w:r>
                    <w:rPr>
                      <w:rFonts w:hint="eastAsia" w:eastAsiaTheme="minorEastAsia"/>
                      <w:color w:val="auto"/>
                      <w:szCs w:val="21"/>
                    </w:rPr>
                    <w:t>建设项目工艺不涉及干燥工序。</w:t>
                  </w:r>
                </w:p>
              </w:tc>
              <w:tc>
                <w:tcPr>
                  <w:tcW w:w="280" w:type="pct"/>
                  <w:tcBorders>
                    <w:top w:val="single" w:color="auto" w:sz="4" w:space="0"/>
                    <w:bottom w:val="single" w:color="auto" w:sz="4" w:space="0"/>
                  </w:tcBorders>
                  <w:vAlign w:val="center"/>
                </w:tcPr>
                <w:p w14:paraId="6E893D18">
                  <w:pPr>
                    <w:adjustRightInd w:val="0"/>
                    <w:snapToGrid w:val="0"/>
                    <w:jc w:val="center"/>
                    <w:rPr>
                      <w:rFonts w:eastAsiaTheme="minorEastAsia"/>
                      <w:color w:val="auto"/>
                      <w:szCs w:val="21"/>
                    </w:rPr>
                  </w:pPr>
                  <w:r>
                    <w:rPr>
                      <w:rFonts w:eastAsiaTheme="minorEastAsia"/>
                      <w:color w:val="auto"/>
                      <w:szCs w:val="21"/>
                    </w:rPr>
                    <w:t>符合</w:t>
                  </w:r>
                </w:p>
              </w:tc>
            </w:tr>
            <w:tr w14:paraId="4944F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3702E313">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3DAD455B">
                  <w:pPr>
                    <w:widowControl/>
                    <w:jc w:val="left"/>
                    <w:rPr>
                      <w:b/>
                      <w:color w:val="auto"/>
                      <w:szCs w:val="21"/>
                    </w:rPr>
                  </w:pPr>
                </w:p>
              </w:tc>
              <w:tc>
                <w:tcPr>
                  <w:tcW w:w="1719" w:type="pct"/>
                  <w:tcBorders>
                    <w:top w:val="single" w:color="auto" w:sz="4" w:space="0"/>
                    <w:bottom w:val="single" w:color="auto" w:sz="4" w:space="0"/>
                  </w:tcBorders>
                  <w:vAlign w:val="center"/>
                </w:tcPr>
                <w:p w14:paraId="0B79AFC7">
                  <w:pPr>
                    <w:adjustRightInd w:val="0"/>
                    <w:snapToGrid w:val="0"/>
                    <w:rPr>
                      <w:color w:val="auto"/>
                      <w:szCs w:val="21"/>
                    </w:rPr>
                  </w:pPr>
                  <w:r>
                    <w:rPr>
                      <w:color w:val="auto"/>
                      <w:szCs w:val="21"/>
                    </w:rPr>
                    <w:t>车间废水收集系统和处理设施单元（原水池、调节池、厌氧池、曝气池、污泥间等）产生的废气应密闭收集，并采取有效措施处理后排放。</w:t>
                  </w:r>
                </w:p>
              </w:tc>
              <w:tc>
                <w:tcPr>
                  <w:tcW w:w="1789" w:type="pct"/>
                  <w:tcBorders>
                    <w:top w:val="single" w:color="auto" w:sz="4" w:space="0"/>
                    <w:bottom w:val="single" w:color="auto" w:sz="4" w:space="0"/>
                  </w:tcBorders>
                  <w:vAlign w:val="center"/>
                </w:tcPr>
                <w:p w14:paraId="6A0B9294">
                  <w:pPr>
                    <w:adjustRightInd w:val="0"/>
                    <w:snapToGrid w:val="0"/>
                    <w:jc w:val="left"/>
                    <w:rPr>
                      <w:rFonts w:eastAsiaTheme="minorEastAsia"/>
                      <w:color w:val="auto"/>
                      <w:szCs w:val="21"/>
                    </w:rPr>
                  </w:pPr>
                  <w:r>
                    <w:rPr>
                      <w:rFonts w:hint="eastAsia" w:eastAsiaTheme="minorEastAsia"/>
                      <w:color w:val="auto"/>
                      <w:szCs w:val="21"/>
                    </w:rPr>
                    <w:t>建设项目不涉及生产废水</w:t>
                  </w:r>
                  <w:r>
                    <w:rPr>
                      <w:rFonts w:hint="eastAsia" w:eastAsiaTheme="minorEastAsia"/>
                      <w:color w:val="auto"/>
                      <w:szCs w:val="21"/>
                      <w:lang w:eastAsia="zh-CN"/>
                    </w:rPr>
                    <w:t>排放</w:t>
                  </w:r>
                  <w:r>
                    <w:rPr>
                      <w:rFonts w:hint="eastAsia" w:eastAsiaTheme="minorEastAsia"/>
                      <w:color w:val="auto"/>
                      <w:szCs w:val="21"/>
                    </w:rPr>
                    <w:t>。</w:t>
                  </w:r>
                </w:p>
              </w:tc>
              <w:tc>
                <w:tcPr>
                  <w:tcW w:w="280" w:type="pct"/>
                  <w:tcBorders>
                    <w:top w:val="single" w:color="auto" w:sz="4" w:space="0"/>
                    <w:bottom w:val="single" w:color="auto" w:sz="4" w:space="0"/>
                  </w:tcBorders>
                  <w:vAlign w:val="center"/>
                </w:tcPr>
                <w:p w14:paraId="2DFB06A8">
                  <w:pPr>
                    <w:adjustRightInd w:val="0"/>
                    <w:snapToGrid w:val="0"/>
                    <w:jc w:val="center"/>
                    <w:rPr>
                      <w:rFonts w:eastAsiaTheme="minorEastAsia"/>
                      <w:color w:val="auto"/>
                      <w:szCs w:val="21"/>
                    </w:rPr>
                  </w:pPr>
                  <w:r>
                    <w:rPr>
                      <w:rFonts w:eastAsiaTheme="minorEastAsia"/>
                      <w:color w:val="auto"/>
                      <w:szCs w:val="21"/>
                    </w:rPr>
                    <w:t>符合</w:t>
                  </w:r>
                </w:p>
              </w:tc>
            </w:tr>
            <w:tr w14:paraId="219A2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vMerge w:val="continue"/>
                  <w:tcBorders>
                    <w:right w:val="single" w:color="auto" w:sz="4" w:space="0"/>
                  </w:tcBorders>
                  <w:vAlign w:val="center"/>
                </w:tcPr>
                <w:p w14:paraId="37E1824E">
                  <w:pPr>
                    <w:adjustRightInd w:val="0"/>
                    <w:snapToGrid w:val="0"/>
                    <w:rPr>
                      <w:rFonts w:eastAsiaTheme="minorEastAsia"/>
                      <w:color w:val="auto"/>
                      <w:kern w:val="0"/>
                      <w:szCs w:val="21"/>
                    </w:rPr>
                  </w:pPr>
                </w:p>
              </w:tc>
              <w:tc>
                <w:tcPr>
                  <w:tcW w:w="164" w:type="pct"/>
                  <w:vMerge w:val="continue"/>
                  <w:tcBorders>
                    <w:left w:val="single" w:color="auto" w:sz="4" w:space="0"/>
                  </w:tcBorders>
                  <w:vAlign w:val="center"/>
                </w:tcPr>
                <w:p w14:paraId="784ED929">
                  <w:pPr>
                    <w:widowControl/>
                    <w:jc w:val="left"/>
                    <w:rPr>
                      <w:b/>
                      <w:color w:val="auto"/>
                      <w:szCs w:val="21"/>
                    </w:rPr>
                  </w:pPr>
                </w:p>
              </w:tc>
              <w:tc>
                <w:tcPr>
                  <w:tcW w:w="1719" w:type="pct"/>
                  <w:tcBorders>
                    <w:top w:val="single" w:color="auto" w:sz="4" w:space="0"/>
                    <w:bottom w:val="single" w:color="auto" w:sz="4" w:space="0"/>
                  </w:tcBorders>
                  <w:vAlign w:val="center"/>
                </w:tcPr>
                <w:p w14:paraId="694531E3">
                  <w:pPr>
                    <w:adjustRightInd w:val="0"/>
                    <w:snapToGrid w:val="0"/>
                    <w:rPr>
                      <w:color w:val="auto"/>
                      <w:szCs w:val="21"/>
                    </w:rPr>
                  </w:pPr>
                  <w:r>
                    <w:rPr>
                      <w:color w:val="auto"/>
                      <w:szCs w:val="21"/>
                    </w:rPr>
                    <w:t>禁止露天堆放涂胶和空的制（调）胶桶，胶和空的制（调）胶桶使用后及时封闭容器口，防止</w:t>
                  </w:r>
                  <w:r>
                    <w:rPr>
                      <w:rFonts w:hint="eastAsia"/>
                      <w:color w:val="auto"/>
                      <w:szCs w:val="21"/>
                      <w:lang w:eastAsia="zh-CN"/>
                    </w:rPr>
                    <w:t>逸散</w:t>
                  </w:r>
                  <w:r>
                    <w:rPr>
                      <w:color w:val="auto"/>
                      <w:szCs w:val="21"/>
                    </w:rPr>
                    <w:t>。</w:t>
                  </w:r>
                </w:p>
              </w:tc>
              <w:tc>
                <w:tcPr>
                  <w:tcW w:w="1789" w:type="pct"/>
                  <w:tcBorders>
                    <w:top w:val="single" w:color="auto" w:sz="4" w:space="0"/>
                    <w:bottom w:val="single" w:color="auto" w:sz="4" w:space="0"/>
                  </w:tcBorders>
                  <w:vAlign w:val="center"/>
                </w:tcPr>
                <w:p w14:paraId="2C54E2D9">
                  <w:pPr>
                    <w:adjustRightInd w:val="0"/>
                    <w:snapToGrid w:val="0"/>
                    <w:jc w:val="left"/>
                    <w:rPr>
                      <w:rFonts w:hint="eastAsia" w:eastAsiaTheme="minorEastAsia"/>
                      <w:color w:val="auto"/>
                      <w:szCs w:val="21"/>
                      <w:lang w:eastAsia="zh-CN"/>
                    </w:rPr>
                  </w:pPr>
                  <w:r>
                    <w:rPr>
                      <w:rFonts w:hint="eastAsia" w:eastAsiaTheme="minorEastAsia"/>
                      <w:color w:val="auto"/>
                      <w:szCs w:val="21"/>
                    </w:rPr>
                    <w:t>建设项目使用的脲醛胶使用桶装容器密闭存放于化学品库，防止</w:t>
                  </w:r>
                  <w:r>
                    <w:rPr>
                      <w:rFonts w:hint="eastAsia" w:eastAsiaTheme="minorEastAsia"/>
                      <w:color w:val="auto"/>
                      <w:szCs w:val="21"/>
                      <w:lang w:eastAsia="zh-CN"/>
                    </w:rPr>
                    <w:t>逸散</w:t>
                  </w:r>
                  <w:r>
                    <w:rPr>
                      <w:rFonts w:hint="eastAsia" w:eastAsiaTheme="minorEastAsia"/>
                      <w:color w:val="auto"/>
                      <w:szCs w:val="21"/>
                    </w:rPr>
                    <w:t>。</w:t>
                  </w:r>
                  <w:r>
                    <w:rPr>
                      <w:rFonts w:hint="eastAsia" w:eastAsiaTheme="minorEastAsia"/>
                      <w:color w:val="auto"/>
                      <w:szCs w:val="21"/>
                      <w:lang w:eastAsia="zh-CN"/>
                    </w:rPr>
                    <w:t>使用完脲醛胶后及时封闭容器。</w:t>
                  </w:r>
                </w:p>
              </w:tc>
              <w:tc>
                <w:tcPr>
                  <w:tcW w:w="280" w:type="pct"/>
                  <w:tcBorders>
                    <w:top w:val="single" w:color="auto" w:sz="4" w:space="0"/>
                    <w:bottom w:val="single" w:color="auto" w:sz="4" w:space="0"/>
                  </w:tcBorders>
                  <w:vAlign w:val="center"/>
                </w:tcPr>
                <w:p w14:paraId="6DF43BB7">
                  <w:pPr>
                    <w:adjustRightInd w:val="0"/>
                    <w:snapToGrid w:val="0"/>
                    <w:jc w:val="center"/>
                    <w:rPr>
                      <w:rFonts w:eastAsiaTheme="minorEastAsia"/>
                      <w:color w:val="auto"/>
                      <w:szCs w:val="21"/>
                    </w:rPr>
                  </w:pPr>
                  <w:r>
                    <w:rPr>
                      <w:rFonts w:eastAsiaTheme="minorEastAsia"/>
                      <w:color w:val="auto"/>
                      <w:szCs w:val="21"/>
                    </w:rPr>
                    <w:t>符合</w:t>
                  </w:r>
                </w:p>
              </w:tc>
            </w:tr>
            <w:tr w14:paraId="0D7B0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27" w:hRule="atLeast"/>
              </w:trPr>
              <w:tc>
                <w:tcPr>
                  <w:tcW w:w="1046" w:type="pct"/>
                  <w:tcBorders>
                    <w:right w:val="single" w:color="auto" w:sz="4" w:space="0"/>
                  </w:tcBorders>
                  <w:vAlign w:val="center"/>
                </w:tcPr>
                <w:p w14:paraId="128ADFA4">
                  <w:pPr>
                    <w:adjustRightInd w:val="0"/>
                    <w:snapToGrid w:val="0"/>
                    <w:jc w:val="center"/>
                    <w:rPr>
                      <w:rFonts w:eastAsiaTheme="minorEastAsia"/>
                      <w:color w:val="auto"/>
                      <w:kern w:val="0"/>
                      <w:szCs w:val="21"/>
                    </w:rPr>
                  </w:pPr>
                  <w:r>
                    <w:rPr>
                      <w:color w:val="auto"/>
                      <w:kern w:val="0"/>
                      <w:szCs w:val="21"/>
                    </w:rPr>
                    <w:t>《江苏省大气办关于印发</w:t>
                  </w:r>
                  <w:r>
                    <w:rPr>
                      <w:rFonts w:hint="eastAsia"/>
                      <w:color w:val="auto"/>
                      <w:kern w:val="0"/>
                      <w:szCs w:val="21"/>
                      <w:lang w:eastAsia="zh-CN"/>
                    </w:rPr>
                    <w:t>〈</w:t>
                  </w:r>
                  <w:r>
                    <w:rPr>
                      <w:color w:val="auto"/>
                      <w:kern w:val="0"/>
                      <w:szCs w:val="21"/>
                    </w:rPr>
                    <w:t>江苏省挥发性有机物清洁原料替代工作方案</w:t>
                  </w:r>
                  <w:r>
                    <w:rPr>
                      <w:rFonts w:hint="eastAsia"/>
                      <w:color w:val="auto"/>
                      <w:kern w:val="0"/>
                      <w:szCs w:val="21"/>
                      <w:lang w:eastAsia="zh-CN"/>
                    </w:rPr>
                    <w:t>〉</w:t>
                  </w:r>
                  <w:r>
                    <w:rPr>
                      <w:color w:val="auto"/>
                      <w:kern w:val="0"/>
                      <w:szCs w:val="21"/>
                    </w:rPr>
                    <w:t>的通知》（苏大气办〔2021〕2号）</w:t>
                  </w:r>
                </w:p>
              </w:tc>
              <w:tc>
                <w:tcPr>
                  <w:tcW w:w="1884" w:type="pct"/>
                  <w:gridSpan w:val="2"/>
                  <w:tcBorders>
                    <w:left w:val="single" w:color="auto" w:sz="4" w:space="0"/>
                  </w:tcBorders>
                  <w:vAlign w:val="center"/>
                </w:tcPr>
                <w:p w14:paraId="49C4DB51">
                  <w:pPr>
                    <w:adjustRightInd w:val="0"/>
                    <w:snapToGrid w:val="0"/>
                    <w:rPr>
                      <w:color w:val="auto"/>
                      <w:szCs w:val="21"/>
                    </w:rPr>
                  </w:pPr>
                  <w:r>
                    <w:rPr>
                      <w:color w:val="auto"/>
                      <w:kern w:val="0"/>
                      <w:szCs w:val="21"/>
                    </w:rPr>
                    <w:t>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1789" w:type="pct"/>
                  <w:tcBorders>
                    <w:top w:val="single" w:color="auto" w:sz="4" w:space="0"/>
                    <w:bottom w:val="single" w:color="auto" w:sz="4" w:space="0"/>
                  </w:tcBorders>
                  <w:vAlign w:val="center"/>
                </w:tcPr>
                <w:p w14:paraId="2C937021">
                  <w:pPr>
                    <w:adjustRightInd w:val="0"/>
                    <w:snapToGrid w:val="0"/>
                    <w:jc w:val="left"/>
                    <w:rPr>
                      <w:rFonts w:eastAsiaTheme="minorEastAsia"/>
                      <w:color w:val="auto"/>
                      <w:kern w:val="0"/>
                      <w:szCs w:val="21"/>
                    </w:rPr>
                  </w:pPr>
                  <w:r>
                    <w:rPr>
                      <w:rFonts w:hint="eastAsia" w:hAnsiTheme="minorEastAsia" w:eastAsiaTheme="minorEastAsia"/>
                      <w:color w:val="auto"/>
                      <w:szCs w:val="21"/>
                    </w:rPr>
                    <w:t>建设</w:t>
                  </w:r>
                  <w:r>
                    <w:rPr>
                      <w:rFonts w:hAnsiTheme="minorEastAsia" w:eastAsiaTheme="minorEastAsia"/>
                      <w:color w:val="auto"/>
                      <w:szCs w:val="21"/>
                    </w:rPr>
                    <w:t>项目为</w:t>
                  </w:r>
                  <w:r>
                    <w:rPr>
                      <w:rFonts w:hint="eastAsia" w:hAnsiTheme="minorEastAsia" w:eastAsiaTheme="minorEastAsia"/>
                      <w:color w:val="auto"/>
                      <w:szCs w:val="21"/>
                    </w:rPr>
                    <w:t>胶合板生产</w:t>
                  </w:r>
                  <w:r>
                    <w:rPr>
                      <w:rFonts w:hAnsiTheme="minorEastAsia" w:eastAsiaTheme="minorEastAsia"/>
                      <w:color w:val="auto"/>
                      <w:szCs w:val="21"/>
                    </w:rPr>
                    <w:t>项目，不涉及油墨、清洗剂的使用，</w:t>
                  </w:r>
                  <w:r>
                    <w:rPr>
                      <w:rFonts w:hint="eastAsia" w:hAnsiTheme="minorEastAsia" w:eastAsiaTheme="minorEastAsia"/>
                      <w:color w:val="auto"/>
                      <w:szCs w:val="21"/>
                    </w:rPr>
                    <w:t>使用的脲醛胶中游离VOC含量35</w:t>
                  </w:r>
                  <w:r>
                    <w:rPr>
                      <w:rFonts w:hint="eastAsia"/>
                      <w:color w:val="auto"/>
                      <w:kern w:val="0"/>
                      <w:szCs w:val="21"/>
                    </w:rPr>
                    <w:t>g</w:t>
                  </w:r>
                  <w:r>
                    <w:rPr>
                      <w:rFonts w:hint="eastAsia" w:hAnsiTheme="minorEastAsia" w:eastAsiaTheme="minorEastAsia"/>
                      <w:color w:val="auto"/>
                      <w:szCs w:val="21"/>
                    </w:rPr>
                    <w:t>/L，</w:t>
                  </w:r>
                  <w:r>
                    <w:rPr>
                      <w:color w:val="auto"/>
                      <w:kern w:val="0"/>
                      <w:szCs w:val="21"/>
                    </w:rPr>
                    <w:t>符合《胶粘剂挥发性有机化合物限量》（GB 33372-2020）</w:t>
                  </w:r>
                  <w:r>
                    <w:rPr>
                      <w:rFonts w:hint="eastAsia"/>
                      <w:color w:val="auto"/>
                      <w:kern w:val="0"/>
                      <w:szCs w:val="21"/>
                    </w:rPr>
                    <w:t>中水基型胶粘剂VOC含量限量值≤50g</w:t>
                  </w:r>
                  <w:r>
                    <w:rPr>
                      <w:rFonts w:hint="eastAsia" w:hAnsiTheme="minorEastAsia" w:eastAsiaTheme="minorEastAsia"/>
                      <w:color w:val="auto"/>
                      <w:szCs w:val="21"/>
                    </w:rPr>
                    <w:t>/L的</w:t>
                  </w:r>
                  <w:r>
                    <w:rPr>
                      <w:rFonts w:hint="eastAsia"/>
                      <w:color w:val="auto"/>
                      <w:kern w:val="0"/>
                      <w:szCs w:val="21"/>
                    </w:rPr>
                    <w:t>要求，</w:t>
                  </w:r>
                  <w:r>
                    <w:rPr>
                      <w:rFonts w:hAnsiTheme="minorEastAsia" w:eastAsiaTheme="minorEastAsia"/>
                      <w:color w:val="auto"/>
                      <w:szCs w:val="21"/>
                    </w:rPr>
                    <w:t>从源头减少</w:t>
                  </w:r>
                  <w:r>
                    <w:rPr>
                      <w:rFonts w:eastAsiaTheme="minorEastAsia"/>
                      <w:color w:val="auto"/>
                      <w:szCs w:val="21"/>
                    </w:rPr>
                    <w:t>VOCs</w:t>
                  </w:r>
                  <w:r>
                    <w:rPr>
                      <w:rFonts w:hAnsiTheme="minorEastAsia" w:eastAsiaTheme="minorEastAsia"/>
                      <w:color w:val="auto"/>
                      <w:szCs w:val="21"/>
                    </w:rPr>
                    <w:t>产生量。</w:t>
                  </w:r>
                </w:p>
              </w:tc>
              <w:tc>
                <w:tcPr>
                  <w:tcW w:w="280" w:type="pct"/>
                  <w:tcBorders>
                    <w:top w:val="single" w:color="auto" w:sz="4" w:space="0"/>
                    <w:bottom w:val="single" w:color="auto" w:sz="4" w:space="0"/>
                  </w:tcBorders>
                  <w:vAlign w:val="center"/>
                </w:tcPr>
                <w:p w14:paraId="303D11CD">
                  <w:pPr>
                    <w:adjustRightInd w:val="0"/>
                    <w:snapToGrid w:val="0"/>
                    <w:jc w:val="center"/>
                    <w:rPr>
                      <w:rFonts w:eastAsiaTheme="minorEastAsia"/>
                      <w:color w:val="auto"/>
                      <w:szCs w:val="21"/>
                    </w:rPr>
                  </w:pPr>
                  <w:r>
                    <w:rPr>
                      <w:rFonts w:eastAsiaTheme="minorEastAsia"/>
                      <w:color w:val="auto"/>
                      <w:szCs w:val="21"/>
                    </w:rPr>
                    <w:t>符合</w:t>
                  </w:r>
                </w:p>
              </w:tc>
            </w:tr>
            <w:tr w14:paraId="1D6655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restart"/>
                  <w:vAlign w:val="center"/>
                </w:tcPr>
                <w:p w14:paraId="3548BDEB">
                  <w:pPr>
                    <w:adjustRightInd w:val="0"/>
                    <w:snapToGrid w:val="0"/>
                    <w:jc w:val="center"/>
                    <w:rPr>
                      <w:rFonts w:eastAsiaTheme="minorEastAsia"/>
                      <w:color w:val="auto"/>
                      <w:szCs w:val="21"/>
                    </w:rPr>
                  </w:pPr>
                  <w:r>
                    <w:rPr>
                      <w:rFonts w:eastAsiaTheme="minorEastAsia"/>
                      <w:color w:val="auto"/>
                      <w:szCs w:val="21"/>
                    </w:rPr>
                    <w:t>《长江经济带发展负面清单指南（试行，2022年版）》（长江办</w:t>
                  </w:r>
                  <w:r>
                    <w:rPr>
                      <w:rFonts w:hint="eastAsia" w:eastAsiaTheme="minorEastAsia"/>
                      <w:color w:val="auto"/>
                      <w:szCs w:val="21"/>
                      <w:lang w:eastAsia="zh-CN"/>
                    </w:rPr>
                    <w:t>〔2022〕7号</w:t>
                  </w:r>
                  <w:r>
                    <w:rPr>
                      <w:rFonts w:eastAsiaTheme="minorEastAsia"/>
                      <w:color w:val="auto"/>
                      <w:szCs w:val="21"/>
                    </w:rPr>
                    <w:t>）</w:t>
                  </w:r>
                </w:p>
                <w:p w14:paraId="61411481">
                  <w:pPr>
                    <w:adjustRightInd w:val="0"/>
                    <w:snapToGrid w:val="0"/>
                    <w:jc w:val="center"/>
                    <w:rPr>
                      <w:rFonts w:eastAsiaTheme="minorEastAsia"/>
                      <w:color w:val="auto"/>
                      <w:szCs w:val="21"/>
                    </w:rPr>
                  </w:pPr>
                  <w:r>
                    <w:rPr>
                      <w:rFonts w:eastAsiaTheme="minorEastAsia"/>
                      <w:color w:val="auto"/>
                      <w:szCs w:val="21"/>
                    </w:rPr>
                    <w:t>关于印发《</w:t>
                  </w:r>
                  <w:r>
                    <w:rPr>
                      <w:rFonts w:hint="eastAsia" w:eastAsiaTheme="minorEastAsia"/>
                      <w:color w:val="auto"/>
                      <w:szCs w:val="21"/>
                      <w:lang w:eastAsia="zh-CN"/>
                    </w:rPr>
                    <w:t>〈</w:t>
                  </w:r>
                  <w:r>
                    <w:rPr>
                      <w:rFonts w:eastAsiaTheme="minorEastAsia"/>
                      <w:color w:val="auto"/>
                      <w:szCs w:val="21"/>
                    </w:rPr>
                    <w:t>长江经济带发展负面清单指南（试行，2022年版）</w:t>
                  </w:r>
                  <w:r>
                    <w:rPr>
                      <w:rFonts w:hint="eastAsia" w:eastAsiaTheme="minorEastAsia"/>
                      <w:color w:val="auto"/>
                      <w:szCs w:val="21"/>
                      <w:lang w:eastAsia="zh-CN"/>
                    </w:rPr>
                    <w:t>〉</w:t>
                  </w:r>
                  <w:r>
                    <w:rPr>
                      <w:rFonts w:eastAsiaTheme="minorEastAsia"/>
                      <w:color w:val="auto"/>
                      <w:szCs w:val="21"/>
                    </w:rPr>
                    <w:t>江苏省实施细则》的通知（苏长江办发</w:t>
                  </w:r>
                  <w:r>
                    <w:rPr>
                      <w:rFonts w:hint="eastAsia" w:eastAsiaTheme="minorEastAsia"/>
                      <w:color w:val="auto"/>
                      <w:szCs w:val="21"/>
                      <w:lang w:eastAsia="zh-CN"/>
                    </w:rPr>
                    <w:t>〔2022〕55号</w:t>
                  </w:r>
                  <w:r>
                    <w:rPr>
                      <w:rFonts w:eastAsiaTheme="minorEastAsia"/>
                      <w:color w:val="auto"/>
                      <w:szCs w:val="21"/>
                    </w:rPr>
                    <w:t>）</w:t>
                  </w:r>
                </w:p>
              </w:tc>
              <w:tc>
                <w:tcPr>
                  <w:tcW w:w="1884" w:type="pct"/>
                  <w:gridSpan w:val="2"/>
                  <w:vAlign w:val="center"/>
                </w:tcPr>
                <w:p w14:paraId="62E4C1A8">
                  <w:pPr>
                    <w:adjustRightInd w:val="0"/>
                    <w:snapToGrid w:val="0"/>
                    <w:rPr>
                      <w:rFonts w:eastAsiaTheme="minorEastAsia"/>
                      <w:color w:val="auto"/>
                      <w:szCs w:val="21"/>
                    </w:rPr>
                  </w:pPr>
                  <w:r>
                    <w:rPr>
                      <w:rFonts w:eastAsiaTheme="minorEastAsia"/>
                      <w:color w:val="auto"/>
                      <w:szCs w:val="21"/>
                    </w:rPr>
                    <w:t>禁止建设不符合全国和省级港口布局规划以及港口总体规划的码头项目，禁止建设不符合《长江干线过江通道布局规划》的过</w:t>
                  </w:r>
                  <w:r>
                    <w:rPr>
                      <w:rFonts w:hint="eastAsia" w:eastAsiaTheme="minorEastAsia"/>
                      <w:color w:val="auto"/>
                      <w:szCs w:val="21"/>
                      <w:lang w:eastAsia="zh-CN"/>
                    </w:rPr>
                    <w:t>江</w:t>
                  </w:r>
                  <w:r>
                    <w:rPr>
                      <w:rFonts w:eastAsiaTheme="minorEastAsia"/>
                      <w:color w:val="auto"/>
                      <w:szCs w:val="21"/>
                    </w:rPr>
                    <w:t>通道项目。</w:t>
                  </w:r>
                </w:p>
              </w:tc>
              <w:tc>
                <w:tcPr>
                  <w:tcW w:w="1789" w:type="pct"/>
                  <w:vAlign w:val="center"/>
                </w:tcPr>
                <w:p w14:paraId="0A03925F">
                  <w:pPr>
                    <w:adjustRightInd w:val="0"/>
                    <w:snapToGrid w:val="0"/>
                    <w:rPr>
                      <w:rFonts w:eastAsiaTheme="minorEastAsia"/>
                      <w:color w:val="auto"/>
                      <w:szCs w:val="21"/>
                    </w:rPr>
                  </w:pPr>
                  <w:r>
                    <w:rPr>
                      <w:rFonts w:eastAsiaTheme="minorEastAsia"/>
                      <w:color w:val="auto"/>
                      <w:szCs w:val="21"/>
                    </w:rPr>
                    <w:t>建设项目为</w:t>
                  </w:r>
                  <w:r>
                    <w:rPr>
                      <w:rFonts w:hint="eastAsia" w:eastAsiaTheme="minorEastAsia"/>
                      <w:color w:val="auto"/>
                      <w:szCs w:val="21"/>
                    </w:rPr>
                    <w:t>胶合板</w:t>
                  </w:r>
                  <w:r>
                    <w:rPr>
                      <w:color w:val="auto"/>
                      <w:kern w:val="0"/>
                      <w:szCs w:val="21"/>
                    </w:rPr>
                    <w:t>生产项目</w:t>
                  </w:r>
                  <w:r>
                    <w:rPr>
                      <w:rFonts w:eastAsiaTheme="minorEastAsia"/>
                      <w:color w:val="auto"/>
                      <w:szCs w:val="21"/>
                    </w:rPr>
                    <w:t>，不属于码头项目，不属于过长江通道项目。</w:t>
                  </w:r>
                </w:p>
              </w:tc>
              <w:tc>
                <w:tcPr>
                  <w:tcW w:w="280" w:type="pct"/>
                  <w:vMerge w:val="restart"/>
                  <w:vAlign w:val="center"/>
                </w:tcPr>
                <w:p w14:paraId="5215EA87">
                  <w:pPr>
                    <w:adjustRightInd w:val="0"/>
                    <w:snapToGrid w:val="0"/>
                    <w:jc w:val="center"/>
                    <w:rPr>
                      <w:rFonts w:eastAsiaTheme="minorEastAsia"/>
                      <w:color w:val="auto"/>
                      <w:szCs w:val="21"/>
                    </w:rPr>
                  </w:pPr>
                  <w:r>
                    <w:rPr>
                      <w:rFonts w:eastAsiaTheme="minorEastAsia"/>
                      <w:color w:val="auto"/>
                      <w:szCs w:val="21"/>
                    </w:rPr>
                    <w:t>符合</w:t>
                  </w:r>
                </w:p>
              </w:tc>
            </w:tr>
            <w:tr w14:paraId="10A28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09FE10A">
                  <w:pPr>
                    <w:adjustRightInd w:val="0"/>
                    <w:snapToGrid w:val="0"/>
                    <w:jc w:val="center"/>
                    <w:rPr>
                      <w:rFonts w:eastAsiaTheme="minorEastAsia"/>
                      <w:color w:val="auto"/>
                      <w:szCs w:val="21"/>
                    </w:rPr>
                  </w:pPr>
                </w:p>
              </w:tc>
              <w:tc>
                <w:tcPr>
                  <w:tcW w:w="1884" w:type="pct"/>
                  <w:gridSpan w:val="2"/>
                  <w:vAlign w:val="center"/>
                </w:tcPr>
                <w:p w14:paraId="51838A9E">
                  <w:pPr>
                    <w:adjustRightInd w:val="0"/>
                    <w:snapToGrid w:val="0"/>
                    <w:rPr>
                      <w:rFonts w:eastAsiaTheme="minorEastAsia"/>
                      <w:color w:val="auto"/>
                      <w:szCs w:val="21"/>
                    </w:rPr>
                  </w:pPr>
                  <w:r>
                    <w:rPr>
                      <w:rFonts w:eastAsiaTheme="minorEastAsia"/>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1789" w:type="pct"/>
                  <w:vMerge w:val="restart"/>
                  <w:vAlign w:val="center"/>
                </w:tcPr>
                <w:p w14:paraId="76DBD809">
                  <w:pPr>
                    <w:adjustRightInd w:val="0"/>
                    <w:snapToGrid w:val="0"/>
                    <w:rPr>
                      <w:rFonts w:eastAsiaTheme="minorEastAsia"/>
                      <w:color w:val="auto"/>
                      <w:szCs w:val="21"/>
                    </w:rPr>
                  </w:pPr>
                  <w:r>
                    <w:rPr>
                      <w:rFonts w:eastAsiaTheme="minorEastAsia"/>
                      <w:color w:val="auto"/>
                      <w:szCs w:val="21"/>
                    </w:rPr>
                    <w:t>建设项目位于</w:t>
                  </w:r>
                  <w:r>
                    <w:rPr>
                      <w:rFonts w:hint="eastAsia" w:eastAsiaTheme="minorEastAsia"/>
                      <w:color w:val="auto"/>
                      <w:szCs w:val="21"/>
                    </w:rPr>
                    <w:t>淮安市涟水县高沟镇高秀工业集中区</w:t>
                  </w:r>
                  <w:r>
                    <w:rPr>
                      <w:rFonts w:eastAsiaTheme="minorEastAsia"/>
                      <w:color w:val="auto"/>
                      <w:szCs w:val="21"/>
                    </w:rPr>
                    <w:t>，用地性质为</w:t>
                  </w:r>
                  <w:r>
                    <w:rPr>
                      <w:rFonts w:hint="eastAsia" w:eastAsiaTheme="minorEastAsia"/>
                      <w:color w:val="auto"/>
                      <w:szCs w:val="21"/>
                    </w:rPr>
                    <w:t>建设</w:t>
                  </w:r>
                  <w:r>
                    <w:rPr>
                      <w:rFonts w:eastAsiaTheme="minorEastAsia"/>
                      <w:color w:val="auto"/>
                      <w:szCs w:val="21"/>
                    </w:rPr>
                    <w:t>用地，不在自然保护区核心区、缓冲区、风景名胜区、饮用水源保护区、水产种质资源保护区、国家湿地公园、水产种质资源保护区内。</w:t>
                  </w:r>
                </w:p>
              </w:tc>
              <w:tc>
                <w:tcPr>
                  <w:tcW w:w="280" w:type="pct"/>
                  <w:vMerge w:val="continue"/>
                  <w:vAlign w:val="center"/>
                </w:tcPr>
                <w:p w14:paraId="721567FD">
                  <w:pPr>
                    <w:adjustRightInd w:val="0"/>
                    <w:snapToGrid w:val="0"/>
                    <w:jc w:val="center"/>
                    <w:rPr>
                      <w:rFonts w:eastAsiaTheme="minorEastAsia"/>
                      <w:color w:val="auto"/>
                      <w:szCs w:val="21"/>
                    </w:rPr>
                  </w:pPr>
                </w:p>
              </w:tc>
            </w:tr>
            <w:tr w14:paraId="56B2A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569388E">
                  <w:pPr>
                    <w:adjustRightInd w:val="0"/>
                    <w:snapToGrid w:val="0"/>
                    <w:jc w:val="center"/>
                    <w:rPr>
                      <w:rFonts w:eastAsiaTheme="minorEastAsia"/>
                      <w:color w:val="auto"/>
                      <w:szCs w:val="21"/>
                    </w:rPr>
                  </w:pPr>
                </w:p>
              </w:tc>
              <w:tc>
                <w:tcPr>
                  <w:tcW w:w="1884" w:type="pct"/>
                  <w:gridSpan w:val="2"/>
                  <w:vAlign w:val="center"/>
                </w:tcPr>
                <w:p w14:paraId="5297E783">
                  <w:pPr>
                    <w:adjustRightInd w:val="0"/>
                    <w:snapToGrid w:val="0"/>
                    <w:rPr>
                      <w:rFonts w:eastAsiaTheme="minorEastAsia"/>
                      <w:color w:val="auto"/>
                      <w:szCs w:val="21"/>
                    </w:rPr>
                  </w:pPr>
                  <w:r>
                    <w:rPr>
                      <w:rFonts w:eastAsiaTheme="minorEastAsia"/>
                      <w:color w:val="auto"/>
                      <w:szCs w:val="21"/>
                    </w:rPr>
                    <w:t>禁止新建、改建法律法规和相关政策明令禁止的落后产能项目。禁止新建、改建不符合国家产能置换要求的严重过剩产能行业的项目。禁止新建、改建不符合要</w:t>
                  </w:r>
                  <w:r>
                    <w:rPr>
                      <w:rFonts w:hint="eastAsia" w:eastAsiaTheme="minorEastAsia"/>
                      <w:color w:val="auto"/>
                      <w:szCs w:val="21"/>
                      <w:lang w:eastAsia="zh-CN"/>
                    </w:rPr>
                    <w:t>求的</w:t>
                  </w:r>
                  <w:r>
                    <w:rPr>
                      <w:rFonts w:eastAsiaTheme="minorEastAsia"/>
                      <w:color w:val="auto"/>
                      <w:szCs w:val="21"/>
                    </w:rPr>
                    <w:t>高耗能高排放项目。</w:t>
                  </w:r>
                </w:p>
              </w:tc>
              <w:tc>
                <w:tcPr>
                  <w:tcW w:w="1789" w:type="pct"/>
                  <w:vMerge w:val="continue"/>
                  <w:vAlign w:val="center"/>
                </w:tcPr>
                <w:p w14:paraId="6A96AAC7">
                  <w:pPr>
                    <w:adjustRightInd w:val="0"/>
                    <w:snapToGrid w:val="0"/>
                    <w:rPr>
                      <w:rFonts w:eastAsiaTheme="minorEastAsia"/>
                      <w:color w:val="auto"/>
                      <w:szCs w:val="21"/>
                    </w:rPr>
                  </w:pPr>
                </w:p>
              </w:tc>
              <w:tc>
                <w:tcPr>
                  <w:tcW w:w="280" w:type="pct"/>
                  <w:vMerge w:val="continue"/>
                  <w:vAlign w:val="center"/>
                </w:tcPr>
                <w:p w14:paraId="68953B1F">
                  <w:pPr>
                    <w:adjustRightInd w:val="0"/>
                    <w:snapToGrid w:val="0"/>
                    <w:jc w:val="center"/>
                    <w:rPr>
                      <w:rFonts w:eastAsiaTheme="minorEastAsia"/>
                      <w:color w:val="auto"/>
                      <w:szCs w:val="21"/>
                    </w:rPr>
                  </w:pPr>
                </w:p>
              </w:tc>
            </w:tr>
            <w:tr w14:paraId="2EBFD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57D7B085">
                  <w:pPr>
                    <w:adjustRightInd w:val="0"/>
                    <w:snapToGrid w:val="0"/>
                    <w:jc w:val="center"/>
                    <w:rPr>
                      <w:rFonts w:eastAsiaTheme="minorEastAsia"/>
                      <w:color w:val="auto"/>
                      <w:szCs w:val="21"/>
                    </w:rPr>
                  </w:pPr>
                </w:p>
              </w:tc>
              <w:tc>
                <w:tcPr>
                  <w:tcW w:w="1884" w:type="pct"/>
                  <w:gridSpan w:val="2"/>
                  <w:vAlign w:val="center"/>
                </w:tcPr>
                <w:p w14:paraId="6A6E026A">
                  <w:pPr>
                    <w:adjustRightInd w:val="0"/>
                    <w:snapToGrid w:val="0"/>
                    <w:rPr>
                      <w:rFonts w:eastAsiaTheme="minorEastAsia"/>
                      <w:color w:val="auto"/>
                      <w:szCs w:val="21"/>
                    </w:rPr>
                  </w:pPr>
                  <w:r>
                    <w:rPr>
                      <w:rFonts w:eastAsiaTheme="minorEastAsia"/>
                      <w:color w:val="auto"/>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89" w:type="pct"/>
                  <w:vMerge w:val="continue"/>
                  <w:vAlign w:val="center"/>
                </w:tcPr>
                <w:p w14:paraId="126CE1B0">
                  <w:pPr>
                    <w:adjustRightInd w:val="0"/>
                    <w:snapToGrid w:val="0"/>
                    <w:rPr>
                      <w:rFonts w:eastAsiaTheme="minorEastAsia"/>
                      <w:color w:val="auto"/>
                      <w:szCs w:val="21"/>
                    </w:rPr>
                  </w:pPr>
                </w:p>
              </w:tc>
              <w:tc>
                <w:tcPr>
                  <w:tcW w:w="280" w:type="pct"/>
                  <w:vMerge w:val="continue"/>
                  <w:vAlign w:val="center"/>
                </w:tcPr>
                <w:p w14:paraId="72DFA2D9">
                  <w:pPr>
                    <w:adjustRightInd w:val="0"/>
                    <w:snapToGrid w:val="0"/>
                    <w:jc w:val="center"/>
                    <w:rPr>
                      <w:rFonts w:eastAsiaTheme="minorEastAsia"/>
                      <w:color w:val="auto"/>
                      <w:szCs w:val="21"/>
                    </w:rPr>
                  </w:pPr>
                </w:p>
              </w:tc>
            </w:tr>
            <w:tr w14:paraId="52365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177C85B0">
                  <w:pPr>
                    <w:adjustRightInd w:val="0"/>
                    <w:snapToGrid w:val="0"/>
                    <w:jc w:val="center"/>
                    <w:rPr>
                      <w:rFonts w:eastAsiaTheme="minorEastAsia"/>
                      <w:color w:val="auto"/>
                      <w:szCs w:val="21"/>
                    </w:rPr>
                  </w:pPr>
                </w:p>
              </w:tc>
              <w:tc>
                <w:tcPr>
                  <w:tcW w:w="1884" w:type="pct"/>
                  <w:gridSpan w:val="2"/>
                  <w:vAlign w:val="center"/>
                </w:tcPr>
                <w:p w14:paraId="56CCB981">
                  <w:pPr>
                    <w:adjustRightInd w:val="0"/>
                    <w:snapToGrid w:val="0"/>
                    <w:rPr>
                      <w:rFonts w:eastAsiaTheme="minorEastAsia"/>
                      <w:color w:val="auto"/>
                      <w:szCs w:val="21"/>
                    </w:rPr>
                  </w:pPr>
                  <w:r>
                    <w:rPr>
                      <w:rFonts w:eastAsiaTheme="minorEastAsia"/>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89" w:type="pct"/>
                  <w:vAlign w:val="center"/>
                </w:tcPr>
                <w:p w14:paraId="504B7727">
                  <w:pPr>
                    <w:adjustRightInd w:val="0"/>
                    <w:snapToGrid w:val="0"/>
                    <w:rPr>
                      <w:rFonts w:eastAsiaTheme="minorEastAsia"/>
                      <w:color w:val="auto"/>
                      <w:szCs w:val="21"/>
                    </w:rPr>
                  </w:pPr>
                  <w:r>
                    <w:rPr>
                      <w:rFonts w:eastAsiaTheme="minorEastAsia"/>
                      <w:color w:val="auto"/>
                      <w:szCs w:val="21"/>
                    </w:rPr>
                    <w:t>建设项目位于</w:t>
                  </w:r>
                  <w:r>
                    <w:rPr>
                      <w:rFonts w:hint="eastAsia" w:eastAsiaTheme="minorEastAsia"/>
                      <w:color w:val="auto"/>
                      <w:szCs w:val="21"/>
                    </w:rPr>
                    <w:t>淮安市涟水县高沟镇高秀工业集中区</w:t>
                  </w:r>
                  <w:r>
                    <w:rPr>
                      <w:rFonts w:eastAsiaTheme="minorEastAsia"/>
                      <w:color w:val="auto"/>
                      <w:szCs w:val="21"/>
                    </w:rPr>
                    <w:t>，未利用、占用长江流域河湖岸线。</w:t>
                  </w:r>
                </w:p>
              </w:tc>
              <w:tc>
                <w:tcPr>
                  <w:tcW w:w="280" w:type="pct"/>
                  <w:vAlign w:val="center"/>
                </w:tcPr>
                <w:p w14:paraId="3DC638FB">
                  <w:pPr>
                    <w:adjustRightInd w:val="0"/>
                    <w:snapToGrid w:val="0"/>
                    <w:jc w:val="center"/>
                    <w:rPr>
                      <w:rFonts w:eastAsiaTheme="minorEastAsia"/>
                      <w:color w:val="auto"/>
                      <w:szCs w:val="21"/>
                    </w:rPr>
                  </w:pPr>
                  <w:r>
                    <w:rPr>
                      <w:rFonts w:eastAsiaTheme="minorEastAsia"/>
                      <w:color w:val="auto"/>
                      <w:szCs w:val="21"/>
                    </w:rPr>
                    <w:t>符合</w:t>
                  </w:r>
                </w:p>
              </w:tc>
            </w:tr>
            <w:tr w14:paraId="0E057B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01AD8F62">
                  <w:pPr>
                    <w:adjustRightInd w:val="0"/>
                    <w:snapToGrid w:val="0"/>
                    <w:jc w:val="center"/>
                    <w:rPr>
                      <w:rFonts w:eastAsiaTheme="minorEastAsia"/>
                      <w:color w:val="auto"/>
                      <w:szCs w:val="21"/>
                    </w:rPr>
                  </w:pPr>
                </w:p>
              </w:tc>
              <w:tc>
                <w:tcPr>
                  <w:tcW w:w="1884" w:type="pct"/>
                  <w:gridSpan w:val="2"/>
                  <w:vAlign w:val="center"/>
                </w:tcPr>
                <w:p w14:paraId="5488C88D">
                  <w:pPr>
                    <w:adjustRightInd w:val="0"/>
                    <w:snapToGrid w:val="0"/>
                    <w:rPr>
                      <w:rFonts w:eastAsiaTheme="minorEastAsia"/>
                      <w:color w:val="auto"/>
                      <w:szCs w:val="21"/>
                    </w:rPr>
                  </w:pPr>
                  <w:r>
                    <w:rPr>
                      <w:rFonts w:eastAsiaTheme="minorEastAsia"/>
                      <w:color w:val="auto"/>
                      <w:szCs w:val="21"/>
                    </w:rPr>
                    <w:t>禁止未经许可在长江干支流及湖泊新设、改设或扩大排污口。</w:t>
                  </w:r>
                </w:p>
              </w:tc>
              <w:tc>
                <w:tcPr>
                  <w:tcW w:w="1789" w:type="pct"/>
                  <w:vMerge w:val="restart"/>
                  <w:vAlign w:val="center"/>
                </w:tcPr>
                <w:p w14:paraId="100EBA1C">
                  <w:pPr>
                    <w:adjustRightInd w:val="0"/>
                    <w:snapToGrid w:val="0"/>
                    <w:rPr>
                      <w:rFonts w:eastAsiaTheme="minorEastAsia"/>
                      <w:color w:val="auto"/>
                      <w:szCs w:val="21"/>
                    </w:rPr>
                  </w:pPr>
                  <w:r>
                    <w:rPr>
                      <w:rFonts w:eastAsiaTheme="minorEastAsia"/>
                      <w:color w:val="auto"/>
                      <w:szCs w:val="21"/>
                    </w:rPr>
                    <w:t>建设项目不在长江干支流、重要湖泊岸线一公里范围内，且不涉及化工园区和化工项目，不涉及尾矿库、冶炼渣库和磷石膏库。</w:t>
                  </w:r>
                </w:p>
              </w:tc>
              <w:tc>
                <w:tcPr>
                  <w:tcW w:w="280" w:type="pct"/>
                  <w:vMerge w:val="restart"/>
                  <w:vAlign w:val="center"/>
                </w:tcPr>
                <w:p w14:paraId="63163508">
                  <w:pPr>
                    <w:adjustRightInd w:val="0"/>
                    <w:snapToGrid w:val="0"/>
                    <w:jc w:val="center"/>
                    <w:rPr>
                      <w:rFonts w:eastAsiaTheme="minorEastAsia"/>
                      <w:color w:val="auto"/>
                      <w:szCs w:val="21"/>
                    </w:rPr>
                  </w:pPr>
                  <w:r>
                    <w:rPr>
                      <w:rFonts w:eastAsiaTheme="minorEastAsia"/>
                      <w:color w:val="auto"/>
                      <w:szCs w:val="21"/>
                    </w:rPr>
                    <w:t>符合</w:t>
                  </w:r>
                </w:p>
              </w:tc>
            </w:tr>
            <w:tr w14:paraId="2EBBB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85FB054">
                  <w:pPr>
                    <w:adjustRightInd w:val="0"/>
                    <w:snapToGrid w:val="0"/>
                    <w:jc w:val="center"/>
                    <w:rPr>
                      <w:rFonts w:eastAsiaTheme="minorEastAsia"/>
                      <w:color w:val="auto"/>
                      <w:szCs w:val="21"/>
                    </w:rPr>
                  </w:pPr>
                </w:p>
              </w:tc>
              <w:tc>
                <w:tcPr>
                  <w:tcW w:w="1884" w:type="pct"/>
                  <w:gridSpan w:val="2"/>
                  <w:vAlign w:val="center"/>
                </w:tcPr>
                <w:p w14:paraId="0A816598">
                  <w:pPr>
                    <w:adjustRightInd w:val="0"/>
                    <w:snapToGrid w:val="0"/>
                    <w:rPr>
                      <w:rFonts w:eastAsiaTheme="minorEastAsia"/>
                      <w:color w:val="auto"/>
                      <w:szCs w:val="21"/>
                    </w:rPr>
                  </w:pPr>
                  <w:r>
                    <w:rPr>
                      <w:rFonts w:eastAsiaTheme="minorEastAsia"/>
                      <w:color w:val="auto"/>
                      <w:szCs w:val="21"/>
                    </w:rPr>
                    <w:t>禁止在“一江一口两湖七河”和332个水生生物保护区开展生产性捕捞。</w:t>
                  </w:r>
                </w:p>
              </w:tc>
              <w:tc>
                <w:tcPr>
                  <w:tcW w:w="1789" w:type="pct"/>
                  <w:vMerge w:val="continue"/>
                  <w:vAlign w:val="center"/>
                </w:tcPr>
                <w:p w14:paraId="4F2FD437">
                  <w:pPr>
                    <w:adjustRightInd w:val="0"/>
                    <w:snapToGrid w:val="0"/>
                    <w:rPr>
                      <w:rFonts w:eastAsiaTheme="minorEastAsia"/>
                      <w:color w:val="auto"/>
                      <w:szCs w:val="21"/>
                    </w:rPr>
                  </w:pPr>
                </w:p>
              </w:tc>
              <w:tc>
                <w:tcPr>
                  <w:tcW w:w="280" w:type="pct"/>
                  <w:vMerge w:val="continue"/>
                  <w:vAlign w:val="center"/>
                </w:tcPr>
                <w:p w14:paraId="5062349E">
                  <w:pPr>
                    <w:adjustRightInd w:val="0"/>
                    <w:snapToGrid w:val="0"/>
                    <w:jc w:val="center"/>
                    <w:rPr>
                      <w:rFonts w:eastAsiaTheme="minorEastAsia"/>
                      <w:color w:val="auto"/>
                      <w:szCs w:val="21"/>
                    </w:rPr>
                  </w:pPr>
                </w:p>
              </w:tc>
            </w:tr>
            <w:tr w14:paraId="481DAB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3D8C020">
                  <w:pPr>
                    <w:adjustRightInd w:val="0"/>
                    <w:snapToGrid w:val="0"/>
                    <w:jc w:val="center"/>
                    <w:rPr>
                      <w:rFonts w:eastAsiaTheme="minorEastAsia"/>
                      <w:color w:val="auto"/>
                      <w:szCs w:val="21"/>
                    </w:rPr>
                  </w:pPr>
                </w:p>
              </w:tc>
              <w:tc>
                <w:tcPr>
                  <w:tcW w:w="1884" w:type="pct"/>
                  <w:gridSpan w:val="2"/>
                  <w:vAlign w:val="center"/>
                </w:tcPr>
                <w:p w14:paraId="79E857B8">
                  <w:pPr>
                    <w:adjustRightInd w:val="0"/>
                    <w:snapToGrid w:val="0"/>
                    <w:rPr>
                      <w:rFonts w:eastAsiaTheme="minorEastAsia"/>
                      <w:color w:val="auto"/>
                      <w:szCs w:val="21"/>
                    </w:rPr>
                  </w:pPr>
                  <w:r>
                    <w:rPr>
                      <w:rFonts w:eastAsiaTheme="minorEastAsia"/>
                      <w:color w:val="auto"/>
                      <w:szCs w:val="21"/>
                    </w:rPr>
                    <w:t>禁止在长江干支流、重要湖泊岸线一公里范围内新建、改建化工园区和化工项目。禁止在长江干流岸线三公里范围内和重要支流岸线一公里范围内新建、改建、改建尾矿库、冶炼渣库和磷石膏库，以提升安全、生态环境保护水平为目的的改建除外。</w:t>
                  </w:r>
                </w:p>
              </w:tc>
              <w:tc>
                <w:tcPr>
                  <w:tcW w:w="1789" w:type="pct"/>
                  <w:vMerge w:val="continue"/>
                  <w:vAlign w:val="center"/>
                </w:tcPr>
                <w:p w14:paraId="33E9BCDC">
                  <w:pPr>
                    <w:adjustRightInd w:val="0"/>
                    <w:snapToGrid w:val="0"/>
                    <w:rPr>
                      <w:rFonts w:eastAsiaTheme="minorEastAsia"/>
                      <w:color w:val="auto"/>
                      <w:szCs w:val="21"/>
                    </w:rPr>
                  </w:pPr>
                </w:p>
              </w:tc>
              <w:tc>
                <w:tcPr>
                  <w:tcW w:w="280" w:type="pct"/>
                  <w:vMerge w:val="continue"/>
                  <w:vAlign w:val="center"/>
                </w:tcPr>
                <w:p w14:paraId="6925D2C8">
                  <w:pPr>
                    <w:adjustRightInd w:val="0"/>
                    <w:snapToGrid w:val="0"/>
                    <w:jc w:val="center"/>
                    <w:rPr>
                      <w:rFonts w:eastAsiaTheme="minorEastAsia"/>
                      <w:color w:val="auto"/>
                      <w:szCs w:val="21"/>
                    </w:rPr>
                  </w:pPr>
                </w:p>
              </w:tc>
            </w:tr>
            <w:tr w14:paraId="553867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4" w:hRule="atLeast"/>
              </w:trPr>
              <w:tc>
                <w:tcPr>
                  <w:tcW w:w="1046" w:type="pct"/>
                  <w:vMerge w:val="continue"/>
                  <w:vAlign w:val="center"/>
                </w:tcPr>
                <w:p w14:paraId="4DAF227E">
                  <w:pPr>
                    <w:adjustRightInd w:val="0"/>
                    <w:snapToGrid w:val="0"/>
                    <w:jc w:val="center"/>
                    <w:rPr>
                      <w:rFonts w:eastAsiaTheme="minorEastAsia"/>
                      <w:color w:val="auto"/>
                      <w:szCs w:val="21"/>
                    </w:rPr>
                  </w:pPr>
                </w:p>
              </w:tc>
              <w:tc>
                <w:tcPr>
                  <w:tcW w:w="1884" w:type="pct"/>
                  <w:gridSpan w:val="2"/>
                  <w:vAlign w:val="center"/>
                </w:tcPr>
                <w:p w14:paraId="7726AB35">
                  <w:pPr>
                    <w:adjustRightInd w:val="0"/>
                    <w:snapToGrid w:val="0"/>
                    <w:rPr>
                      <w:rFonts w:eastAsiaTheme="minorEastAsia"/>
                      <w:color w:val="auto"/>
                      <w:szCs w:val="21"/>
                    </w:rPr>
                  </w:pPr>
                  <w:r>
                    <w:rPr>
                      <w:rFonts w:eastAsiaTheme="minorEastAsia"/>
                      <w:color w:val="auto"/>
                      <w:szCs w:val="21"/>
                    </w:rPr>
                    <w:t>禁止在合规园区外新建、改建钢铁、石化、化工、焦化、建材、有色、制浆造纸等高污染项目。</w:t>
                  </w:r>
                </w:p>
              </w:tc>
              <w:tc>
                <w:tcPr>
                  <w:tcW w:w="1789" w:type="pct"/>
                  <w:vMerge w:val="restart"/>
                  <w:vAlign w:val="center"/>
                </w:tcPr>
                <w:p w14:paraId="173DC6E0">
                  <w:pPr>
                    <w:adjustRightInd w:val="0"/>
                    <w:snapToGrid w:val="0"/>
                    <w:rPr>
                      <w:rFonts w:eastAsiaTheme="minorEastAsia"/>
                      <w:color w:val="auto"/>
                      <w:szCs w:val="21"/>
                    </w:rPr>
                  </w:pPr>
                  <w:r>
                    <w:rPr>
                      <w:rFonts w:eastAsiaTheme="minorEastAsia"/>
                      <w:color w:val="auto"/>
                      <w:szCs w:val="21"/>
                    </w:rPr>
                    <w:t>建设项目为</w:t>
                  </w:r>
                  <w:r>
                    <w:rPr>
                      <w:rFonts w:hint="eastAsia" w:eastAsiaTheme="minorEastAsia"/>
                      <w:color w:val="auto"/>
                      <w:szCs w:val="21"/>
                    </w:rPr>
                    <w:t>胶合板</w:t>
                  </w:r>
                  <w:r>
                    <w:rPr>
                      <w:rFonts w:eastAsiaTheme="minorEastAsia"/>
                      <w:color w:val="auto"/>
                      <w:szCs w:val="21"/>
                    </w:rPr>
                    <w:t>生产项目</w:t>
                  </w:r>
                  <w:r>
                    <w:rPr>
                      <w:color w:val="auto"/>
                      <w:szCs w:val="21"/>
                    </w:rPr>
                    <w:t>，</w:t>
                  </w:r>
                  <w:r>
                    <w:rPr>
                      <w:rFonts w:eastAsiaTheme="minorEastAsia"/>
                      <w:color w:val="auto"/>
                      <w:szCs w:val="21"/>
                    </w:rPr>
                    <w:t>不属于钢铁、石化、化工、焦化、建材、有色等高污染项目。</w:t>
                  </w:r>
                </w:p>
              </w:tc>
              <w:tc>
                <w:tcPr>
                  <w:tcW w:w="280" w:type="pct"/>
                  <w:vMerge w:val="restart"/>
                  <w:vAlign w:val="center"/>
                </w:tcPr>
                <w:p w14:paraId="34E624D2">
                  <w:pPr>
                    <w:adjustRightInd w:val="0"/>
                    <w:snapToGrid w:val="0"/>
                    <w:jc w:val="center"/>
                    <w:rPr>
                      <w:rFonts w:eastAsiaTheme="minorEastAsia"/>
                      <w:color w:val="auto"/>
                      <w:szCs w:val="21"/>
                    </w:rPr>
                  </w:pPr>
                  <w:r>
                    <w:rPr>
                      <w:rFonts w:eastAsiaTheme="minorEastAsia"/>
                      <w:color w:val="auto"/>
                      <w:szCs w:val="21"/>
                    </w:rPr>
                    <w:t>符合</w:t>
                  </w:r>
                </w:p>
              </w:tc>
            </w:tr>
            <w:tr w14:paraId="12A3E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655BB00">
                  <w:pPr>
                    <w:adjustRightInd w:val="0"/>
                    <w:snapToGrid w:val="0"/>
                    <w:jc w:val="center"/>
                    <w:rPr>
                      <w:rFonts w:eastAsiaTheme="minorEastAsia"/>
                      <w:color w:val="auto"/>
                      <w:szCs w:val="21"/>
                    </w:rPr>
                  </w:pPr>
                </w:p>
              </w:tc>
              <w:tc>
                <w:tcPr>
                  <w:tcW w:w="1884" w:type="pct"/>
                  <w:gridSpan w:val="2"/>
                  <w:vAlign w:val="center"/>
                </w:tcPr>
                <w:p w14:paraId="2630694D">
                  <w:pPr>
                    <w:adjustRightInd w:val="0"/>
                    <w:snapToGrid w:val="0"/>
                    <w:rPr>
                      <w:rFonts w:eastAsiaTheme="minorEastAsia"/>
                      <w:color w:val="auto"/>
                      <w:szCs w:val="21"/>
                    </w:rPr>
                  </w:pPr>
                  <w:r>
                    <w:rPr>
                      <w:rFonts w:eastAsiaTheme="minorEastAsia"/>
                      <w:color w:val="auto"/>
                      <w:szCs w:val="21"/>
                    </w:rPr>
                    <w:t>禁止在合规园区外新建、改建钢铁、石化、化工、焦化、建材、有色等高污染项目。名录按照《江苏省长江经济带发展负面清单实施细则（试行）合规园区名录》执行。高污染项目应严格按照《环境保护综合名录》等有关要求执行。</w:t>
                  </w:r>
                </w:p>
              </w:tc>
              <w:tc>
                <w:tcPr>
                  <w:tcW w:w="1789" w:type="pct"/>
                  <w:vMerge w:val="continue"/>
                  <w:vAlign w:val="center"/>
                </w:tcPr>
                <w:p w14:paraId="13532D9C">
                  <w:pPr>
                    <w:adjustRightInd w:val="0"/>
                    <w:snapToGrid w:val="0"/>
                    <w:rPr>
                      <w:rFonts w:eastAsiaTheme="minorEastAsia"/>
                      <w:color w:val="auto"/>
                      <w:szCs w:val="21"/>
                    </w:rPr>
                  </w:pPr>
                </w:p>
              </w:tc>
              <w:tc>
                <w:tcPr>
                  <w:tcW w:w="280" w:type="pct"/>
                  <w:vMerge w:val="continue"/>
                  <w:vAlign w:val="center"/>
                </w:tcPr>
                <w:p w14:paraId="23B0462D">
                  <w:pPr>
                    <w:adjustRightInd w:val="0"/>
                    <w:snapToGrid w:val="0"/>
                    <w:jc w:val="center"/>
                    <w:rPr>
                      <w:rFonts w:eastAsiaTheme="minorEastAsia"/>
                      <w:color w:val="auto"/>
                      <w:szCs w:val="21"/>
                    </w:rPr>
                  </w:pPr>
                </w:p>
              </w:tc>
            </w:tr>
            <w:tr w14:paraId="4798D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13A9AA1F">
                  <w:pPr>
                    <w:adjustRightInd w:val="0"/>
                    <w:snapToGrid w:val="0"/>
                    <w:jc w:val="center"/>
                    <w:rPr>
                      <w:rFonts w:eastAsiaTheme="minorEastAsia"/>
                      <w:color w:val="auto"/>
                      <w:szCs w:val="21"/>
                    </w:rPr>
                  </w:pPr>
                </w:p>
              </w:tc>
              <w:tc>
                <w:tcPr>
                  <w:tcW w:w="1884" w:type="pct"/>
                  <w:gridSpan w:val="2"/>
                  <w:vAlign w:val="center"/>
                </w:tcPr>
                <w:p w14:paraId="33C776EA">
                  <w:pPr>
                    <w:adjustRightInd w:val="0"/>
                    <w:snapToGrid w:val="0"/>
                    <w:rPr>
                      <w:rFonts w:eastAsiaTheme="minorEastAsia"/>
                      <w:color w:val="auto"/>
                      <w:szCs w:val="21"/>
                    </w:rPr>
                  </w:pPr>
                  <w:r>
                    <w:rPr>
                      <w:rFonts w:eastAsiaTheme="minorEastAsia"/>
                      <w:color w:val="auto"/>
                      <w:szCs w:val="21"/>
                    </w:rPr>
                    <w:t>禁止新建、改建不符合国家石化、现代煤化工等产业布局规划的项目。</w:t>
                  </w:r>
                </w:p>
              </w:tc>
              <w:tc>
                <w:tcPr>
                  <w:tcW w:w="1789" w:type="pct"/>
                  <w:vAlign w:val="center"/>
                </w:tcPr>
                <w:p w14:paraId="0510E272">
                  <w:pPr>
                    <w:adjustRightInd w:val="0"/>
                    <w:snapToGrid w:val="0"/>
                    <w:rPr>
                      <w:rFonts w:eastAsiaTheme="minorEastAsia"/>
                      <w:color w:val="auto"/>
                      <w:szCs w:val="21"/>
                    </w:rPr>
                  </w:pPr>
                  <w:r>
                    <w:rPr>
                      <w:rFonts w:eastAsiaTheme="minorEastAsia"/>
                      <w:color w:val="auto"/>
                      <w:szCs w:val="21"/>
                    </w:rPr>
                    <w:t>建设项目为</w:t>
                  </w:r>
                  <w:r>
                    <w:rPr>
                      <w:rFonts w:hint="eastAsia" w:eastAsiaTheme="minorEastAsia"/>
                      <w:color w:val="auto"/>
                      <w:szCs w:val="21"/>
                    </w:rPr>
                    <w:t>胶合板</w:t>
                  </w:r>
                  <w:r>
                    <w:rPr>
                      <w:color w:val="auto"/>
                      <w:kern w:val="0"/>
                      <w:szCs w:val="21"/>
                    </w:rPr>
                    <w:t>生产项目</w:t>
                  </w:r>
                  <w:r>
                    <w:rPr>
                      <w:rFonts w:eastAsiaTheme="minorEastAsia"/>
                      <w:color w:val="auto"/>
                      <w:szCs w:val="21"/>
                    </w:rPr>
                    <w:t>，不属于国家石化、现代煤化工等产业。</w:t>
                  </w:r>
                </w:p>
              </w:tc>
              <w:tc>
                <w:tcPr>
                  <w:tcW w:w="280" w:type="pct"/>
                  <w:vAlign w:val="center"/>
                </w:tcPr>
                <w:p w14:paraId="4DC39CFC">
                  <w:pPr>
                    <w:adjustRightInd w:val="0"/>
                    <w:snapToGrid w:val="0"/>
                    <w:jc w:val="center"/>
                    <w:rPr>
                      <w:rFonts w:eastAsiaTheme="minorEastAsia"/>
                      <w:color w:val="auto"/>
                      <w:szCs w:val="21"/>
                    </w:rPr>
                  </w:pPr>
                  <w:r>
                    <w:rPr>
                      <w:rFonts w:eastAsiaTheme="minorEastAsia"/>
                      <w:color w:val="auto"/>
                      <w:szCs w:val="21"/>
                    </w:rPr>
                    <w:t>符合</w:t>
                  </w:r>
                </w:p>
              </w:tc>
            </w:tr>
            <w:tr w14:paraId="763E9C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0C1369B4">
                  <w:pPr>
                    <w:adjustRightInd w:val="0"/>
                    <w:snapToGrid w:val="0"/>
                    <w:jc w:val="center"/>
                    <w:rPr>
                      <w:rFonts w:eastAsiaTheme="minorEastAsia"/>
                      <w:color w:val="auto"/>
                      <w:szCs w:val="21"/>
                    </w:rPr>
                  </w:pPr>
                </w:p>
              </w:tc>
              <w:tc>
                <w:tcPr>
                  <w:tcW w:w="1884" w:type="pct"/>
                  <w:gridSpan w:val="2"/>
                  <w:vAlign w:val="center"/>
                </w:tcPr>
                <w:p w14:paraId="4C796480">
                  <w:pPr>
                    <w:adjustRightInd w:val="0"/>
                    <w:snapToGrid w:val="0"/>
                    <w:rPr>
                      <w:rFonts w:eastAsiaTheme="minorEastAsia"/>
                      <w:color w:val="auto"/>
                      <w:szCs w:val="21"/>
                    </w:rPr>
                  </w:pPr>
                  <w:r>
                    <w:rPr>
                      <w:rFonts w:eastAsiaTheme="minorEastAsia"/>
                      <w:color w:val="auto"/>
                      <w:szCs w:val="21"/>
                    </w:rPr>
                    <w:t>禁止新建、改建法律法规和相关政策明令禁止的落后产能项目。禁止新建、改建不符合国家产能置换要求的严重过剩产能行业的项目。禁止新建、改建不符合要求的高耗能高排放项目。</w:t>
                  </w:r>
                </w:p>
              </w:tc>
              <w:tc>
                <w:tcPr>
                  <w:tcW w:w="1789" w:type="pct"/>
                  <w:vAlign w:val="center"/>
                </w:tcPr>
                <w:p w14:paraId="42F33D5D">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项目为</w:t>
                  </w:r>
                  <w:r>
                    <w:rPr>
                      <w:rFonts w:hint="eastAsia" w:eastAsiaTheme="minorEastAsia"/>
                      <w:color w:val="auto"/>
                      <w:szCs w:val="21"/>
                    </w:rPr>
                    <w:t>胶合板</w:t>
                  </w:r>
                  <w:r>
                    <w:rPr>
                      <w:color w:val="auto"/>
                      <w:kern w:val="0"/>
                      <w:szCs w:val="21"/>
                    </w:rPr>
                    <w:t>生产</w:t>
                  </w:r>
                  <w:r>
                    <w:rPr>
                      <w:rFonts w:eastAsiaTheme="minorEastAsia"/>
                      <w:color w:val="auto"/>
                      <w:szCs w:val="21"/>
                    </w:rPr>
                    <w:t>项目，不属于落后产能、产能过剩、高耗能高排放项目。</w:t>
                  </w:r>
                </w:p>
              </w:tc>
              <w:tc>
                <w:tcPr>
                  <w:tcW w:w="280" w:type="pct"/>
                  <w:vAlign w:val="center"/>
                </w:tcPr>
                <w:p w14:paraId="05DEC398">
                  <w:pPr>
                    <w:adjustRightInd w:val="0"/>
                    <w:snapToGrid w:val="0"/>
                    <w:jc w:val="center"/>
                    <w:rPr>
                      <w:rFonts w:eastAsiaTheme="minorEastAsia"/>
                      <w:color w:val="auto"/>
                      <w:szCs w:val="21"/>
                    </w:rPr>
                  </w:pPr>
                  <w:r>
                    <w:rPr>
                      <w:rFonts w:eastAsiaTheme="minorEastAsia"/>
                      <w:color w:val="auto"/>
                      <w:szCs w:val="21"/>
                    </w:rPr>
                    <w:t>符合</w:t>
                  </w:r>
                </w:p>
              </w:tc>
            </w:tr>
            <w:tr w14:paraId="24E08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49BAA311">
                  <w:pPr>
                    <w:adjustRightInd w:val="0"/>
                    <w:snapToGrid w:val="0"/>
                    <w:jc w:val="center"/>
                    <w:rPr>
                      <w:rFonts w:eastAsiaTheme="minorEastAsia"/>
                      <w:color w:val="auto"/>
                      <w:szCs w:val="21"/>
                    </w:rPr>
                  </w:pPr>
                </w:p>
              </w:tc>
              <w:tc>
                <w:tcPr>
                  <w:tcW w:w="1884" w:type="pct"/>
                  <w:gridSpan w:val="2"/>
                  <w:vAlign w:val="center"/>
                </w:tcPr>
                <w:p w14:paraId="00B0FBEE">
                  <w:pPr>
                    <w:adjustRightInd w:val="0"/>
                    <w:snapToGrid w:val="0"/>
                    <w:rPr>
                      <w:rFonts w:eastAsiaTheme="minorEastAsia"/>
                      <w:color w:val="auto"/>
                      <w:szCs w:val="21"/>
                    </w:rPr>
                  </w:pPr>
                  <w:r>
                    <w:rPr>
                      <w:rFonts w:eastAsiaTheme="minorEastAsia"/>
                      <w:color w:val="auto"/>
                      <w:szCs w:val="21"/>
                    </w:rPr>
                    <w:t>禁止新建、改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89" w:type="pct"/>
                  <w:vAlign w:val="center"/>
                </w:tcPr>
                <w:p w14:paraId="1F2A539A">
                  <w:pPr>
                    <w:adjustRightInd w:val="0"/>
                    <w:snapToGrid w:val="0"/>
                    <w:rPr>
                      <w:rFonts w:eastAsiaTheme="minorEastAsia"/>
                      <w:color w:val="auto"/>
                      <w:szCs w:val="21"/>
                    </w:rPr>
                  </w:pPr>
                  <w:r>
                    <w:rPr>
                      <w:rFonts w:eastAsiaTheme="minorEastAsia"/>
                      <w:color w:val="auto"/>
                      <w:szCs w:val="21"/>
                    </w:rPr>
                    <w:t>建设项目不属于国家《产业结构调整指导目录》明确的限制类、淘汰类、禁止类项目，不属于法律法规和相关政策明令禁止的落后产能以及明令淘汰的安全生产落后工艺及装备项目。</w:t>
                  </w:r>
                </w:p>
              </w:tc>
              <w:tc>
                <w:tcPr>
                  <w:tcW w:w="280" w:type="pct"/>
                  <w:vAlign w:val="center"/>
                </w:tcPr>
                <w:p w14:paraId="0F67E2AA">
                  <w:pPr>
                    <w:adjustRightInd w:val="0"/>
                    <w:snapToGrid w:val="0"/>
                    <w:jc w:val="center"/>
                    <w:rPr>
                      <w:rFonts w:eastAsiaTheme="minorEastAsia"/>
                      <w:color w:val="auto"/>
                      <w:szCs w:val="21"/>
                    </w:rPr>
                  </w:pPr>
                  <w:r>
                    <w:rPr>
                      <w:rFonts w:eastAsiaTheme="minorEastAsia"/>
                      <w:color w:val="auto"/>
                      <w:szCs w:val="21"/>
                    </w:rPr>
                    <w:t>符合</w:t>
                  </w:r>
                </w:p>
              </w:tc>
            </w:tr>
            <w:tr w14:paraId="35331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Align w:val="center"/>
                </w:tcPr>
                <w:p w14:paraId="235DF760">
                  <w:pPr>
                    <w:adjustRightInd w:val="0"/>
                    <w:snapToGrid w:val="0"/>
                    <w:jc w:val="center"/>
                    <w:rPr>
                      <w:rFonts w:eastAsiaTheme="minorEastAsia"/>
                      <w:color w:val="auto"/>
                      <w:szCs w:val="21"/>
                    </w:rPr>
                  </w:pPr>
                  <w:r>
                    <w:rPr>
                      <w:rFonts w:eastAsiaTheme="minorEastAsia"/>
                      <w:color w:val="auto"/>
                      <w:szCs w:val="21"/>
                    </w:rPr>
                    <w:t>《省政府办公厅关于印发江苏省“十四五”生态环境保护规划的通知》（苏政办发</w:t>
                  </w:r>
                  <w:r>
                    <w:rPr>
                      <w:rFonts w:hint="eastAsia" w:eastAsiaTheme="minorEastAsia"/>
                      <w:color w:val="auto"/>
                      <w:szCs w:val="21"/>
                      <w:lang w:eastAsia="zh-CN"/>
                    </w:rPr>
                    <w:t>〔2021〕84号</w:t>
                  </w:r>
                  <w:r>
                    <w:rPr>
                      <w:rFonts w:eastAsiaTheme="minorEastAsia"/>
                      <w:color w:val="auto"/>
                      <w:szCs w:val="21"/>
                    </w:rPr>
                    <w:t>）</w:t>
                  </w:r>
                </w:p>
              </w:tc>
              <w:tc>
                <w:tcPr>
                  <w:tcW w:w="1884" w:type="pct"/>
                  <w:gridSpan w:val="2"/>
                  <w:vAlign w:val="center"/>
                </w:tcPr>
                <w:p w14:paraId="7350B09C">
                  <w:pPr>
                    <w:adjustRightInd w:val="0"/>
                    <w:snapToGrid w:val="0"/>
                    <w:rPr>
                      <w:rFonts w:eastAsiaTheme="minorEastAsia"/>
                      <w:color w:val="auto"/>
                      <w:szCs w:val="21"/>
                    </w:rPr>
                  </w:pPr>
                  <w:r>
                    <w:rPr>
                      <w:rFonts w:eastAsiaTheme="minorEastAsia"/>
                      <w:color w:val="auto"/>
                      <w:szCs w:val="21"/>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白名单”制度。</w:t>
                  </w:r>
                </w:p>
              </w:tc>
              <w:tc>
                <w:tcPr>
                  <w:tcW w:w="1789" w:type="pct"/>
                  <w:vAlign w:val="center"/>
                </w:tcPr>
                <w:p w14:paraId="3FF392EE">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项目建成后将在“</w:t>
                  </w:r>
                  <w:r>
                    <w:rPr>
                      <w:rFonts w:hint="eastAsia"/>
                      <w:color w:val="auto"/>
                      <w:szCs w:val="21"/>
                    </w:rPr>
                    <w:t>江苏省固体废物管理信息系统</w:t>
                  </w:r>
                  <w:r>
                    <w:rPr>
                      <w:rFonts w:eastAsiaTheme="minorEastAsia"/>
                      <w:color w:val="auto"/>
                      <w:szCs w:val="21"/>
                    </w:rPr>
                    <w:t>”完善危险废物全生命周期监控系统</w:t>
                  </w:r>
                  <w:r>
                    <w:rPr>
                      <w:rFonts w:hint="eastAsia" w:eastAsiaTheme="minorEastAsia"/>
                      <w:color w:val="auto"/>
                      <w:szCs w:val="21"/>
                      <w:lang w:eastAsia="zh-CN"/>
                    </w:rPr>
                    <w:t>并以</w:t>
                  </w:r>
                  <w:r>
                    <w:rPr>
                      <w:rFonts w:eastAsiaTheme="minorEastAsia"/>
                      <w:color w:val="auto"/>
                      <w:szCs w:val="21"/>
                    </w:rPr>
                    <w:t>加强危险废物流向监控。</w:t>
                  </w:r>
                </w:p>
              </w:tc>
              <w:tc>
                <w:tcPr>
                  <w:tcW w:w="280" w:type="pct"/>
                  <w:vAlign w:val="center"/>
                </w:tcPr>
                <w:p w14:paraId="514D604B">
                  <w:pPr>
                    <w:adjustRightInd w:val="0"/>
                    <w:snapToGrid w:val="0"/>
                    <w:jc w:val="center"/>
                    <w:rPr>
                      <w:rFonts w:eastAsiaTheme="minorEastAsia"/>
                      <w:color w:val="auto"/>
                      <w:szCs w:val="21"/>
                    </w:rPr>
                  </w:pPr>
                  <w:r>
                    <w:rPr>
                      <w:rFonts w:eastAsiaTheme="minorEastAsia"/>
                      <w:color w:val="auto"/>
                      <w:szCs w:val="21"/>
                    </w:rPr>
                    <w:t>符合</w:t>
                  </w:r>
                </w:p>
              </w:tc>
            </w:tr>
            <w:tr w14:paraId="7BC73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Align w:val="center"/>
                </w:tcPr>
                <w:p w14:paraId="79284612">
                  <w:pPr>
                    <w:adjustRightInd w:val="0"/>
                    <w:snapToGrid w:val="0"/>
                    <w:jc w:val="left"/>
                    <w:rPr>
                      <w:rFonts w:eastAsiaTheme="minorEastAsia"/>
                      <w:color w:val="auto"/>
                      <w:szCs w:val="21"/>
                    </w:rPr>
                  </w:pPr>
                  <w:r>
                    <w:rPr>
                      <w:rFonts w:eastAsiaTheme="minorEastAsia"/>
                      <w:color w:val="auto"/>
                      <w:szCs w:val="21"/>
                    </w:rPr>
                    <w:t>《省政府关于印发大运河江苏段核心监控区国土空间管控暂行办法的通知》（苏政发</w:t>
                  </w:r>
                  <w:r>
                    <w:rPr>
                      <w:rFonts w:hint="eastAsia" w:eastAsiaTheme="minorEastAsia"/>
                      <w:color w:val="auto"/>
                      <w:szCs w:val="21"/>
                      <w:lang w:eastAsia="zh-CN"/>
                    </w:rPr>
                    <w:t>〔2021〕20号</w:t>
                  </w:r>
                </w:p>
              </w:tc>
              <w:tc>
                <w:tcPr>
                  <w:tcW w:w="1884" w:type="pct"/>
                  <w:gridSpan w:val="2"/>
                  <w:vAlign w:val="center"/>
                </w:tcPr>
                <w:p w14:paraId="600C35A7">
                  <w:pPr>
                    <w:adjustRightInd w:val="0"/>
                    <w:snapToGrid w:val="0"/>
                    <w:jc w:val="left"/>
                    <w:rPr>
                      <w:rFonts w:eastAsiaTheme="minorEastAsia"/>
                      <w:color w:val="auto"/>
                      <w:szCs w:val="21"/>
                    </w:rPr>
                  </w:pPr>
                  <w:r>
                    <w:rPr>
                      <w:rFonts w:eastAsiaTheme="minorEastAsia"/>
                      <w:color w:val="auto"/>
                      <w:szCs w:val="21"/>
                    </w:rPr>
                    <w:t>第二条在大运河江苏段核心监控区内从事各类国土空间保护与开发利用活动，应遵守本办法。</w:t>
                  </w:r>
                </w:p>
                <w:p w14:paraId="04FF480E">
                  <w:pPr>
                    <w:adjustRightInd w:val="0"/>
                    <w:snapToGrid w:val="0"/>
                    <w:jc w:val="left"/>
                    <w:rPr>
                      <w:rFonts w:eastAsiaTheme="minorEastAsia"/>
                      <w:color w:val="auto"/>
                      <w:szCs w:val="21"/>
                    </w:rPr>
                  </w:pPr>
                  <w:r>
                    <w:rPr>
                      <w:rFonts w:eastAsiaTheme="minorEastAsia"/>
                      <w:color w:val="auto"/>
                      <w:szCs w:val="21"/>
                    </w:rPr>
                    <w:t>第三条本办法所称核心监控区，是指大运河江苏段主河道两岸各2千米的范围。滨河生态空间，是指核心监控区内，原则上除建成区（城市、建制镇）外，大运河江苏段主河道两岸各1千米的范围。</w:t>
                  </w:r>
                </w:p>
              </w:tc>
              <w:tc>
                <w:tcPr>
                  <w:tcW w:w="1789" w:type="pct"/>
                  <w:vMerge w:val="restart"/>
                  <w:vAlign w:val="center"/>
                </w:tcPr>
                <w:p w14:paraId="3024E766">
                  <w:pPr>
                    <w:adjustRightInd w:val="0"/>
                    <w:snapToGrid w:val="0"/>
                    <w:jc w:val="left"/>
                    <w:rPr>
                      <w:rFonts w:eastAsiaTheme="minorEastAsia"/>
                      <w:color w:val="auto"/>
                      <w:szCs w:val="21"/>
                    </w:rPr>
                  </w:pPr>
                  <w:r>
                    <w:rPr>
                      <w:rFonts w:hint="eastAsia" w:eastAsiaTheme="minorEastAsia"/>
                      <w:color w:val="auto"/>
                      <w:szCs w:val="21"/>
                    </w:rPr>
                    <w:t>建设</w:t>
                  </w:r>
                  <w:r>
                    <w:rPr>
                      <w:rFonts w:eastAsiaTheme="minorEastAsia"/>
                      <w:color w:val="auto"/>
                      <w:szCs w:val="21"/>
                    </w:rPr>
                    <w:t>项目位于大运河北侧</w:t>
                  </w:r>
                  <w:r>
                    <w:rPr>
                      <w:rFonts w:hint="eastAsia" w:eastAsiaTheme="minorEastAsia"/>
                      <w:color w:val="auto"/>
                      <w:szCs w:val="21"/>
                    </w:rPr>
                    <w:t>35.6</w:t>
                  </w:r>
                  <w:r>
                    <w:rPr>
                      <w:rFonts w:eastAsiaTheme="minorEastAsia"/>
                      <w:color w:val="auto"/>
                      <w:szCs w:val="21"/>
                    </w:rPr>
                    <w:t>km，不在核心监控区、滨河生态空间范围内。</w:t>
                  </w:r>
                </w:p>
              </w:tc>
              <w:tc>
                <w:tcPr>
                  <w:tcW w:w="280" w:type="pct"/>
                  <w:vMerge w:val="restart"/>
                  <w:vAlign w:val="center"/>
                </w:tcPr>
                <w:p w14:paraId="7282AEBB">
                  <w:pPr>
                    <w:adjustRightInd w:val="0"/>
                    <w:snapToGrid w:val="0"/>
                    <w:jc w:val="center"/>
                    <w:rPr>
                      <w:rFonts w:eastAsiaTheme="minorEastAsia"/>
                      <w:color w:val="auto"/>
                      <w:szCs w:val="21"/>
                    </w:rPr>
                  </w:pPr>
                  <w:r>
                    <w:rPr>
                      <w:rFonts w:eastAsiaTheme="minorEastAsia"/>
                      <w:color w:val="auto"/>
                      <w:szCs w:val="21"/>
                    </w:rPr>
                    <w:t>符合</w:t>
                  </w:r>
                </w:p>
              </w:tc>
            </w:tr>
            <w:tr w14:paraId="180D4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Align w:val="center"/>
                </w:tcPr>
                <w:p w14:paraId="3CE30F14">
                  <w:pPr>
                    <w:adjustRightInd w:val="0"/>
                    <w:snapToGrid w:val="0"/>
                    <w:jc w:val="left"/>
                    <w:rPr>
                      <w:rFonts w:eastAsiaTheme="minorEastAsia"/>
                      <w:color w:val="auto"/>
                      <w:szCs w:val="21"/>
                    </w:rPr>
                  </w:pPr>
                  <w:r>
                    <w:rPr>
                      <w:rFonts w:eastAsiaTheme="minorEastAsia"/>
                      <w:color w:val="auto"/>
                      <w:szCs w:val="21"/>
                    </w:rPr>
                    <w:t>《市政府关于印发大运河淮安段核心监控区国土空间管控细则的通知》（淮政规</w:t>
                  </w:r>
                  <w:r>
                    <w:rPr>
                      <w:rFonts w:hint="eastAsia" w:eastAsiaTheme="minorEastAsia"/>
                      <w:color w:val="auto"/>
                      <w:szCs w:val="21"/>
                      <w:lang w:eastAsia="zh-CN"/>
                    </w:rPr>
                    <w:t>〔2022〕8号</w:t>
                  </w:r>
                  <w:r>
                    <w:rPr>
                      <w:rFonts w:eastAsiaTheme="minorEastAsia"/>
                      <w:color w:val="auto"/>
                      <w:szCs w:val="21"/>
                    </w:rPr>
                    <w:t>）</w:t>
                  </w:r>
                </w:p>
              </w:tc>
              <w:tc>
                <w:tcPr>
                  <w:tcW w:w="1884" w:type="pct"/>
                  <w:gridSpan w:val="2"/>
                  <w:vAlign w:val="center"/>
                </w:tcPr>
                <w:p w14:paraId="033A173F">
                  <w:pPr>
                    <w:adjustRightInd w:val="0"/>
                    <w:snapToGrid w:val="0"/>
                    <w:jc w:val="left"/>
                    <w:rPr>
                      <w:rFonts w:eastAsiaTheme="minorEastAsia"/>
                      <w:color w:val="auto"/>
                      <w:szCs w:val="21"/>
                    </w:rPr>
                  </w:pPr>
                  <w:r>
                    <w:rPr>
                      <w:rFonts w:eastAsiaTheme="minorEastAsia"/>
                      <w:color w:val="auto"/>
                      <w:szCs w:val="21"/>
                    </w:rPr>
                    <w:t>第二条在大运河淮安段核心监控区内从事各类国土空间保护与开发利用活动，应当遵守本细则。本细则所称大运河淮安段核心监控区，是指大运河淮安段、张福河两侧河道岸线临水边界线外各2千米的范围。</w:t>
                  </w:r>
                </w:p>
                <w:p w14:paraId="2B5D136C">
                  <w:pPr>
                    <w:tabs>
                      <w:tab w:val="left" w:pos="1418"/>
                    </w:tabs>
                    <w:adjustRightInd w:val="0"/>
                    <w:snapToGrid w:val="0"/>
                    <w:jc w:val="left"/>
                    <w:rPr>
                      <w:rFonts w:eastAsiaTheme="minorEastAsia"/>
                      <w:color w:val="auto"/>
                      <w:szCs w:val="21"/>
                    </w:rPr>
                  </w:pPr>
                  <w:r>
                    <w:rPr>
                      <w:rFonts w:eastAsiaTheme="minorEastAsia"/>
                      <w:color w:val="auto"/>
                      <w:szCs w:val="21"/>
                    </w:rPr>
                    <w:t>第四条本细则所称滨河生态空间，是指核心监控区内，原则上除建成区（城市、建制镇）外，大运河淮安段、张福河两侧河道岸线临水边界线外各1千米的范围。</w:t>
                  </w:r>
                </w:p>
              </w:tc>
              <w:tc>
                <w:tcPr>
                  <w:tcW w:w="1789" w:type="pct"/>
                  <w:vMerge w:val="continue"/>
                  <w:vAlign w:val="center"/>
                </w:tcPr>
                <w:p w14:paraId="1B9C6650">
                  <w:pPr>
                    <w:adjustRightInd w:val="0"/>
                    <w:snapToGrid w:val="0"/>
                    <w:jc w:val="left"/>
                    <w:rPr>
                      <w:rFonts w:eastAsiaTheme="minorEastAsia"/>
                      <w:color w:val="auto"/>
                      <w:szCs w:val="21"/>
                    </w:rPr>
                  </w:pPr>
                </w:p>
              </w:tc>
              <w:tc>
                <w:tcPr>
                  <w:tcW w:w="280" w:type="pct"/>
                  <w:vMerge w:val="continue"/>
                  <w:vAlign w:val="center"/>
                </w:tcPr>
                <w:p w14:paraId="003FD30F">
                  <w:pPr>
                    <w:adjustRightInd w:val="0"/>
                    <w:snapToGrid w:val="0"/>
                    <w:jc w:val="center"/>
                    <w:rPr>
                      <w:rFonts w:eastAsiaTheme="minorEastAsia"/>
                      <w:color w:val="auto"/>
                      <w:szCs w:val="21"/>
                    </w:rPr>
                  </w:pPr>
                </w:p>
              </w:tc>
            </w:tr>
            <w:tr w14:paraId="78C98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1046" w:type="pct"/>
                  <w:vMerge w:val="restart"/>
                  <w:vAlign w:val="center"/>
                </w:tcPr>
                <w:p w14:paraId="6925152E">
                  <w:pPr>
                    <w:adjustRightInd w:val="0"/>
                    <w:snapToGrid w:val="0"/>
                    <w:jc w:val="center"/>
                    <w:rPr>
                      <w:rFonts w:eastAsiaTheme="minorEastAsia"/>
                      <w:color w:val="auto"/>
                      <w:szCs w:val="21"/>
                    </w:rPr>
                  </w:pPr>
                  <w:r>
                    <w:rPr>
                      <w:rFonts w:eastAsiaTheme="minorEastAsia"/>
                      <w:color w:val="auto"/>
                      <w:szCs w:val="21"/>
                    </w:rPr>
                    <w:t>《江苏省生态环境厅关于进一步做好建设项目环评审批工作的通知》（苏环办</w:t>
                  </w:r>
                  <w:r>
                    <w:rPr>
                      <w:rFonts w:hint="eastAsia" w:eastAsiaTheme="minorEastAsia"/>
                      <w:color w:val="auto"/>
                      <w:szCs w:val="21"/>
                      <w:lang w:eastAsia="zh-CN"/>
                    </w:rPr>
                    <w:t>〔2019〕36号</w:t>
                  </w:r>
                  <w:r>
                    <w:rPr>
                      <w:rFonts w:eastAsiaTheme="minorEastAsia"/>
                      <w:color w:val="auto"/>
                      <w:szCs w:val="21"/>
                    </w:rPr>
                    <w:t>）</w:t>
                  </w:r>
                </w:p>
              </w:tc>
              <w:tc>
                <w:tcPr>
                  <w:tcW w:w="164" w:type="pct"/>
                  <w:vMerge w:val="restart"/>
                  <w:tcBorders>
                    <w:right w:val="single" w:color="auto" w:sz="4" w:space="0"/>
                  </w:tcBorders>
                  <w:vAlign w:val="center"/>
                </w:tcPr>
                <w:p w14:paraId="456F1FA6">
                  <w:pPr>
                    <w:tabs>
                      <w:tab w:val="left" w:pos="1418"/>
                    </w:tabs>
                    <w:adjustRightInd w:val="0"/>
                    <w:snapToGrid w:val="0"/>
                    <w:jc w:val="center"/>
                    <w:rPr>
                      <w:rFonts w:eastAsiaTheme="minorEastAsia"/>
                      <w:color w:val="auto"/>
                      <w:szCs w:val="21"/>
                    </w:rPr>
                  </w:pPr>
                  <w:r>
                    <w:rPr>
                      <w:rFonts w:eastAsiaTheme="minorEastAsia"/>
                      <w:color w:val="auto"/>
                      <w:szCs w:val="21"/>
                    </w:rPr>
                    <w:t>以下情形不予审批</w:t>
                  </w:r>
                </w:p>
              </w:tc>
              <w:tc>
                <w:tcPr>
                  <w:tcW w:w="1719" w:type="pct"/>
                  <w:tcBorders>
                    <w:left w:val="single" w:color="auto" w:sz="4" w:space="0"/>
                  </w:tcBorders>
                  <w:vAlign w:val="center"/>
                </w:tcPr>
                <w:p w14:paraId="0BB004A8">
                  <w:pPr>
                    <w:tabs>
                      <w:tab w:val="left" w:pos="1418"/>
                    </w:tabs>
                    <w:adjustRightInd w:val="0"/>
                    <w:snapToGrid w:val="0"/>
                    <w:jc w:val="center"/>
                    <w:rPr>
                      <w:rFonts w:eastAsiaTheme="minorEastAsia"/>
                      <w:color w:val="auto"/>
                      <w:szCs w:val="21"/>
                    </w:rPr>
                  </w:pPr>
                  <w:r>
                    <w:rPr>
                      <w:rFonts w:eastAsiaTheme="minorEastAsia"/>
                      <w:color w:val="auto"/>
                      <w:szCs w:val="21"/>
                    </w:rPr>
                    <w:t>建设项目类型及其选址、布局、规模</w:t>
                  </w:r>
                  <w:r>
                    <w:rPr>
                      <w:rFonts w:hint="eastAsia" w:eastAsiaTheme="minorEastAsia"/>
                      <w:color w:val="auto"/>
                      <w:szCs w:val="21"/>
                      <w:lang w:eastAsia="zh-CN"/>
                    </w:rPr>
                    <w:t>等</w:t>
                  </w:r>
                  <w:r>
                    <w:rPr>
                      <w:rFonts w:eastAsiaTheme="minorEastAsia"/>
                      <w:color w:val="auto"/>
                      <w:szCs w:val="21"/>
                    </w:rPr>
                    <w:t>符合环境保护法律法规和相关法定规划</w:t>
                  </w:r>
                </w:p>
              </w:tc>
              <w:tc>
                <w:tcPr>
                  <w:tcW w:w="1789" w:type="pct"/>
                  <w:vAlign w:val="center"/>
                </w:tcPr>
                <w:p w14:paraId="62992F97">
                  <w:pPr>
                    <w:adjustRightInd w:val="0"/>
                    <w:snapToGrid w:val="0"/>
                    <w:jc w:val="left"/>
                    <w:rPr>
                      <w:rFonts w:eastAsiaTheme="minorEastAsia"/>
                      <w:color w:val="auto"/>
                      <w:szCs w:val="21"/>
                    </w:rPr>
                  </w:pPr>
                  <w:r>
                    <w:rPr>
                      <w:rFonts w:eastAsiaTheme="minorEastAsia"/>
                      <w:color w:val="auto"/>
                      <w:szCs w:val="21"/>
                    </w:rPr>
                    <w:t>经过与“三线一单”及规划相符性分析可知，</w:t>
                  </w:r>
                  <w:r>
                    <w:rPr>
                      <w:rFonts w:hint="eastAsia" w:eastAsiaTheme="minorEastAsia"/>
                      <w:color w:val="auto"/>
                      <w:szCs w:val="21"/>
                    </w:rPr>
                    <w:t>建设</w:t>
                  </w:r>
                  <w:r>
                    <w:rPr>
                      <w:rFonts w:eastAsiaTheme="minorEastAsia"/>
                      <w:color w:val="auto"/>
                      <w:szCs w:val="21"/>
                    </w:rPr>
                    <w:t>项目类型及其选址、布局、规模等均符合环境保护法律法规和相关法定规划。</w:t>
                  </w:r>
                </w:p>
              </w:tc>
              <w:tc>
                <w:tcPr>
                  <w:tcW w:w="280" w:type="pct"/>
                  <w:vMerge w:val="restart"/>
                  <w:vAlign w:val="center"/>
                </w:tcPr>
                <w:p w14:paraId="78E0723C">
                  <w:pPr>
                    <w:adjustRightInd w:val="0"/>
                    <w:snapToGrid w:val="0"/>
                    <w:jc w:val="center"/>
                    <w:rPr>
                      <w:rFonts w:eastAsiaTheme="minorEastAsia"/>
                      <w:color w:val="auto"/>
                      <w:szCs w:val="21"/>
                    </w:rPr>
                  </w:pPr>
                  <w:r>
                    <w:rPr>
                      <w:rFonts w:eastAsiaTheme="minorEastAsia"/>
                      <w:color w:val="auto"/>
                      <w:szCs w:val="21"/>
                    </w:rPr>
                    <w:t>符合</w:t>
                  </w:r>
                </w:p>
              </w:tc>
            </w:tr>
            <w:tr w14:paraId="7EA96D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1095397">
                  <w:pPr>
                    <w:keepNext/>
                    <w:overflowPunct w:val="0"/>
                    <w:adjustRightInd w:val="0"/>
                    <w:snapToGrid w:val="0"/>
                    <w:spacing w:before="120" w:after="160" w:line="259" w:lineRule="auto"/>
                    <w:ind w:left="432" w:hanging="432"/>
                    <w:jc w:val="center"/>
                    <w:outlineLvl w:val="9"/>
                    <w:rPr>
                      <w:rFonts w:eastAsiaTheme="minorEastAsia"/>
                      <w:color w:val="auto"/>
                      <w:szCs w:val="21"/>
                    </w:rPr>
                  </w:pPr>
                </w:p>
              </w:tc>
              <w:tc>
                <w:tcPr>
                  <w:tcW w:w="164" w:type="pct"/>
                  <w:vMerge w:val="continue"/>
                  <w:tcBorders>
                    <w:right w:val="single" w:color="auto" w:sz="4" w:space="0"/>
                  </w:tcBorders>
                  <w:vAlign w:val="center"/>
                </w:tcPr>
                <w:p w14:paraId="5C79817C">
                  <w:pPr>
                    <w:keepNext/>
                    <w:overflowPunct w:val="0"/>
                    <w:adjustRightInd w:val="0"/>
                    <w:snapToGrid w:val="0"/>
                    <w:spacing w:before="120" w:after="160" w:line="259" w:lineRule="auto"/>
                    <w:ind w:left="432" w:hanging="432"/>
                    <w:jc w:val="center"/>
                    <w:outlineLvl w:val="9"/>
                    <w:rPr>
                      <w:rFonts w:eastAsiaTheme="minorEastAsia"/>
                      <w:color w:val="auto"/>
                      <w:szCs w:val="21"/>
                    </w:rPr>
                  </w:pPr>
                </w:p>
              </w:tc>
              <w:tc>
                <w:tcPr>
                  <w:tcW w:w="1719" w:type="pct"/>
                  <w:tcBorders>
                    <w:left w:val="single" w:color="auto" w:sz="4" w:space="0"/>
                  </w:tcBorders>
                  <w:vAlign w:val="center"/>
                </w:tcPr>
                <w:p w14:paraId="4B68F7FA">
                  <w:pPr>
                    <w:adjustRightInd w:val="0"/>
                    <w:snapToGrid w:val="0"/>
                    <w:jc w:val="center"/>
                    <w:rPr>
                      <w:rFonts w:eastAsiaTheme="minorEastAsia"/>
                      <w:color w:val="auto"/>
                      <w:szCs w:val="21"/>
                    </w:rPr>
                  </w:pPr>
                  <w:r>
                    <w:rPr>
                      <w:rFonts w:eastAsiaTheme="minorEastAsia"/>
                      <w:color w:val="auto"/>
                      <w:szCs w:val="21"/>
                    </w:rPr>
                    <w:t>所在区域环境质量未达到国家或者地方环境质量标准，且建设项目拟采取的措施不能满足区域环境质量改善目标管理要求</w:t>
                  </w:r>
                </w:p>
              </w:tc>
              <w:tc>
                <w:tcPr>
                  <w:tcW w:w="1789" w:type="pct"/>
                  <w:vAlign w:val="center"/>
                </w:tcPr>
                <w:p w14:paraId="153A4FD4">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项目所在区域环境空气满足国家二级标准要求，其他污染物（</w:t>
                  </w:r>
                  <w:r>
                    <w:rPr>
                      <w:rFonts w:hint="eastAsia" w:eastAsiaTheme="minorEastAsia"/>
                      <w:color w:val="auto"/>
                      <w:szCs w:val="21"/>
                    </w:rPr>
                    <w:t>甲醛</w:t>
                  </w:r>
                  <w:r>
                    <w:rPr>
                      <w:rFonts w:eastAsiaTheme="minorEastAsia"/>
                      <w:color w:val="auto"/>
                      <w:szCs w:val="21"/>
                    </w:rPr>
                    <w:t>、非甲烷总烃）未超过环境质量标准。</w:t>
                  </w:r>
                  <w:r>
                    <w:rPr>
                      <w:rFonts w:hint="eastAsia"/>
                      <w:color w:val="auto"/>
                      <w:szCs w:val="21"/>
                    </w:rPr>
                    <w:t>建设项目不涉及生产废水</w:t>
                  </w:r>
                  <w:r>
                    <w:rPr>
                      <w:rFonts w:hint="eastAsia"/>
                      <w:color w:val="auto"/>
                      <w:szCs w:val="21"/>
                      <w:lang w:eastAsia="zh-CN"/>
                    </w:rPr>
                    <w:t>排放</w:t>
                  </w:r>
                  <w:r>
                    <w:rPr>
                      <w:rFonts w:hint="eastAsia"/>
                      <w:color w:val="auto"/>
                      <w:szCs w:val="21"/>
                    </w:rPr>
                    <w:t>。</w:t>
                  </w:r>
                </w:p>
              </w:tc>
              <w:tc>
                <w:tcPr>
                  <w:tcW w:w="280" w:type="pct"/>
                  <w:vMerge w:val="continue"/>
                  <w:vAlign w:val="center"/>
                </w:tcPr>
                <w:p w14:paraId="66C572E5">
                  <w:pPr>
                    <w:adjustRightInd w:val="0"/>
                    <w:snapToGrid w:val="0"/>
                    <w:jc w:val="center"/>
                    <w:rPr>
                      <w:rFonts w:eastAsiaTheme="minorEastAsia"/>
                      <w:color w:val="auto"/>
                      <w:szCs w:val="21"/>
                    </w:rPr>
                  </w:pPr>
                </w:p>
              </w:tc>
            </w:tr>
            <w:tr w14:paraId="6503A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15AD11AD">
                  <w:pPr>
                    <w:keepNext/>
                    <w:keepLines/>
                    <w:adjustRightInd w:val="0"/>
                    <w:snapToGrid w:val="0"/>
                    <w:spacing w:before="260" w:after="260" w:line="416" w:lineRule="auto"/>
                    <w:jc w:val="center"/>
                    <w:outlineLvl w:val="9"/>
                    <w:rPr>
                      <w:rFonts w:eastAsiaTheme="minorEastAsia"/>
                      <w:color w:val="auto"/>
                      <w:szCs w:val="21"/>
                    </w:rPr>
                  </w:pPr>
                </w:p>
              </w:tc>
              <w:tc>
                <w:tcPr>
                  <w:tcW w:w="164" w:type="pct"/>
                  <w:vMerge w:val="continue"/>
                  <w:tcBorders>
                    <w:right w:val="single" w:color="auto" w:sz="4" w:space="0"/>
                  </w:tcBorders>
                  <w:vAlign w:val="center"/>
                </w:tcPr>
                <w:p w14:paraId="141471AD">
                  <w:pPr>
                    <w:keepNext/>
                    <w:keepLines/>
                    <w:adjustRightInd w:val="0"/>
                    <w:snapToGrid w:val="0"/>
                    <w:spacing w:before="260" w:after="260" w:line="416" w:lineRule="auto"/>
                    <w:jc w:val="center"/>
                    <w:outlineLvl w:val="9"/>
                    <w:rPr>
                      <w:rFonts w:eastAsiaTheme="minorEastAsia"/>
                      <w:color w:val="auto"/>
                      <w:szCs w:val="21"/>
                    </w:rPr>
                  </w:pPr>
                </w:p>
              </w:tc>
              <w:tc>
                <w:tcPr>
                  <w:tcW w:w="1719" w:type="pct"/>
                  <w:tcBorders>
                    <w:left w:val="single" w:color="auto" w:sz="4" w:space="0"/>
                  </w:tcBorders>
                  <w:vAlign w:val="center"/>
                </w:tcPr>
                <w:p w14:paraId="5BA95BC8">
                  <w:pPr>
                    <w:adjustRightInd w:val="0"/>
                    <w:snapToGrid w:val="0"/>
                    <w:jc w:val="center"/>
                    <w:rPr>
                      <w:rFonts w:eastAsiaTheme="minorEastAsia"/>
                      <w:color w:val="auto"/>
                      <w:szCs w:val="21"/>
                    </w:rPr>
                  </w:pPr>
                  <w:r>
                    <w:rPr>
                      <w:rFonts w:eastAsiaTheme="minorEastAsia"/>
                      <w:color w:val="auto"/>
                      <w:szCs w:val="21"/>
                    </w:rPr>
                    <w:t>建设项目采取的污染防治措施无法确保污染物排放达到国家和地方排放标准，或者未采取必要措施预防和控制生态破坏</w:t>
                  </w:r>
                </w:p>
              </w:tc>
              <w:tc>
                <w:tcPr>
                  <w:tcW w:w="1789" w:type="pct"/>
                  <w:vAlign w:val="center"/>
                </w:tcPr>
                <w:p w14:paraId="102E6C40">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项目废气</w:t>
                  </w:r>
                  <w:r>
                    <w:rPr>
                      <w:rFonts w:hint="eastAsia" w:eastAsiaTheme="minorEastAsia"/>
                      <w:color w:val="auto"/>
                      <w:szCs w:val="21"/>
                    </w:rPr>
                    <w:t>、</w:t>
                  </w:r>
                  <w:r>
                    <w:rPr>
                      <w:rFonts w:eastAsiaTheme="minorEastAsia"/>
                      <w:color w:val="auto"/>
                      <w:szCs w:val="21"/>
                    </w:rPr>
                    <w:t>噪声采取污染防治措施，确保排放达标，生态影响较小。</w:t>
                  </w:r>
                </w:p>
              </w:tc>
              <w:tc>
                <w:tcPr>
                  <w:tcW w:w="280" w:type="pct"/>
                  <w:vMerge w:val="continue"/>
                  <w:vAlign w:val="center"/>
                </w:tcPr>
                <w:p w14:paraId="7B383813">
                  <w:pPr>
                    <w:adjustRightInd w:val="0"/>
                    <w:snapToGrid w:val="0"/>
                    <w:jc w:val="center"/>
                    <w:rPr>
                      <w:rFonts w:eastAsiaTheme="minorEastAsia"/>
                      <w:color w:val="auto"/>
                      <w:szCs w:val="21"/>
                    </w:rPr>
                  </w:pPr>
                </w:p>
              </w:tc>
            </w:tr>
            <w:tr w14:paraId="700399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B2D85CB">
                  <w:pPr>
                    <w:keepNext/>
                    <w:keepLines/>
                    <w:adjustRightInd w:val="0"/>
                    <w:snapToGrid w:val="0"/>
                    <w:spacing w:before="260" w:after="260" w:line="416" w:lineRule="auto"/>
                    <w:jc w:val="center"/>
                    <w:outlineLvl w:val="9"/>
                    <w:rPr>
                      <w:rFonts w:eastAsiaTheme="minorEastAsia"/>
                      <w:color w:val="auto"/>
                      <w:szCs w:val="21"/>
                    </w:rPr>
                  </w:pPr>
                </w:p>
              </w:tc>
              <w:tc>
                <w:tcPr>
                  <w:tcW w:w="164" w:type="pct"/>
                  <w:vMerge w:val="continue"/>
                  <w:tcBorders>
                    <w:right w:val="single" w:color="auto" w:sz="4" w:space="0"/>
                  </w:tcBorders>
                  <w:vAlign w:val="center"/>
                </w:tcPr>
                <w:p w14:paraId="2F76E002">
                  <w:pPr>
                    <w:keepNext/>
                    <w:keepLines/>
                    <w:adjustRightInd w:val="0"/>
                    <w:snapToGrid w:val="0"/>
                    <w:spacing w:before="260" w:after="260" w:line="416" w:lineRule="auto"/>
                    <w:jc w:val="center"/>
                    <w:outlineLvl w:val="9"/>
                    <w:rPr>
                      <w:rFonts w:eastAsiaTheme="minorEastAsia"/>
                      <w:color w:val="auto"/>
                      <w:szCs w:val="21"/>
                    </w:rPr>
                  </w:pPr>
                </w:p>
              </w:tc>
              <w:tc>
                <w:tcPr>
                  <w:tcW w:w="1719" w:type="pct"/>
                  <w:tcBorders>
                    <w:left w:val="single" w:color="auto" w:sz="4" w:space="0"/>
                  </w:tcBorders>
                  <w:vAlign w:val="center"/>
                </w:tcPr>
                <w:p w14:paraId="303A113C">
                  <w:pPr>
                    <w:adjustRightInd w:val="0"/>
                    <w:snapToGrid w:val="0"/>
                    <w:jc w:val="center"/>
                    <w:rPr>
                      <w:rFonts w:eastAsiaTheme="minorEastAsia"/>
                      <w:color w:val="auto"/>
                      <w:szCs w:val="21"/>
                    </w:rPr>
                  </w:pPr>
                  <w:r>
                    <w:rPr>
                      <w:rFonts w:eastAsiaTheme="minorEastAsia"/>
                      <w:color w:val="auto"/>
                      <w:szCs w:val="21"/>
                    </w:rPr>
                    <w:t>改建、扩建和技术改造项目，未针对项目原有环境污染和生态破坏提出有效</w:t>
                  </w:r>
                  <w:r>
                    <w:rPr>
                      <w:rFonts w:hint="eastAsia" w:eastAsiaTheme="minorEastAsia"/>
                      <w:color w:val="auto"/>
                      <w:szCs w:val="21"/>
                      <w:lang w:eastAsia="zh-CN"/>
                    </w:rPr>
                    <w:t>防治</w:t>
                  </w:r>
                  <w:r>
                    <w:rPr>
                      <w:rFonts w:eastAsiaTheme="minorEastAsia"/>
                      <w:color w:val="auto"/>
                      <w:szCs w:val="21"/>
                    </w:rPr>
                    <w:t>措施</w:t>
                  </w:r>
                </w:p>
              </w:tc>
              <w:tc>
                <w:tcPr>
                  <w:tcW w:w="1789" w:type="pct"/>
                  <w:vAlign w:val="center"/>
                </w:tcPr>
                <w:p w14:paraId="58D0D2C9">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项目针对项目现有环境污染和生态破坏提出有效</w:t>
                  </w:r>
                  <w:r>
                    <w:rPr>
                      <w:rFonts w:hint="eastAsia" w:eastAsiaTheme="minorEastAsia"/>
                      <w:color w:val="auto"/>
                      <w:szCs w:val="21"/>
                      <w:lang w:eastAsia="zh-CN"/>
                    </w:rPr>
                    <w:t>防治</w:t>
                  </w:r>
                  <w:r>
                    <w:rPr>
                      <w:rFonts w:eastAsiaTheme="minorEastAsia"/>
                      <w:color w:val="auto"/>
                      <w:szCs w:val="21"/>
                    </w:rPr>
                    <w:t>及改进措施。</w:t>
                  </w:r>
                </w:p>
              </w:tc>
              <w:tc>
                <w:tcPr>
                  <w:tcW w:w="280" w:type="pct"/>
                  <w:vMerge w:val="continue"/>
                  <w:vAlign w:val="center"/>
                </w:tcPr>
                <w:p w14:paraId="0DA2AA25">
                  <w:pPr>
                    <w:adjustRightInd w:val="0"/>
                    <w:snapToGrid w:val="0"/>
                    <w:jc w:val="center"/>
                    <w:rPr>
                      <w:rFonts w:eastAsiaTheme="minorEastAsia"/>
                      <w:color w:val="auto"/>
                      <w:szCs w:val="21"/>
                    </w:rPr>
                  </w:pPr>
                </w:p>
              </w:tc>
            </w:tr>
            <w:tr w14:paraId="4352C7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9D02447">
                  <w:pPr>
                    <w:adjustRightInd w:val="0"/>
                    <w:snapToGrid w:val="0"/>
                    <w:jc w:val="center"/>
                    <w:rPr>
                      <w:rFonts w:eastAsiaTheme="minorEastAsia"/>
                      <w:color w:val="auto"/>
                      <w:szCs w:val="21"/>
                    </w:rPr>
                  </w:pPr>
                </w:p>
              </w:tc>
              <w:tc>
                <w:tcPr>
                  <w:tcW w:w="164" w:type="pct"/>
                  <w:vMerge w:val="continue"/>
                  <w:tcBorders>
                    <w:right w:val="single" w:color="auto" w:sz="4" w:space="0"/>
                  </w:tcBorders>
                  <w:vAlign w:val="center"/>
                </w:tcPr>
                <w:p w14:paraId="1576EC33">
                  <w:pPr>
                    <w:adjustRightInd w:val="0"/>
                    <w:snapToGrid w:val="0"/>
                    <w:jc w:val="center"/>
                    <w:rPr>
                      <w:rFonts w:eastAsiaTheme="minorEastAsia"/>
                      <w:color w:val="auto"/>
                      <w:szCs w:val="21"/>
                    </w:rPr>
                  </w:pPr>
                </w:p>
              </w:tc>
              <w:tc>
                <w:tcPr>
                  <w:tcW w:w="1719" w:type="pct"/>
                  <w:tcBorders>
                    <w:left w:val="single" w:color="auto" w:sz="4" w:space="0"/>
                  </w:tcBorders>
                  <w:vAlign w:val="center"/>
                </w:tcPr>
                <w:p w14:paraId="7B4563B3">
                  <w:pPr>
                    <w:adjustRightInd w:val="0"/>
                    <w:snapToGrid w:val="0"/>
                    <w:jc w:val="center"/>
                    <w:rPr>
                      <w:rFonts w:eastAsiaTheme="minorEastAsia"/>
                      <w:color w:val="auto"/>
                      <w:szCs w:val="21"/>
                    </w:rPr>
                  </w:pPr>
                  <w:r>
                    <w:rPr>
                      <w:rFonts w:eastAsiaTheme="minorEastAsia"/>
                      <w:color w:val="auto"/>
                      <w:szCs w:val="21"/>
                    </w:rPr>
                    <w:t>建设项目的环境影响报告书、环境影响报告表的基础资料数据明显不实，内容存在重大缺陷、遗漏，或者环境影响评价结论不明确、不合理</w:t>
                  </w:r>
                </w:p>
              </w:tc>
              <w:tc>
                <w:tcPr>
                  <w:tcW w:w="1789" w:type="pct"/>
                  <w:vAlign w:val="center"/>
                </w:tcPr>
                <w:p w14:paraId="4464390B">
                  <w:pPr>
                    <w:adjustRightInd w:val="0"/>
                    <w:snapToGrid w:val="0"/>
                    <w:rPr>
                      <w:rFonts w:eastAsiaTheme="minorEastAsia"/>
                      <w:color w:val="auto"/>
                      <w:szCs w:val="21"/>
                    </w:rPr>
                  </w:pPr>
                  <w:r>
                    <w:rPr>
                      <w:rFonts w:eastAsiaTheme="minorEastAsia"/>
                      <w:color w:val="auto"/>
                      <w:szCs w:val="21"/>
                    </w:rPr>
                    <w:t>本次评价以企业实际提供资料为前提，核实后进行报告编制，环境影响评价结论明确，经初步审查不存在重大缺陷、遗漏。</w:t>
                  </w:r>
                </w:p>
              </w:tc>
              <w:tc>
                <w:tcPr>
                  <w:tcW w:w="280" w:type="pct"/>
                  <w:vMerge w:val="continue"/>
                  <w:vAlign w:val="center"/>
                </w:tcPr>
                <w:p w14:paraId="4DB38E04">
                  <w:pPr>
                    <w:adjustRightInd w:val="0"/>
                    <w:snapToGrid w:val="0"/>
                    <w:jc w:val="center"/>
                    <w:rPr>
                      <w:rFonts w:eastAsiaTheme="minorEastAsia"/>
                      <w:color w:val="auto"/>
                      <w:szCs w:val="21"/>
                    </w:rPr>
                  </w:pPr>
                </w:p>
              </w:tc>
            </w:tr>
            <w:tr w14:paraId="48C7E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0455B68A">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41AFF275">
                  <w:pPr>
                    <w:adjustRightInd w:val="0"/>
                    <w:snapToGrid w:val="0"/>
                    <w:jc w:val="center"/>
                    <w:rPr>
                      <w:rFonts w:eastAsiaTheme="minorEastAsia"/>
                      <w:color w:val="auto"/>
                      <w:szCs w:val="21"/>
                    </w:rPr>
                  </w:pPr>
                  <w:r>
                    <w:rPr>
                      <w:rFonts w:eastAsiaTheme="minorEastAsia"/>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89" w:type="pct"/>
                  <w:vAlign w:val="center"/>
                </w:tcPr>
                <w:p w14:paraId="33A52A40">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项目位于</w:t>
                  </w:r>
                  <w:r>
                    <w:rPr>
                      <w:rFonts w:hint="eastAsia" w:eastAsiaTheme="minorEastAsia"/>
                      <w:color w:val="auto"/>
                      <w:szCs w:val="21"/>
                    </w:rPr>
                    <w:t>淮安市涟水县高沟镇高秀工业集中区</w:t>
                  </w:r>
                  <w:r>
                    <w:rPr>
                      <w:rFonts w:eastAsiaTheme="minorEastAsia"/>
                      <w:color w:val="auto"/>
                      <w:szCs w:val="21"/>
                    </w:rPr>
                    <w:t>，用地性质为</w:t>
                  </w:r>
                  <w:r>
                    <w:rPr>
                      <w:rFonts w:hint="eastAsia" w:eastAsiaTheme="minorEastAsia"/>
                      <w:color w:val="auto"/>
                      <w:szCs w:val="21"/>
                    </w:rPr>
                    <w:t>建设</w:t>
                  </w:r>
                  <w:r>
                    <w:rPr>
                      <w:rFonts w:eastAsiaTheme="minorEastAsia"/>
                      <w:color w:val="auto"/>
                      <w:szCs w:val="21"/>
                    </w:rPr>
                    <w:t>用地。</w:t>
                  </w:r>
                </w:p>
              </w:tc>
              <w:tc>
                <w:tcPr>
                  <w:tcW w:w="280" w:type="pct"/>
                  <w:vMerge w:val="continue"/>
                  <w:vAlign w:val="center"/>
                </w:tcPr>
                <w:p w14:paraId="782D1BC2">
                  <w:pPr>
                    <w:adjustRightInd w:val="0"/>
                    <w:snapToGrid w:val="0"/>
                    <w:jc w:val="center"/>
                    <w:rPr>
                      <w:rFonts w:eastAsiaTheme="minorEastAsia"/>
                      <w:color w:val="auto"/>
                      <w:szCs w:val="21"/>
                    </w:rPr>
                  </w:pPr>
                </w:p>
              </w:tc>
            </w:tr>
            <w:tr w14:paraId="63222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5C4F714D">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54EE7C9B">
                  <w:pPr>
                    <w:adjustRightInd w:val="0"/>
                    <w:snapToGrid w:val="0"/>
                    <w:jc w:val="center"/>
                    <w:rPr>
                      <w:rFonts w:eastAsiaTheme="minorEastAsia"/>
                      <w:color w:val="auto"/>
                      <w:szCs w:val="21"/>
                    </w:rPr>
                  </w:pPr>
                  <w:r>
                    <w:rPr>
                      <w:rFonts w:eastAsiaTheme="minorEastAsia"/>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89" w:type="pct"/>
                  <w:vAlign w:val="center"/>
                </w:tcPr>
                <w:p w14:paraId="72677F5F">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项目将按要求严格落实污染物排放总量控制制度，把主要污染物排放总量指标作为</w:t>
                  </w:r>
                  <w:r>
                    <w:rPr>
                      <w:rFonts w:hint="eastAsia" w:eastAsiaTheme="minorEastAsia"/>
                      <w:color w:val="auto"/>
                      <w:szCs w:val="21"/>
                    </w:rPr>
                    <w:t>建设</w:t>
                  </w:r>
                  <w:r>
                    <w:rPr>
                      <w:rFonts w:eastAsiaTheme="minorEastAsia"/>
                      <w:color w:val="auto"/>
                      <w:szCs w:val="21"/>
                    </w:rPr>
                    <w:t>项目环境影响评价审批的前置条件。在环境影响评价文件审批前，须取得主要污染物排放总量指标。</w:t>
                  </w:r>
                </w:p>
              </w:tc>
              <w:tc>
                <w:tcPr>
                  <w:tcW w:w="280" w:type="pct"/>
                  <w:vMerge w:val="continue"/>
                  <w:vAlign w:val="center"/>
                </w:tcPr>
                <w:p w14:paraId="57CDF133">
                  <w:pPr>
                    <w:adjustRightInd w:val="0"/>
                    <w:snapToGrid w:val="0"/>
                    <w:jc w:val="center"/>
                    <w:rPr>
                      <w:rFonts w:eastAsiaTheme="minorEastAsia"/>
                      <w:color w:val="auto"/>
                      <w:szCs w:val="21"/>
                    </w:rPr>
                  </w:pPr>
                </w:p>
              </w:tc>
            </w:tr>
            <w:tr w14:paraId="09C0E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21312F5D">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361366B5">
                  <w:pPr>
                    <w:adjustRightInd w:val="0"/>
                    <w:snapToGrid w:val="0"/>
                    <w:jc w:val="center"/>
                    <w:rPr>
                      <w:rFonts w:eastAsiaTheme="minorEastAsia"/>
                      <w:color w:val="auto"/>
                      <w:szCs w:val="21"/>
                    </w:rPr>
                  </w:pPr>
                  <w:r>
                    <w:rPr>
                      <w:rFonts w:eastAsiaTheme="minorEastAsia"/>
                      <w:color w:val="auto"/>
                      <w:szCs w:val="21"/>
                    </w:rPr>
                    <w:t>对环境质量现状超标的地区，项目拟采取的措施不能满足区域环境质量改善目标管理要求的，依法不予审批其环评文件。</w:t>
                  </w:r>
                </w:p>
              </w:tc>
              <w:tc>
                <w:tcPr>
                  <w:tcW w:w="1789" w:type="pct"/>
                  <w:vAlign w:val="center"/>
                </w:tcPr>
                <w:p w14:paraId="438A735D">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项目所在区域环境空气满足国家二级标准要求，其他污染物（</w:t>
                  </w:r>
                  <w:r>
                    <w:rPr>
                      <w:rFonts w:hint="eastAsia" w:eastAsiaTheme="minorEastAsia"/>
                      <w:color w:val="auto"/>
                      <w:szCs w:val="21"/>
                    </w:rPr>
                    <w:t>甲醛</w:t>
                  </w:r>
                  <w:r>
                    <w:rPr>
                      <w:rFonts w:eastAsiaTheme="minorEastAsia"/>
                      <w:color w:val="auto"/>
                      <w:szCs w:val="21"/>
                    </w:rPr>
                    <w:t>、非甲烷总烃</w:t>
                  </w:r>
                  <w:r>
                    <w:rPr>
                      <w:rFonts w:hint="eastAsia" w:eastAsiaTheme="minorEastAsia"/>
                      <w:color w:val="auto"/>
                      <w:szCs w:val="21"/>
                      <w:lang w:eastAsia="zh-CN"/>
                    </w:rPr>
                    <w:t>、氨</w:t>
                  </w:r>
                  <w:r>
                    <w:rPr>
                      <w:rFonts w:eastAsiaTheme="minorEastAsia"/>
                      <w:color w:val="auto"/>
                      <w:szCs w:val="21"/>
                    </w:rPr>
                    <w:t>）未超过环境质量标准。</w:t>
                  </w:r>
                  <w:r>
                    <w:rPr>
                      <w:rFonts w:hint="eastAsia"/>
                      <w:color w:val="auto"/>
                      <w:szCs w:val="21"/>
                    </w:rPr>
                    <w:t>建设项目不涉及生产废水</w:t>
                  </w:r>
                  <w:r>
                    <w:rPr>
                      <w:rFonts w:hint="eastAsia"/>
                      <w:color w:val="auto"/>
                      <w:szCs w:val="21"/>
                      <w:lang w:eastAsia="zh-CN"/>
                    </w:rPr>
                    <w:t>排放</w:t>
                  </w:r>
                  <w:r>
                    <w:rPr>
                      <w:rFonts w:hint="eastAsia"/>
                      <w:color w:val="auto"/>
                      <w:szCs w:val="21"/>
                    </w:rPr>
                    <w:t>。</w:t>
                  </w:r>
                </w:p>
              </w:tc>
              <w:tc>
                <w:tcPr>
                  <w:tcW w:w="280" w:type="pct"/>
                  <w:vMerge w:val="continue"/>
                  <w:vAlign w:val="center"/>
                </w:tcPr>
                <w:p w14:paraId="1A4D2160">
                  <w:pPr>
                    <w:adjustRightInd w:val="0"/>
                    <w:snapToGrid w:val="0"/>
                    <w:jc w:val="center"/>
                    <w:rPr>
                      <w:rFonts w:eastAsiaTheme="minorEastAsia"/>
                      <w:color w:val="auto"/>
                      <w:szCs w:val="21"/>
                    </w:rPr>
                  </w:pPr>
                </w:p>
              </w:tc>
            </w:tr>
            <w:tr w14:paraId="76197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00158582">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1C074823">
                  <w:pPr>
                    <w:adjustRightInd w:val="0"/>
                    <w:snapToGrid w:val="0"/>
                    <w:jc w:val="center"/>
                    <w:rPr>
                      <w:rFonts w:eastAsiaTheme="minorEastAsia"/>
                      <w:color w:val="auto"/>
                      <w:szCs w:val="21"/>
                    </w:rPr>
                  </w:pPr>
                  <w:r>
                    <w:rPr>
                      <w:rFonts w:eastAsiaTheme="minorEastAsia"/>
                      <w:color w:val="auto"/>
                      <w:szCs w:val="21"/>
                    </w:rPr>
                    <w:t>禁止建设生产和使用高VOCs含量的溶剂型涂料、油墨、胶粘剂等项目</w:t>
                  </w:r>
                </w:p>
              </w:tc>
              <w:tc>
                <w:tcPr>
                  <w:tcW w:w="1789" w:type="pct"/>
                  <w:vAlign w:val="center"/>
                </w:tcPr>
                <w:p w14:paraId="616753A5">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项目不涉及涂料、油墨，使用</w:t>
                  </w:r>
                  <w:r>
                    <w:rPr>
                      <w:rFonts w:hint="eastAsia" w:eastAsiaTheme="minorEastAsia"/>
                      <w:color w:val="auto"/>
                      <w:szCs w:val="21"/>
                    </w:rPr>
                    <w:t>符合《</w:t>
                  </w:r>
                  <w:r>
                    <w:rPr>
                      <w:rFonts w:hint="eastAsia"/>
                      <w:color w:val="auto"/>
                      <w:kern w:val="0"/>
                      <w:szCs w:val="21"/>
                    </w:rPr>
                    <w:t>木材工业胶粘剂用脲醛﹑酚醛、三聚氰胺甲醛树脂</w:t>
                  </w:r>
                  <w:r>
                    <w:rPr>
                      <w:rFonts w:hint="eastAsia" w:eastAsiaTheme="minorEastAsia"/>
                      <w:color w:val="auto"/>
                      <w:szCs w:val="21"/>
                    </w:rPr>
                    <w:t>》</w:t>
                  </w:r>
                  <w:r>
                    <w:rPr>
                      <w:color w:val="auto"/>
                      <w:kern w:val="0"/>
                      <w:szCs w:val="21"/>
                    </w:rPr>
                    <w:t>（GB</w:t>
                  </w:r>
                  <w:r>
                    <w:rPr>
                      <w:rFonts w:hint="eastAsia"/>
                      <w:color w:val="auto"/>
                      <w:kern w:val="0"/>
                      <w:szCs w:val="21"/>
                    </w:rPr>
                    <w:t>-T 14732</w:t>
                  </w:r>
                  <w:r>
                    <w:rPr>
                      <w:color w:val="auto"/>
                      <w:kern w:val="0"/>
                      <w:szCs w:val="21"/>
                    </w:rPr>
                    <w:t>-20</w:t>
                  </w:r>
                  <w:r>
                    <w:rPr>
                      <w:rFonts w:hint="eastAsia"/>
                      <w:color w:val="auto"/>
                      <w:kern w:val="0"/>
                      <w:szCs w:val="21"/>
                    </w:rPr>
                    <w:t>17</w:t>
                  </w:r>
                  <w:r>
                    <w:rPr>
                      <w:color w:val="auto"/>
                      <w:kern w:val="0"/>
                      <w:szCs w:val="21"/>
                    </w:rPr>
                    <w:t>）规定的</w:t>
                  </w:r>
                  <w:r>
                    <w:rPr>
                      <w:rFonts w:eastAsiaTheme="minorEastAsia"/>
                      <w:color w:val="auto"/>
                      <w:szCs w:val="21"/>
                    </w:rPr>
                    <w:t>环保型的</w:t>
                  </w:r>
                  <w:r>
                    <w:rPr>
                      <w:rFonts w:hint="eastAsia" w:eastAsiaTheme="minorEastAsia"/>
                      <w:color w:val="auto"/>
                      <w:szCs w:val="21"/>
                    </w:rPr>
                    <w:t>脲醛胶</w:t>
                  </w:r>
                  <w:r>
                    <w:rPr>
                      <w:rFonts w:eastAsiaTheme="minorEastAsia"/>
                      <w:color w:val="auto"/>
                      <w:szCs w:val="21"/>
                    </w:rPr>
                    <w:t>。</w:t>
                  </w:r>
                </w:p>
              </w:tc>
              <w:tc>
                <w:tcPr>
                  <w:tcW w:w="280" w:type="pct"/>
                  <w:vMerge w:val="continue"/>
                  <w:vAlign w:val="center"/>
                </w:tcPr>
                <w:p w14:paraId="743AA3EA">
                  <w:pPr>
                    <w:adjustRightInd w:val="0"/>
                    <w:snapToGrid w:val="0"/>
                    <w:jc w:val="center"/>
                    <w:rPr>
                      <w:rFonts w:eastAsiaTheme="minorEastAsia"/>
                      <w:color w:val="auto"/>
                      <w:szCs w:val="21"/>
                    </w:rPr>
                  </w:pPr>
                </w:p>
              </w:tc>
            </w:tr>
            <w:tr w14:paraId="112F2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250642D">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6A58C0FF">
                  <w:pPr>
                    <w:adjustRightInd w:val="0"/>
                    <w:snapToGrid w:val="0"/>
                    <w:jc w:val="center"/>
                    <w:rPr>
                      <w:rFonts w:eastAsiaTheme="minorEastAsia"/>
                      <w:color w:val="auto"/>
                      <w:szCs w:val="21"/>
                    </w:rPr>
                  </w:pPr>
                  <w:r>
                    <w:rPr>
                      <w:rFonts w:eastAsiaTheme="minorEastAsia"/>
                      <w:color w:val="auto"/>
                      <w:szCs w:val="21"/>
                    </w:rPr>
                    <w:t>生态保护红线原则上按禁止开发区域的要求进行管理，严禁不符合主体功能定位的各类开发活动，严禁任意改变用途。</w:t>
                  </w:r>
                </w:p>
              </w:tc>
              <w:tc>
                <w:tcPr>
                  <w:tcW w:w="1789" w:type="pct"/>
                  <w:vAlign w:val="center"/>
                </w:tcPr>
                <w:p w14:paraId="121C420B">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项目距离最近的</w:t>
                  </w:r>
                  <w:r>
                    <w:rPr>
                      <w:rFonts w:hint="eastAsia" w:eastAsiaTheme="minorEastAsia"/>
                      <w:color w:val="auto"/>
                      <w:szCs w:val="21"/>
                      <w:lang w:eastAsia="zh-CN"/>
                    </w:rPr>
                    <w:t>生态功能保护区</w:t>
                  </w:r>
                  <w:r>
                    <w:rPr>
                      <w:rFonts w:eastAsiaTheme="minorEastAsia"/>
                      <w:color w:val="auto"/>
                      <w:szCs w:val="21"/>
                    </w:rPr>
                    <w:t>为</w:t>
                  </w:r>
                  <w:r>
                    <w:rPr>
                      <w:rFonts w:hint="eastAsia"/>
                      <w:color w:val="auto"/>
                      <w:szCs w:val="21"/>
                      <w:lang w:val="zh-CN"/>
                    </w:rPr>
                    <w:t>六塘河（沭阳县）洪水调蓄区</w:t>
                  </w:r>
                  <w:r>
                    <w:rPr>
                      <w:rFonts w:eastAsiaTheme="minorEastAsia"/>
                      <w:color w:val="auto"/>
                      <w:szCs w:val="21"/>
                    </w:rPr>
                    <w:t>，距离生态保护红线</w:t>
                  </w:r>
                  <w:r>
                    <w:rPr>
                      <w:rFonts w:hint="eastAsia" w:eastAsiaTheme="minorEastAsia"/>
                      <w:color w:val="auto"/>
                      <w:szCs w:val="21"/>
                    </w:rPr>
                    <w:t>4.31k</w:t>
                  </w:r>
                  <w:r>
                    <w:rPr>
                      <w:rFonts w:eastAsiaTheme="minorEastAsia"/>
                      <w:color w:val="auto"/>
                      <w:szCs w:val="21"/>
                    </w:rPr>
                    <w:t>m，不在其管控范围内。</w:t>
                  </w:r>
                </w:p>
              </w:tc>
              <w:tc>
                <w:tcPr>
                  <w:tcW w:w="280" w:type="pct"/>
                  <w:vMerge w:val="continue"/>
                  <w:vAlign w:val="center"/>
                </w:tcPr>
                <w:p w14:paraId="7363B8B9">
                  <w:pPr>
                    <w:adjustRightInd w:val="0"/>
                    <w:snapToGrid w:val="0"/>
                    <w:jc w:val="center"/>
                    <w:rPr>
                      <w:rFonts w:eastAsiaTheme="minorEastAsia"/>
                      <w:color w:val="auto"/>
                      <w:szCs w:val="21"/>
                    </w:rPr>
                  </w:pPr>
                </w:p>
              </w:tc>
            </w:tr>
            <w:tr w14:paraId="63C73F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463AB651">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6ED7BD17">
                  <w:pPr>
                    <w:adjustRightInd w:val="0"/>
                    <w:snapToGrid w:val="0"/>
                    <w:jc w:val="center"/>
                    <w:rPr>
                      <w:rFonts w:eastAsiaTheme="minorEastAsia"/>
                      <w:color w:val="auto"/>
                      <w:szCs w:val="21"/>
                    </w:rPr>
                  </w:pPr>
                  <w:r>
                    <w:rPr>
                      <w:rFonts w:eastAsiaTheme="minorEastAsia"/>
                      <w:color w:val="auto"/>
                      <w:szCs w:val="21"/>
                    </w:rPr>
                    <w:t>禁止审批无法落实危险废物利用、处置途径的项目，从严审批危险废物产生量大、本地无配套利用处置能力</w:t>
                  </w:r>
                  <w:r>
                    <w:rPr>
                      <w:rFonts w:hint="eastAsia" w:eastAsiaTheme="minorEastAsia"/>
                      <w:color w:val="auto"/>
                      <w:szCs w:val="21"/>
                      <w:lang w:eastAsia="zh-CN"/>
                    </w:rPr>
                    <w:t>且</w:t>
                  </w:r>
                  <w:r>
                    <w:rPr>
                      <w:rFonts w:eastAsiaTheme="minorEastAsia"/>
                      <w:color w:val="auto"/>
                      <w:szCs w:val="21"/>
                    </w:rPr>
                    <w:t>需设区市统筹解决的项目</w:t>
                  </w:r>
                </w:p>
              </w:tc>
              <w:tc>
                <w:tcPr>
                  <w:tcW w:w="1789" w:type="pct"/>
                  <w:vAlign w:val="center"/>
                </w:tcPr>
                <w:p w14:paraId="15E04491">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项目危险废物总量为</w:t>
                  </w:r>
                  <w:r>
                    <w:rPr>
                      <w:rFonts w:hint="eastAsia" w:eastAsiaTheme="minorEastAsia"/>
                      <w:color w:val="auto"/>
                      <w:szCs w:val="21"/>
                    </w:rPr>
                    <w:t>2.978</w:t>
                  </w:r>
                  <w:r>
                    <w:rPr>
                      <w:rFonts w:eastAsiaTheme="minorEastAsia"/>
                      <w:color w:val="auto"/>
                      <w:szCs w:val="21"/>
                    </w:rPr>
                    <w:t>t/a，不属于危险废物产生量大的项目，委托有资质单位安全处置。</w:t>
                  </w:r>
                </w:p>
              </w:tc>
              <w:tc>
                <w:tcPr>
                  <w:tcW w:w="280" w:type="pct"/>
                  <w:vMerge w:val="continue"/>
                  <w:vAlign w:val="center"/>
                </w:tcPr>
                <w:p w14:paraId="24AA5237">
                  <w:pPr>
                    <w:adjustRightInd w:val="0"/>
                    <w:snapToGrid w:val="0"/>
                    <w:jc w:val="center"/>
                    <w:rPr>
                      <w:rFonts w:eastAsiaTheme="minorEastAsia"/>
                      <w:color w:val="auto"/>
                      <w:szCs w:val="21"/>
                    </w:rPr>
                  </w:pPr>
                </w:p>
              </w:tc>
            </w:tr>
            <w:tr w14:paraId="775C60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38D7CA3D">
                  <w:pPr>
                    <w:keepNext/>
                    <w:keepLines/>
                    <w:adjustRightInd w:val="0"/>
                    <w:snapToGrid w:val="0"/>
                    <w:spacing w:before="260" w:after="260" w:line="416" w:lineRule="auto"/>
                    <w:jc w:val="center"/>
                    <w:outlineLvl w:val="9"/>
                    <w:rPr>
                      <w:rFonts w:eastAsiaTheme="minorEastAsia"/>
                      <w:color w:val="auto"/>
                      <w:szCs w:val="21"/>
                    </w:rPr>
                  </w:pPr>
                </w:p>
              </w:tc>
              <w:tc>
                <w:tcPr>
                  <w:tcW w:w="1884" w:type="pct"/>
                  <w:gridSpan w:val="2"/>
                  <w:vAlign w:val="center"/>
                </w:tcPr>
                <w:p w14:paraId="7B3F213B">
                  <w:pPr>
                    <w:adjustRightInd w:val="0"/>
                    <w:snapToGrid w:val="0"/>
                    <w:jc w:val="center"/>
                    <w:rPr>
                      <w:rFonts w:eastAsiaTheme="minorEastAsia"/>
                      <w:color w:val="auto"/>
                      <w:szCs w:val="21"/>
                    </w:rPr>
                  </w:pPr>
                  <w:r>
                    <w:rPr>
                      <w:rFonts w:eastAsiaTheme="minorEastAsia"/>
                      <w:color w:val="auto"/>
                      <w:szCs w:val="21"/>
                    </w:rPr>
                    <w:t>禁止新建、扩建法律法规和相关政策明令禁止的落后产能项目</w:t>
                  </w:r>
                </w:p>
              </w:tc>
              <w:tc>
                <w:tcPr>
                  <w:tcW w:w="1789" w:type="pct"/>
                  <w:vMerge w:val="restart"/>
                  <w:vAlign w:val="center"/>
                </w:tcPr>
                <w:p w14:paraId="2E39829A">
                  <w:pPr>
                    <w:adjustRightInd w:val="0"/>
                    <w:snapToGrid w:val="0"/>
                    <w:rPr>
                      <w:rFonts w:eastAsiaTheme="minorEastAsia"/>
                      <w:color w:val="auto"/>
                      <w:szCs w:val="21"/>
                    </w:rPr>
                  </w:pPr>
                  <w:r>
                    <w:rPr>
                      <w:rFonts w:hint="eastAsia" w:eastAsiaTheme="minorEastAsia"/>
                      <w:color w:val="auto"/>
                      <w:szCs w:val="21"/>
                    </w:rPr>
                    <w:t>建设</w:t>
                  </w:r>
                  <w:r>
                    <w:rPr>
                      <w:rFonts w:eastAsiaTheme="minorEastAsia"/>
                      <w:color w:val="auto"/>
                      <w:szCs w:val="21"/>
                    </w:rPr>
                    <w:t>项目为</w:t>
                  </w:r>
                  <w:r>
                    <w:rPr>
                      <w:rFonts w:hint="eastAsia" w:eastAsiaTheme="minorEastAsia"/>
                      <w:color w:val="auto"/>
                      <w:szCs w:val="21"/>
                    </w:rPr>
                    <w:t>胶合板生产</w:t>
                  </w:r>
                  <w:r>
                    <w:rPr>
                      <w:rFonts w:eastAsiaTheme="minorEastAsia"/>
                      <w:color w:val="auto"/>
                      <w:szCs w:val="21"/>
                    </w:rPr>
                    <w:t>项目，不属于法律法规和相关政策明令禁止的落后产能项目，不属于国家产能置换要求的过剩产能行业的项目。</w:t>
                  </w:r>
                </w:p>
              </w:tc>
              <w:tc>
                <w:tcPr>
                  <w:tcW w:w="280" w:type="pct"/>
                  <w:vMerge w:val="continue"/>
                  <w:vAlign w:val="center"/>
                </w:tcPr>
                <w:p w14:paraId="55CE9DA3">
                  <w:pPr>
                    <w:adjustRightInd w:val="0"/>
                    <w:snapToGrid w:val="0"/>
                    <w:jc w:val="center"/>
                    <w:rPr>
                      <w:rFonts w:eastAsiaTheme="minorEastAsia"/>
                      <w:color w:val="auto"/>
                      <w:szCs w:val="21"/>
                    </w:rPr>
                  </w:pPr>
                </w:p>
              </w:tc>
            </w:tr>
            <w:tr w14:paraId="65DD9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520B6E54">
                  <w:pPr>
                    <w:adjustRightInd w:val="0"/>
                    <w:snapToGrid w:val="0"/>
                    <w:jc w:val="center"/>
                    <w:rPr>
                      <w:rFonts w:eastAsiaTheme="minorEastAsia"/>
                      <w:color w:val="auto"/>
                      <w:szCs w:val="21"/>
                    </w:rPr>
                  </w:pPr>
                </w:p>
              </w:tc>
              <w:tc>
                <w:tcPr>
                  <w:tcW w:w="1884" w:type="pct"/>
                  <w:gridSpan w:val="2"/>
                  <w:vAlign w:val="center"/>
                </w:tcPr>
                <w:p w14:paraId="11B5B3EA">
                  <w:pPr>
                    <w:adjustRightInd w:val="0"/>
                    <w:snapToGrid w:val="0"/>
                    <w:jc w:val="center"/>
                    <w:rPr>
                      <w:rFonts w:eastAsiaTheme="minorEastAsia"/>
                      <w:color w:val="auto"/>
                      <w:szCs w:val="21"/>
                    </w:rPr>
                  </w:pPr>
                  <w:r>
                    <w:rPr>
                      <w:rFonts w:eastAsiaTheme="minorEastAsia"/>
                      <w:color w:val="auto"/>
                      <w:szCs w:val="21"/>
                    </w:rPr>
                    <w:t>禁止新建、扩建不符合国家产能置换要求的严重过剩产能行业的项目</w:t>
                  </w:r>
                </w:p>
              </w:tc>
              <w:tc>
                <w:tcPr>
                  <w:tcW w:w="1789" w:type="pct"/>
                  <w:vMerge w:val="continue"/>
                  <w:vAlign w:val="center"/>
                </w:tcPr>
                <w:p w14:paraId="04F0A97F">
                  <w:pPr>
                    <w:adjustRightInd w:val="0"/>
                    <w:snapToGrid w:val="0"/>
                    <w:jc w:val="center"/>
                    <w:rPr>
                      <w:rFonts w:eastAsiaTheme="minorEastAsia"/>
                      <w:color w:val="auto"/>
                      <w:szCs w:val="21"/>
                    </w:rPr>
                  </w:pPr>
                </w:p>
              </w:tc>
              <w:tc>
                <w:tcPr>
                  <w:tcW w:w="280" w:type="pct"/>
                  <w:vMerge w:val="continue"/>
                  <w:vAlign w:val="center"/>
                </w:tcPr>
                <w:p w14:paraId="1AED2C69">
                  <w:pPr>
                    <w:adjustRightInd w:val="0"/>
                    <w:snapToGrid w:val="0"/>
                    <w:jc w:val="center"/>
                    <w:rPr>
                      <w:rFonts w:eastAsiaTheme="minorEastAsia"/>
                      <w:color w:val="auto"/>
                      <w:szCs w:val="21"/>
                    </w:rPr>
                  </w:pPr>
                </w:p>
              </w:tc>
            </w:tr>
            <w:tr w14:paraId="626547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55" w:hRule="atLeast"/>
              </w:trPr>
              <w:tc>
                <w:tcPr>
                  <w:tcW w:w="1046" w:type="pct"/>
                  <w:vAlign w:val="center"/>
                </w:tcPr>
                <w:p w14:paraId="3C7A1687">
                  <w:pPr>
                    <w:adjustRightInd w:val="0"/>
                    <w:snapToGrid w:val="0"/>
                    <w:jc w:val="left"/>
                    <w:rPr>
                      <w:rFonts w:eastAsiaTheme="minorEastAsia"/>
                      <w:color w:val="auto"/>
                      <w:szCs w:val="21"/>
                    </w:rPr>
                  </w:pPr>
                  <w:r>
                    <w:rPr>
                      <w:rFonts w:eastAsiaTheme="minorEastAsia"/>
                      <w:color w:val="auto"/>
                      <w:szCs w:val="21"/>
                    </w:rPr>
                    <w:t>《关于做好生态环境和应急管理部门联动工作的意见》（苏环办〔2020〕101号）</w:t>
                  </w:r>
                </w:p>
              </w:tc>
              <w:tc>
                <w:tcPr>
                  <w:tcW w:w="1884" w:type="pct"/>
                  <w:gridSpan w:val="2"/>
                  <w:vAlign w:val="center"/>
                </w:tcPr>
                <w:p w14:paraId="721C1263">
                  <w:pPr>
                    <w:adjustRightInd w:val="0"/>
                    <w:snapToGrid w:val="0"/>
                    <w:rPr>
                      <w:color w:val="auto"/>
                      <w:szCs w:val="21"/>
                    </w:rPr>
                  </w:pPr>
                  <w:r>
                    <w:rPr>
                      <w:rFonts w:hint="eastAsia"/>
                      <w:color w:val="auto"/>
                      <w:szCs w:val="21"/>
                    </w:rPr>
                    <w:t>企业是各类</w:t>
                  </w:r>
                  <w:r>
                    <w:rPr>
                      <w:rFonts w:hint="eastAsia"/>
                      <w:color w:val="auto"/>
                      <w:szCs w:val="21"/>
                      <w:lang w:eastAsia="zh-CN"/>
                    </w:rPr>
                    <w:t>环境基础设施建设</w:t>
                  </w:r>
                  <w:r>
                    <w:rPr>
                      <w:rFonts w:hint="eastAsia"/>
                      <w:color w:val="auto"/>
                      <w:szCs w:val="21"/>
                    </w:rPr>
                    <w:t>、运行、维护、拆除的责任主体。企业要对脱硫脱硝、煤改气、挥发性有机物回收、污水处理、粉尘治理、</w:t>
                  </w:r>
                  <w:r>
                    <w:rPr>
                      <w:color w:val="auto"/>
                      <w:szCs w:val="21"/>
                    </w:rPr>
                    <w:t>RTO</w:t>
                  </w:r>
                  <w:r>
                    <w:rPr>
                      <w:rFonts w:hint="eastAsia"/>
                      <w:color w:val="auto"/>
                      <w:szCs w:val="21"/>
                    </w:rPr>
                    <w:t>焚烧炉等六类环境治理设施开展安全风险辨识管控，要健全内部污染防治设施稳定运行和管理责任制度，严格依据标准规范建设环境治理设施，确保环境治理设施安全、稳定、有效运行。</w:t>
                  </w:r>
                </w:p>
                <w:p w14:paraId="2AE962D2">
                  <w:pPr>
                    <w:adjustRightInd w:val="0"/>
                    <w:snapToGrid w:val="0"/>
                    <w:rPr>
                      <w:color w:val="auto"/>
                      <w:szCs w:val="21"/>
                    </w:rPr>
                  </w:pPr>
                  <w:r>
                    <w:rPr>
                      <w:rFonts w:hint="eastAsia"/>
                      <w:color w:val="auto"/>
                      <w:szCs w:val="21"/>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tc>
              <w:tc>
                <w:tcPr>
                  <w:tcW w:w="1789" w:type="pct"/>
                  <w:vAlign w:val="center"/>
                </w:tcPr>
                <w:p w14:paraId="27456437">
                  <w:pPr>
                    <w:adjustRightInd w:val="0"/>
                    <w:snapToGrid w:val="0"/>
                    <w:rPr>
                      <w:rFonts w:eastAsiaTheme="minorEastAsia"/>
                      <w:color w:val="auto"/>
                      <w:szCs w:val="21"/>
                    </w:rPr>
                  </w:pPr>
                  <w:r>
                    <w:rPr>
                      <w:rFonts w:hint="eastAsia" w:eastAsiaTheme="minorEastAsia"/>
                      <w:color w:val="auto"/>
                      <w:szCs w:val="21"/>
                    </w:rPr>
                    <w:t>建设项目</w:t>
                  </w:r>
                  <w:r>
                    <w:rPr>
                      <w:rFonts w:eastAsiaTheme="minorEastAsia"/>
                      <w:color w:val="auto"/>
                      <w:szCs w:val="21"/>
                    </w:rPr>
                    <w:t>涉及粉尘治理，建成后将开展安全风险辨识，同时建立健全内部污染防治设施稳定运行和管理责任制度，严格依据标准规范建设环境治理设施，确保环境治理设施安全、稳定、有效运行。</w:t>
                  </w:r>
                </w:p>
              </w:tc>
              <w:tc>
                <w:tcPr>
                  <w:tcW w:w="280" w:type="pct"/>
                  <w:vAlign w:val="center"/>
                </w:tcPr>
                <w:p w14:paraId="4AC95298">
                  <w:pPr>
                    <w:adjustRightInd w:val="0"/>
                    <w:snapToGrid w:val="0"/>
                    <w:jc w:val="center"/>
                    <w:rPr>
                      <w:rFonts w:eastAsiaTheme="minorEastAsia"/>
                      <w:color w:val="auto"/>
                      <w:szCs w:val="21"/>
                    </w:rPr>
                  </w:pPr>
                  <w:r>
                    <w:rPr>
                      <w:rFonts w:eastAsiaTheme="minorEastAsia"/>
                      <w:color w:val="auto"/>
                      <w:szCs w:val="21"/>
                    </w:rPr>
                    <w:t>符合</w:t>
                  </w:r>
                </w:p>
              </w:tc>
            </w:tr>
            <w:tr w14:paraId="4DAD2C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61" w:hRule="atLeast"/>
              </w:trPr>
              <w:tc>
                <w:tcPr>
                  <w:tcW w:w="1046" w:type="pct"/>
                  <w:vMerge w:val="restart"/>
                  <w:vAlign w:val="center"/>
                </w:tcPr>
                <w:p w14:paraId="251A18AB">
                  <w:pPr>
                    <w:adjustRightInd w:val="0"/>
                    <w:snapToGrid w:val="0"/>
                    <w:jc w:val="left"/>
                    <w:rPr>
                      <w:rFonts w:eastAsiaTheme="minorEastAsia"/>
                      <w:color w:val="auto"/>
                      <w:szCs w:val="21"/>
                    </w:rPr>
                  </w:pPr>
                  <w:r>
                    <w:rPr>
                      <w:rFonts w:eastAsiaTheme="minorEastAsia"/>
                      <w:color w:val="auto"/>
                      <w:szCs w:val="21"/>
                    </w:rPr>
                    <w:t>《省生态环境厅关于进一步加强建设项目环评审批和服务工作的指导意见》(苏环办</w:t>
                  </w:r>
                  <w:r>
                    <w:rPr>
                      <w:rFonts w:hint="eastAsia" w:eastAsiaTheme="minorEastAsia"/>
                      <w:color w:val="auto"/>
                      <w:szCs w:val="21"/>
                      <w:lang w:eastAsia="zh-CN"/>
                    </w:rPr>
                    <w:t>〔2020〕225号</w:t>
                  </w:r>
                  <w:r>
                    <w:rPr>
                      <w:rFonts w:eastAsiaTheme="minorEastAsia"/>
                      <w:color w:val="auto"/>
                      <w:szCs w:val="21"/>
                    </w:rPr>
                    <w:t>)</w:t>
                  </w:r>
                </w:p>
              </w:tc>
              <w:tc>
                <w:tcPr>
                  <w:tcW w:w="1884" w:type="pct"/>
                  <w:gridSpan w:val="2"/>
                  <w:vAlign w:val="center"/>
                </w:tcPr>
                <w:p w14:paraId="0C4C9448">
                  <w:pPr>
                    <w:adjustRightInd w:val="0"/>
                    <w:snapToGrid w:val="0"/>
                    <w:jc w:val="left"/>
                    <w:rPr>
                      <w:rFonts w:eastAsiaTheme="minorEastAsia"/>
                      <w:color w:val="auto"/>
                      <w:szCs w:val="21"/>
                    </w:rPr>
                  </w:pPr>
                  <w:r>
                    <w:rPr>
                      <w:rFonts w:eastAsiaTheme="minorEastAsia"/>
                      <w:color w:val="auto"/>
                      <w:szCs w:val="21"/>
                    </w:rPr>
                    <w:t>切实加强区域环境容量、环境承载力研究，不得审批突破环境容量和环境承载力的建设项目</w:t>
                  </w:r>
                </w:p>
              </w:tc>
              <w:tc>
                <w:tcPr>
                  <w:tcW w:w="1789" w:type="pct"/>
                  <w:vAlign w:val="center"/>
                </w:tcPr>
                <w:p w14:paraId="74480D8C">
                  <w:pPr>
                    <w:adjustRightInd w:val="0"/>
                    <w:snapToGrid w:val="0"/>
                    <w:rPr>
                      <w:rFonts w:eastAsiaTheme="minorEastAsia"/>
                      <w:color w:val="auto"/>
                      <w:szCs w:val="21"/>
                    </w:rPr>
                  </w:pPr>
                  <w:r>
                    <w:rPr>
                      <w:rFonts w:eastAsiaTheme="minorEastAsia"/>
                      <w:color w:val="auto"/>
                      <w:szCs w:val="21"/>
                    </w:rPr>
                    <w:t>建设</w:t>
                  </w:r>
                  <w:r>
                    <w:rPr>
                      <w:color w:val="auto"/>
                      <w:szCs w:val="21"/>
                    </w:rPr>
                    <w:t>项目所在区域环境空气满足国家二级标准要求，其他污染物（非甲烷总烃</w:t>
                  </w:r>
                  <w:r>
                    <w:rPr>
                      <w:rFonts w:hint="eastAsia"/>
                      <w:color w:val="auto"/>
                      <w:szCs w:val="21"/>
                    </w:rPr>
                    <w:t>、甲醛</w:t>
                  </w:r>
                  <w:r>
                    <w:rPr>
                      <w:rFonts w:hint="eastAsia"/>
                      <w:color w:val="auto"/>
                      <w:szCs w:val="21"/>
                      <w:lang w:eastAsia="zh-CN"/>
                    </w:rPr>
                    <w:t>、氨</w:t>
                  </w:r>
                  <w:r>
                    <w:rPr>
                      <w:color w:val="auto"/>
                      <w:szCs w:val="21"/>
                    </w:rPr>
                    <w:t>）未超过环境质量标准</w:t>
                  </w:r>
                  <w:r>
                    <w:rPr>
                      <w:rFonts w:hint="eastAsia"/>
                      <w:color w:val="auto"/>
                      <w:szCs w:val="21"/>
                    </w:rPr>
                    <w:t>。建设项目不涉及生产废水</w:t>
                  </w:r>
                  <w:r>
                    <w:rPr>
                      <w:rFonts w:hint="eastAsia"/>
                      <w:color w:val="auto"/>
                      <w:szCs w:val="21"/>
                      <w:lang w:eastAsia="zh-CN"/>
                    </w:rPr>
                    <w:t>排放</w:t>
                  </w:r>
                  <w:r>
                    <w:rPr>
                      <w:rFonts w:hint="eastAsia"/>
                      <w:color w:val="auto"/>
                      <w:szCs w:val="21"/>
                    </w:rPr>
                    <w:t>。</w:t>
                  </w:r>
                </w:p>
              </w:tc>
              <w:tc>
                <w:tcPr>
                  <w:tcW w:w="280" w:type="pct"/>
                  <w:vAlign w:val="center"/>
                </w:tcPr>
                <w:p w14:paraId="1974F73B">
                  <w:pPr>
                    <w:adjustRightInd w:val="0"/>
                    <w:snapToGrid w:val="0"/>
                    <w:jc w:val="center"/>
                    <w:rPr>
                      <w:rFonts w:eastAsiaTheme="minorEastAsia"/>
                      <w:color w:val="auto"/>
                      <w:szCs w:val="21"/>
                    </w:rPr>
                  </w:pPr>
                  <w:r>
                    <w:rPr>
                      <w:rFonts w:eastAsiaTheme="minorEastAsia"/>
                      <w:color w:val="auto"/>
                      <w:szCs w:val="21"/>
                    </w:rPr>
                    <w:t>符合</w:t>
                  </w:r>
                </w:p>
              </w:tc>
            </w:tr>
            <w:tr w14:paraId="17975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179" w:hRule="atLeast"/>
              </w:trPr>
              <w:tc>
                <w:tcPr>
                  <w:tcW w:w="1046" w:type="pct"/>
                  <w:vMerge w:val="continue"/>
                  <w:vAlign w:val="center"/>
                </w:tcPr>
                <w:p w14:paraId="02730362">
                  <w:pPr>
                    <w:adjustRightInd w:val="0"/>
                    <w:snapToGrid w:val="0"/>
                    <w:jc w:val="center"/>
                    <w:rPr>
                      <w:rFonts w:eastAsiaTheme="minorEastAsia"/>
                      <w:color w:val="auto"/>
                      <w:szCs w:val="21"/>
                    </w:rPr>
                  </w:pPr>
                </w:p>
              </w:tc>
              <w:tc>
                <w:tcPr>
                  <w:tcW w:w="1884" w:type="pct"/>
                  <w:gridSpan w:val="2"/>
                  <w:vAlign w:val="center"/>
                </w:tcPr>
                <w:p w14:paraId="13A38764">
                  <w:pPr>
                    <w:adjustRightInd w:val="0"/>
                    <w:snapToGrid w:val="0"/>
                    <w:jc w:val="left"/>
                    <w:rPr>
                      <w:rFonts w:eastAsiaTheme="minorEastAsia"/>
                      <w:color w:val="auto"/>
                      <w:szCs w:val="21"/>
                    </w:rPr>
                  </w:pPr>
                  <w:r>
                    <w:rPr>
                      <w:rFonts w:eastAsiaTheme="minorEastAsia"/>
                      <w:color w:val="auto"/>
                      <w:szCs w:val="21"/>
                    </w:rPr>
                    <w:t>应将“三线一单”作为建设项目环评审批的重要依据，严格落实生态环境分区管控要求，从严把好环境准入关</w:t>
                  </w:r>
                </w:p>
              </w:tc>
              <w:tc>
                <w:tcPr>
                  <w:tcW w:w="1789" w:type="pct"/>
                  <w:vAlign w:val="center"/>
                </w:tcPr>
                <w:p w14:paraId="49787DC2">
                  <w:pPr>
                    <w:adjustRightInd w:val="0"/>
                    <w:snapToGrid w:val="0"/>
                    <w:jc w:val="center"/>
                    <w:rPr>
                      <w:rFonts w:eastAsiaTheme="minorEastAsia"/>
                      <w:color w:val="auto"/>
                      <w:szCs w:val="21"/>
                    </w:rPr>
                  </w:pPr>
                  <w:r>
                    <w:rPr>
                      <w:rFonts w:eastAsiaTheme="minorEastAsia"/>
                      <w:color w:val="auto"/>
                      <w:szCs w:val="21"/>
                    </w:rPr>
                    <w:t>建设项目的建设与</w:t>
                  </w:r>
                  <w:r>
                    <w:rPr>
                      <w:color w:val="auto"/>
                      <w:szCs w:val="21"/>
                    </w:rPr>
                    <w:t>“</w:t>
                  </w:r>
                  <w:r>
                    <w:rPr>
                      <w:rFonts w:eastAsiaTheme="minorEastAsia"/>
                      <w:color w:val="auto"/>
                      <w:szCs w:val="21"/>
                    </w:rPr>
                    <w:t>三线一单</w:t>
                  </w:r>
                  <w:r>
                    <w:rPr>
                      <w:color w:val="auto"/>
                      <w:szCs w:val="21"/>
                    </w:rPr>
                    <w:t>”</w:t>
                  </w:r>
                  <w:r>
                    <w:rPr>
                      <w:rFonts w:eastAsiaTheme="minorEastAsia"/>
                      <w:color w:val="auto"/>
                      <w:szCs w:val="21"/>
                    </w:rPr>
                    <w:t>相符，详见第一章节。</w:t>
                  </w:r>
                </w:p>
              </w:tc>
              <w:tc>
                <w:tcPr>
                  <w:tcW w:w="280" w:type="pct"/>
                  <w:vAlign w:val="center"/>
                </w:tcPr>
                <w:p w14:paraId="3B795AF0">
                  <w:pPr>
                    <w:adjustRightInd w:val="0"/>
                    <w:snapToGrid w:val="0"/>
                    <w:jc w:val="center"/>
                    <w:rPr>
                      <w:rFonts w:eastAsiaTheme="minorEastAsia"/>
                      <w:color w:val="auto"/>
                      <w:szCs w:val="21"/>
                    </w:rPr>
                  </w:pPr>
                  <w:r>
                    <w:rPr>
                      <w:rFonts w:eastAsiaTheme="minorEastAsia"/>
                      <w:color w:val="auto"/>
                      <w:szCs w:val="21"/>
                    </w:rPr>
                    <w:t>符合</w:t>
                  </w:r>
                </w:p>
              </w:tc>
            </w:tr>
            <w:tr w14:paraId="18BAE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restart"/>
                  <w:vAlign w:val="center"/>
                </w:tcPr>
                <w:p w14:paraId="0AC7E7E0">
                  <w:pPr>
                    <w:adjustRightInd w:val="0"/>
                    <w:snapToGrid w:val="0"/>
                    <w:jc w:val="left"/>
                    <w:rPr>
                      <w:rFonts w:eastAsiaTheme="minorEastAsia"/>
                      <w:color w:val="auto"/>
                      <w:szCs w:val="21"/>
                    </w:rPr>
                  </w:pPr>
                  <w:r>
                    <w:rPr>
                      <w:color w:val="auto"/>
                      <w:szCs w:val="21"/>
                    </w:rPr>
                    <w:t>《关于进一步优化环境影响评价工作的意见》（环环评</w:t>
                  </w:r>
                  <w:r>
                    <w:rPr>
                      <w:rFonts w:hint="eastAsia"/>
                      <w:color w:val="auto"/>
                      <w:szCs w:val="21"/>
                      <w:lang w:eastAsia="zh-CN"/>
                    </w:rPr>
                    <w:t>〔2023〕52号</w:t>
                  </w:r>
                  <w:r>
                    <w:rPr>
                      <w:color w:val="auto"/>
                      <w:szCs w:val="21"/>
                    </w:rPr>
                    <w:t>）</w:t>
                  </w:r>
                </w:p>
              </w:tc>
              <w:tc>
                <w:tcPr>
                  <w:tcW w:w="1884" w:type="pct"/>
                  <w:gridSpan w:val="2"/>
                  <w:vAlign w:val="center"/>
                </w:tcPr>
                <w:p w14:paraId="370C1414">
                  <w:pPr>
                    <w:adjustRightInd w:val="0"/>
                    <w:snapToGrid w:val="0"/>
                    <w:jc w:val="center"/>
                    <w:rPr>
                      <w:rFonts w:eastAsiaTheme="minorEastAsia"/>
                      <w:color w:val="auto"/>
                      <w:szCs w:val="21"/>
                    </w:rPr>
                  </w:pPr>
                  <w:r>
                    <w:rPr>
                      <w:color w:val="auto"/>
                      <w:kern w:val="0"/>
                      <w:szCs w:val="21"/>
                    </w:rPr>
                    <w:t>（六）衔接排污许可探索推进“两证审批合一”。生产工艺相对单一、环境影响较小、建设周期短且按规定应当编制环境影响报告表的农副食品加工业，食品制造业，酒、饮料制造业，纺织服装、服饰业，制鞋业，印刷业，通用设备制造业，专用设备制造业，加油、加气站，汽车、摩托车等修理与维护业，自来水生产和供应业，天然气锅炉等十二类建设项目，在企业自愿的原则下，可探索实施环评与排污许可“两证审批合一”，在项目开工建设前，接续办理环评与排污许可手续。建设过程中发生环评重大变动的，依法重新办理环评和排污许可证；不属于重大变动的，无需重新办理环评，排污前一次性变更排污许可证。</w:t>
                  </w:r>
                </w:p>
              </w:tc>
              <w:tc>
                <w:tcPr>
                  <w:tcW w:w="1789" w:type="pct"/>
                  <w:vAlign w:val="center"/>
                </w:tcPr>
                <w:p w14:paraId="5DC6F242">
                  <w:pPr>
                    <w:adjustRightInd w:val="0"/>
                    <w:snapToGrid w:val="0"/>
                    <w:jc w:val="center"/>
                    <w:rPr>
                      <w:rFonts w:eastAsiaTheme="minorEastAsia"/>
                      <w:color w:val="auto"/>
                      <w:szCs w:val="21"/>
                    </w:rPr>
                  </w:pPr>
                  <w:r>
                    <w:rPr>
                      <w:color w:val="auto"/>
                      <w:kern w:val="0"/>
                      <w:szCs w:val="21"/>
                    </w:rPr>
                    <w:t>建设项</w:t>
                  </w:r>
                  <w:r>
                    <w:rPr>
                      <w:rFonts w:hint="eastAsia"/>
                      <w:color w:val="auto"/>
                      <w:kern w:val="0"/>
                      <w:szCs w:val="21"/>
                    </w:rPr>
                    <w:t>目为胶合板生产</w:t>
                  </w:r>
                  <w:r>
                    <w:rPr>
                      <w:color w:val="auto"/>
                      <w:kern w:val="0"/>
                      <w:szCs w:val="21"/>
                    </w:rPr>
                    <w:t>项目，不属于左侧所列生产工艺相对单一、环境影响较小、建设周期短且按规定应当编制环境影响报告表的项目，项目建成验收前将申请办理排污许可证，依法排污。</w:t>
                  </w:r>
                </w:p>
              </w:tc>
              <w:tc>
                <w:tcPr>
                  <w:tcW w:w="280" w:type="pct"/>
                  <w:vAlign w:val="center"/>
                </w:tcPr>
                <w:p w14:paraId="5AB676E3">
                  <w:pPr>
                    <w:adjustRightInd w:val="0"/>
                    <w:snapToGrid w:val="0"/>
                    <w:jc w:val="center"/>
                    <w:rPr>
                      <w:rFonts w:eastAsiaTheme="minorEastAsia"/>
                      <w:color w:val="auto"/>
                      <w:szCs w:val="21"/>
                    </w:rPr>
                  </w:pPr>
                  <w:r>
                    <w:rPr>
                      <w:rFonts w:eastAsiaTheme="minorEastAsia"/>
                      <w:color w:val="auto"/>
                      <w:szCs w:val="21"/>
                    </w:rPr>
                    <w:t>符合</w:t>
                  </w:r>
                </w:p>
              </w:tc>
            </w:tr>
            <w:tr w14:paraId="787017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4" w:hRule="atLeast"/>
              </w:trPr>
              <w:tc>
                <w:tcPr>
                  <w:tcW w:w="1046" w:type="pct"/>
                  <w:vMerge w:val="continue"/>
                  <w:vAlign w:val="center"/>
                </w:tcPr>
                <w:p w14:paraId="79191C01">
                  <w:pPr>
                    <w:adjustRightInd w:val="0"/>
                    <w:snapToGrid w:val="0"/>
                    <w:jc w:val="center"/>
                    <w:rPr>
                      <w:rFonts w:eastAsiaTheme="minorEastAsia"/>
                      <w:color w:val="auto"/>
                      <w:szCs w:val="21"/>
                    </w:rPr>
                  </w:pPr>
                </w:p>
              </w:tc>
              <w:tc>
                <w:tcPr>
                  <w:tcW w:w="1884" w:type="pct"/>
                  <w:gridSpan w:val="2"/>
                  <w:vAlign w:val="center"/>
                </w:tcPr>
                <w:p w14:paraId="0B5F8B55">
                  <w:pPr>
                    <w:adjustRightInd w:val="0"/>
                    <w:snapToGrid w:val="0"/>
                    <w:jc w:val="center"/>
                    <w:rPr>
                      <w:rFonts w:eastAsiaTheme="minorEastAsia"/>
                      <w:color w:val="auto"/>
                      <w:szCs w:val="21"/>
                    </w:rPr>
                  </w:pPr>
                  <w:r>
                    <w:rPr>
                      <w:color w:val="auto"/>
                      <w:kern w:val="0"/>
                      <w:szCs w:val="21"/>
                    </w:rPr>
                    <w:t>（十一）试点优化完善一批项目环评总量指标审核管理。充分用好总量指标重点保障政策，纳入经党中央、国务院同意或批准的规划和政策文件的建设项目，地市级行政区域内总量指标不足时，在满足区域环境质量改善要求的基础上，可在省级行政</w:t>
                  </w:r>
                  <w:r>
                    <w:rPr>
                      <w:rFonts w:hint="eastAsia"/>
                      <w:color w:val="auto"/>
                      <w:kern w:val="0"/>
                      <w:szCs w:val="21"/>
                      <w:lang w:eastAsia="zh-CN"/>
                    </w:rPr>
                    <w:t>区域</w:t>
                  </w:r>
                  <w:r>
                    <w:rPr>
                      <w:color w:val="auto"/>
                      <w:kern w:val="0"/>
                      <w:szCs w:val="21"/>
                    </w:rPr>
                    <w:t>内统筹调配予以支持，具体办法由省级生态环境部门制定。区分建设项目轻重缓急，优先保障环保指标达到先进水平，且在“十四五”期间可以投产或达产的建设项目。“先立后改”的煤电项目，主要大气污染物总量指标可来源于本行业或非电工业行业可量化的清洁能源替代、落后产能淘汰形成的减排量。纳入试点的产业园区内，氮氧化物、化学需氧量、挥发性有机污染物的单项新增年排放量小于0.1吨，氨氮小于0.01吨的，项目环评审批中，建设单位免予提交主要污染物总量来源说明，由地方生态环境部门统筹总量指标替代来源，并纳入管理台账。</w:t>
                  </w:r>
                </w:p>
              </w:tc>
              <w:tc>
                <w:tcPr>
                  <w:tcW w:w="1789" w:type="pct"/>
                  <w:vAlign w:val="center"/>
                </w:tcPr>
                <w:p w14:paraId="1127A043">
                  <w:pPr>
                    <w:adjustRightInd w:val="0"/>
                    <w:snapToGrid w:val="0"/>
                    <w:jc w:val="center"/>
                    <w:rPr>
                      <w:rFonts w:eastAsiaTheme="minorEastAsia"/>
                      <w:color w:val="auto"/>
                      <w:szCs w:val="21"/>
                    </w:rPr>
                  </w:pPr>
                  <w:r>
                    <w:rPr>
                      <w:rFonts w:eastAsiaTheme="minorEastAsia"/>
                      <w:bCs/>
                      <w:color w:val="auto"/>
                      <w:kern w:val="0"/>
                      <w:szCs w:val="21"/>
                    </w:rPr>
                    <w:t>建设项目排放的颗粒物</w:t>
                  </w:r>
                  <w:r>
                    <w:rPr>
                      <w:rFonts w:hint="eastAsia" w:eastAsiaTheme="minorEastAsia"/>
                      <w:bCs/>
                      <w:color w:val="auto"/>
                      <w:kern w:val="0"/>
                      <w:szCs w:val="21"/>
                    </w:rPr>
                    <w:t>、挥发性有机物</w:t>
                  </w:r>
                  <w:r>
                    <w:rPr>
                      <w:rFonts w:eastAsiaTheme="minorEastAsia"/>
                      <w:bCs/>
                      <w:color w:val="auto"/>
                      <w:kern w:val="0"/>
                      <w:szCs w:val="21"/>
                    </w:rPr>
                    <w:t>由淮安市</w:t>
                  </w:r>
                  <w:r>
                    <w:rPr>
                      <w:rFonts w:hint="eastAsia" w:eastAsiaTheme="minorEastAsia"/>
                      <w:bCs/>
                      <w:color w:val="auto"/>
                      <w:kern w:val="0"/>
                      <w:szCs w:val="21"/>
                    </w:rPr>
                    <w:t>涟水县</w:t>
                  </w:r>
                  <w:r>
                    <w:rPr>
                      <w:rFonts w:eastAsiaTheme="minorEastAsia"/>
                      <w:bCs/>
                      <w:color w:val="auto"/>
                      <w:kern w:val="0"/>
                      <w:szCs w:val="21"/>
                    </w:rPr>
                    <w:t>生态环境局从境内企业削减总量中削减替代平衡</w:t>
                  </w:r>
                  <w:r>
                    <w:rPr>
                      <w:rFonts w:hint="eastAsia" w:eastAsiaTheme="minorEastAsia"/>
                      <w:bCs/>
                      <w:color w:val="auto"/>
                      <w:kern w:val="0"/>
                      <w:szCs w:val="21"/>
                    </w:rPr>
                    <w:t>，甲醛作为总量考核指标</w:t>
                  </w:r>
                  <w:r>
                    <w:rPr>
                      <w:rFonts w:eastAsiaTheme="minorEastAsia"/>
                      <w:bCs/>
                      <w:color w:val="auto"/>
                      <w:kern w:val="0"/>
                      <w:szCs w:val="21"/>
                    </w:rPr>
                    <w:t>。</w:t>
                  </w:r>
                  <w:r>
                    <w:rPr>
                      <w:color w:val="auto"/>
                      <w:szCs w:val="21"/>
                    </w:rPr>
                    <w:t>建设项目无生产废水排放</w:t>
                  </w:r>
                  <w:r>
                    <w:rPr>
                      <w:rFonts w:eastAsiaTheme="minorEastAsia"/>
                      <w:bCs/>
                      <w:color w:val="auto"/>
                      <w:kern w:val="0"/>
                      <w:szCs w:val="21"/>
                    </w:rPr>
                    <w:t>，生活污水经化粪池预处理后</w:t>
                  </w:r>
                  <w:r>
                    <w:rPr>
                      <w:rFonts w:hint="eastAsia" w:eastAsiaTheme="minorEastAsia"/>
                      <w:bCs/>
                      <w:color w:val="auto"/>
                      <w:kern w:val="0"/>
                      <w:szCs w:val="21"/>
                      <w:lang w:eastAsia="zh-CN"/>
                    </w:rPr>
                    <w:t>接管高沟镇污水处理厂</w:t>
                  </w:r>
                  <w:r>
                    <w:rPr>
                      <w:rFonts w:hint="eastAsia" w:eastAsiaTheme="minorEastAsia"/>
                      <w:bCs/>
                      <w:color w:val="auto"/>
                      <w:kern w:val="0"/>
                      <w:szCs w:val="21"/>
                    </w:rPr>
                    <w:t>。</w:t>
                  </w:r>
                </w:p>
              </w:tc>
              <w:tc>
                <w:tcPr>
                  <w:tcW w:w="280" w:type="pct"/>
                  <w:vAlign w:val="center"/>
                </w:tcPr>
                <w:p w14:paraId="1DD7F881">
                  <w:pPr>
                    <w:adjustRightInd w:val="0"/>
                    <w:snapToGrid w:val="0"/>
                    <w:jc w:val="center"/>
                    <w:rPr>
                      <w:rFonts w:eastAsiaTheme="minorEastAsia"/>
                      <w:color w:val="auto"/>
                      <w:szCs w:val="21"/>
                    </w:rPr>
                  </w:pPr>
                  <w:r>
                    <w:rPr>
                      <w:rFonts w:eastAsiaTheme="minorEastAsia"/>
                      <w:color w:val="auto"/>
                      <w:szCs w:val="21"/>
                    </w:rPr>
                    <w:t>符合</w:t>
                  </w:r>
                </w:p>
              </w:tc>
            </w:tr>
          </w:tbl>
          <w:p w14:paraId="17F19DF0">
            <w:pPr>
              <w:spacing w:line="360" w:lineRule="auto"/>
              <w:rPr>
                <w:snapToGrid w:val="0"/>
                <w:color w:val="auto"/>
                <w:kern w:val="0"/>
                <w:sz w:val="24"/>
              </w:rPr>
            </w:pPr>
          </w:p>
        </w:tc>
      </w:tr>
    </w:tbl>
    <w:p w14:paraId="71EEFA28">
      <w:pPr>
        <w:spacing w:line="360" w:lineRule="auto"/>
        <w:outlineLvl w:val="9"/>
        <w:rPr>
          <w:sz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08D6723">
      <w:pPr>
        <w:pStyle w:val="37"/>
        <w:jc w:val="center"/>
        <w:outlineLvl w:val="0"/>
        <w:rPr>
          <w:rFonts w:ascii="Times New Roman" w:hAnsi="Times New Roman"/>
          <w:b/>
          <w:snapToGrid w:val="0"/>
          <w:sz w:val="30"/>
          <w:szCs w:val="30"/>
        </w:rPr>
      </w:pPr>
      <w:bookmarkStart w:id="6" w:name="_Toc32627"/>
      <w:r>
        <w:rPr>
          <w:rFonts w:ascii="Times New Roman" w:hAnsi="Times New Roman"/>
          <w:b/>
          <w:snapToGrid w:val="0"/>
          <w:sz w:val="30"/>
          <w:szCs w:val="30"/>
        </w:rPr>
        <w:t>二、建设项目工程分析</w:t>
      </w:r>
      <w:bookmarkEnd w:id="6"/>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087D6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511" w:type="dxa"/>
            <w:vAlign w:val="center"/>
          </w:tcPr>
          <w:p w14:paraId="6B31390B">
            <w:pPr>
              <w:pStyle w:val="3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w:t>
            </w:r>
          </w:p>
          <w:p w14:paraId="19000945">
            <w:pPr>
              <w:pStyle w:val="3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内容</w:t>
            </w:r>
          </w:p>
        </w:tc>
        <w:tc>
          <w:tcPr>
            <w:tcW w:w="8324" w:type="dxa"/>
          </w:tcPr>
          <w:p w14:paraId="38C633AE">
            <w:pPr>
              <w:pStyle w:val="89"/>
              <w:spacing w:line="360" w:lineRule="auto"/>
              <w:ind w:firstLine="0" w:firstLineChars="0"/>
              <w:jc w:val="left"/>
              <w:rPr>
                <w:b/>
                <w:color w:val="auto"/>
                <w:sz w:val="24"/>
              </w:rPr>
            </w:pPr>
            <w:r>
              <w:rPr>
                <w:b/>
                <w:color w:val="auto"/>
                <w:sz w:val="24"/>
              </w:rPr>
              <w:t>1、</w:t>
            </w:r>
            <w:r>
              <w:rPr>
                <w:rFonts w:hint="eastAsia"/>
                <w:b/>
                <w:color w:val="auto"/>
                <w:sz w:val="24"/>
              </w:rPr>
              <w:t>项目由来</w:t>
            </w:r>
          </w:p>
          <w:p w14:paraId="13CFE31D">
            <w:pPr>
              <w:pStyle w:val="276"/>
              <w:adjustRightInd w:val="0"/>
              <w:ind w:firstLine="480"/>
              <w:rPr>
                <w:color w:val="auto"/>
                <w:sz w:val="24"/>
                <w:szCs w:val="24"/>
              </w:rPr>
            </w:pPr>
            <w:r>
              <w:rPr>
                <w:rFonts w:hint="eastAsia"/>
                <w:color w:val="auto"/>
                <w:sz w:val="24"/>
                <w:szCs w:val="24"/>
                <w:lang w:val="zh-CN"/>
              </w:rPr>
              <w:t>淮安鲁班木业</w:t>
            </w:r>
            <w:r>
              <w:rPr>
                <w:color w:val="auto"/>
                <w:sz w:val="24"/>
                <w:szCs w:val="24"/>
                <w:lang w:val="zh-CN"/>
              </w:rPr>
              <w:t>有限公司</w:t>
            </w:r>
            <w:r>
              <w:rPr>
                <w:color w:val="auto"/>
                <w:sz w:val="24"/>
                <w:szCs w:val="24"/>
              </w:rPr>
              <w:t>成立于202</w:t>
            </w:r>
            <w:r>
              <w:rPr>
                <w:rFonts w:hint="eastAsia"/>
                <w:color w:val="auto"/>
                <w:sz w:val="24"/>
                <w:szCs w:val="24"/>
              </w:rPr>
              <w:t>4</w:t>
            </w:r>
            <w:r>
              <w:rPr>
                <w:color w:val="auto"/>
                <w:sz w:val="24"/>
                <w:szCs w:val="24"/>
              </w:rPr>
              <w:t>年</w:t>
            </w:r>
            <w:r>
              <w:rPr>
                <w:rFonts w:hint="eastAsia"/>
                <w:color w:val="auto"/>
                <w:sz w:val="24"/>
                <w:szCs w:val="24"/>
              </w:rPr>
              <w:t>5</w:t>
            </w:r>
            <w:r>
              <w:rPr>
                <w:color w:val="auto"/>
                <w:sz w:val="24"/>
                <w:szCs w:val="24"/>
              </w:rPr>
              <w:t>月</w:t>
            </w:r>
            <w:r>
              <w:rPr>
                <w:rFonts w:hint="eastAsia"/>
                <w:color w:val="auto"/>
                <w:sz w:val="24"/>
                <w:szCs w:val="24"/>
              </w:rPr>
              <w:t>11</w:t>
            </w:r>
            <w:r>
              <w:rPr>
                <w:color w:val="auto"/>
                <w:sz w:val="24"/>
                <w:szCs w:val="24"/>
              </w:rPr>
              <w:t>日，经营范围主要包括木材加工、日用木制品制造、日用木制品销售、建筑用木料及木材组件加工等。现拟投资</w:t>
            </w:r>
            <w:r>
              <w:rPr>
                <w:rFonts w:hint="eastAsia"/>
                <w:color w:val="auto"/>
                <w:sz w:val="24"/>
                <w:szCs w:val="24"/>
              </w:rPr>
              <w:t>500</w:t>
            </w:r>
            <w:r>
              <w:rPr>
                <w:color w:val="auto"/>
                <w:sz w:val="24"/>
                <w:szCs w:val="24"/>
              </w:rPr>
              <w:t>万元于</w:t>
            </w:r>
            <w:r>
              <w:rPr>
                <w:color w:val="auto"/>
                <w:sz w:val="24"/>
                <w:szCs w:val="24"/>
                <w:lang w:val="zh-CN"/>
              </w:rPr>
              <w:t>江苏省淮安市涟水县</w:t>
            </w:r>
            <w:r>
              <w:rPr>
                <w:rFonts w:hint="eastAsia"/>
                <w:color w:val="auto"/>
                <w:sz w:val="24"/>
                <w:szCs w:val="24"/>
                <w:lang w:val="zh-CN"/>
              </w:rPr>
              <w:t>高沟</w:t>
            </w:r>
            <w:r>
              <w:rPr>
                <w:color w:val="auto"/>
                <w:sz w:val="24"/>
                <w:szCs w:val="24"/>
                <w:lang w:val="zh-CN"/>
              </w:rPr>
              <w:t>镇</w:t>
            </w:r>
            <w:r>
              <w:rPr>
                <w:rFonts w:hint="eastAsia"/>
                <w:color w:val="auto"/>
                <w:sz w:val="24"/>
                <w:szCs w:val="24"/>
                <w:lang w:val="zh-CN"/>
              </w:rPr>
              <w:t>高秀</w:t>
            </w:r>
            <w:r>
              <w:rPr>
                <w:color w:val="auto"/>
                <w:sz w:val="24"/>
                <w:szCs w:val="24"/>
                <w:lang w:val="zh-CN"/>
              </w:rPr>
              <w:t>工业集中区</w:t>
            </w:r>
            <w:r>
              <w:rPr>
                <w:color w:val="auto"/>
                <w:sz w:val="24"/>
                <w:szCs w:val="24"/>
              </w:rPr>
              <w:t>建设</w:t>
            </w:r>
            <w:r>
              <w:rPr>
                <w:color w:val="auto"/>
                <w:sz w:val="24"/>
                <w:szCs w:val="24"/>
                <w:lang w:val="zh-CN"/>
              </w:rPr>
              <w:t>胶合板加工项目</w:t>
            </w:r>
            <w:r>
              <w:rPr>
                <w:color w:val="auto"/>
                <w:sz w:val="24"/>
                <w:szCs w:val="24"/>
              </w:rPr>
              <w:t>，租赁涟水县</w:t>
            </w:r>
            <w:r>
              <w:rPr>
                <w:rFonts w:hint="eastAsia"/>
                <w:color w:val="auto"/>
                <w:sz w:val="24"/>
                <w:szCs w:val="24"/>
              </w:rPr>
              <w:t>高沟</w:t>
            </w:r>
            <w:r>
              <w:rPr>
                <w:color w:val="auto"/>
                <w:sz w:val="24"/>
                <w:szCs w:val="24"/>
              </w:rPr>
              <w:t>镇</w:t>
            </w:r>
            <w:r>
              <w:rPr>
                <w:rFonts w:hint="eastAsia"/>
                <w:color w:val="auto"/>
                <w:sz w:val="24"/>
                <w:szCs w:val="24"/>
              </w:rPr>
              <w:t>奥峰木业有限公司1</w:t>
            </w:r>
            <w:r>
              <w:rPr>
                <w:color w:val="auto"/>
                <w:sz w:val="24"/>
                <w:szCs w:val="24"/>
              </w:rPr>
              <w:t>栋标准化厂房，共</w:t>
            </w:r>
            <w:r>
              <w:rPr>
                <w:rFonts w:hint="eastAsia"/>
                <w:color w:val="auto"/>
                <w:sz w:val="24"/>
                <w:szCs w:val="24"/>
              </w:rPr>
              <w:t>2772</w:t>
            </w:r>
            <w:r>
              <w:rPr>
                <w:color w:val="auto"/>
                <w:sz w:val="24"/>
                <w:szCs w:val="24"/>
              </w:rPr>
              <w:t>平方米，购置</w:t>
            </w:r>
            <w:r>
              <w:rPr>
                <w:rFonts w:hint="eastAsia"/>
                <w:color w:val="auto"/>
                <w:sz w:val="24"/>
                <w:szCs w:val="24"/>
              </w:rPr>
              <w:t>旋切机、热压机、空压机、调胶机、涂胶机、拼缝机、叉车、锯边机、砂光机等</w:t>
            </w:r>
            <w:r>
              <w:rPr>
                <w:color w:val="auto"/>
                <w:sz w:val="24"/>
                <w:szCs w:val="24"/>
              </w:rPr>
              <w:t>生产设备，形成年</w:t>
            </w:r>
            <w:r>
              <w:rPr>
                <w:rFonts w:hint="eastAsia"/>
                <w:color w:val="auto"/>
                <w:sz w:val="24"/>
                <w:szCs w:val="24"/>
              </w:rPr>
              <w:t>加工</w:t>
            </w:r>
            <w:r>
              <w:rPr>
                <w:rFonts w:hint="eastAsia"/>
                <w:color w:val="auto"/>
                <w:sz w:val="24"/>
                <w:szCs w:val="24"/>
                <w:lang w:eastAsia="zh-CN"/>
              </w:rPr>
              <w:t>玩具胶合板</w:t>
            </w:r>
            <w:r>
              <w:rPr>
                <w:rFonts w:hint="eastAsia"/>
                <w:color w:val="auto"/>
                <w:sz w:val="24"/>
                <w:szCs w:val="24"/>
              </w:rPr>
              <w:t>11000</w:t>
            </w:r>
            <w:r>
              <w:rPr>
                <w:color w:val="auto"/>
                <w:sz w:val="24"/>
                <w:szCs w:val="24"/>
              </w:rPr>
              <w:t>立方米的生产能力。</w:t>
            </w:r>
          </w:p>
          <w:p w14:paraId="2871FFC2">
            <w:pPr>
              <w:widowControl/>
              <w:adjustRightInd w:val="0"/>
              <w:snapToGrid w:val="0"/>
              <w:spacing w:line="360" w:lineRule="auto"/>
              <w:ind w:firstLine="480" w:firstLineChars="200"/>
              <w:rPr>
                <w:rFonts w:eastAsiaTheme="minorEastAsia"/>
                <w:color w:val="auto"/>
                <w:sz w:val="24"/>
              </w:rPr>
            </w:pPr>
            <w:r>
              <w:rPr>
                <w:rFonts w:hint="eastAsia" w:eastAsiaTheme="minorEastAsia"/>
                <w:color w:val="auto"/>
                <w:sz w:val="24"/>
              </w:rPr>
              <w:t>本项目于2024年8月29日淮安涟水县发展改革委备案，备案证号：涟水发改备</w:t>
            </w:r>
            <w:r>
              <w:rPr>
                <w:rFonts w:hint="eastAsia" w:eastAsiaTheme="minorEastAsia"/>
                <w:color w:val="auto"/>
                <w:sz w:val="24"/>
                <w:lang w:eastAsia="zh-CN"/>
              </w:rPr>
              <w:t>〔2024〕202号</w:t>
            </w:r>
            <w:r>
              <w:rPr>
                <w:rFonts w:hint="eastAsia" w:eastAsiaTheme="minorEastAsia"/>
                <w:color w:val="auto"/>
                <w:sz w:val="24"/>
              </w:rPr>
              <w:t>，项目代码：2406-320826-04-01-277675。</w:t>
            </w:r>
          </w:p>
          <w:p w14:paraId="431831D5">
            <w:pPr>
              <w:widowControl/>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建设</w:t>
            </w:r>
            <w:r>
              <w:rPr>
                <w:rFonts w:eastAsiaTheme="minorEastAsia"/>
                <w:color w:val="auto"/>
                <w:kern w:val="0"/>
                <w:sz w:val="24"/>
              </w:rPr>
              <w:t>项目为</w:t>
            </w:r>
            <w:r>
              <w:rPr>
                <w:rFonts w:hint="eastAsia" w:eastAsiaTheme="minorEastAsia"/>
                <w:color w:val="auto"/>
                <w:kern w:val="0"/>
                <w:sz w:val="24"/>
              </w:rPr>
              <w:t>胶合板生产项目（C2021）</w:t>
            </w:r>
            <w:r>
              <w:rPr>
                <w:rFonts w:eastAsiaTheme="minorEastAsia"/>
                <w:color w:val="auto"/>
                <w:kern w:val="0"/>
                <w:sz w:val="24"/>
              </w:rPr>
              <w:t>，根据《国民经济行业分类》（GB/T 4754-2017）及第1号修改单、《建设项目环境影响评价分类管理名录（2021年版）》（部令第16号），建设项目环境影响评价文件类别判定过程见表2</w:t>
            </w:r>
            <w:r>
              <w:rPr>
                <w:rFonts w:hint="eastAsia" w:eastAsiaTheme="minorEastAsia"/>
                <w:color w:val="auto"/>
                <w:kern w:val="0"/>
                <w:sz w:val="24"/>
              </w:rPr>
              <w:t>.1</w:t>
            </w:r>
            <w:r>
              <w:rPr>
                <w:rFonts w:eastAsiaTheme="minorEastAsia"/>
                <w:color w:val="auto"/>
                <w:kern w:val="0"/>
                <w:sz w:val="24"/>
              </w:rPr>
              <w:t>-1。</w:t>
            </w:r>
          </w:p>
          <w:p w14:paraId="0D8C4413">
            <w:pPr>
              <w:widowControl/>
              <w:adjustRightInd w:val="0"/>
              <w:snapToGrid w:val="0"/>
              <w:ind w:firstLine="482" w:firstLineChars="200"/>
              <w:jc w:val="center"/>
              <w:rPr>
                <w:rFonts w:eastAsiaTheme="minorEastAsia"/>
                <w:b/>
                <w:color w:val="auto"/>
                <w:kern w:val="0"/>
                <w:sz w:val="24"/>
              </w:rPr>
            </w:pPr>
            <w:r>
              <w:rPr>
                <w:rFonts w:eastAsiaTheme="minorEastAsia"/>
                <w:b/>
                <w:color w:val="auto"/>
                <w:kern w:val="0"/>
                <w:sz w:val="24"/>
              </w:rPr>
              <w:t xml:space="preserve">表2.1-1  </w:t>
            </w:r>
            <w:r>
              <w:rPr>
                <w:rFonts w:hint="eastAsia" w:eastAsiaTheme="minorEastAsia"/>
                <w:b/>
                <w:color w:val="auto"/>
                <w:kern w:val="0"/>
                <w:sz w:val="24"/>
              </w:rPr>
              <w:t>建设</w:t>
            </w:r>
            <w:r>
              <w:rPr>
                <w:rFonts w:eastAsiaTheme="minorEastAsia"/>
                <w:b/>
                <w:color w:val="auto"/>
                <w:kern w:val="0"/>
                <w:sz w:val="24"/>
              </w:rPr>
              <w:t>项目环境影响评价报告类别判定表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0"/>
              <w:gridCol w:w="1851"/>
              <w:gridCol w:w="988"/>
              <w:gridCol w:w="1426"/>
              <w:gridCol w:w="673"/>
              <w:gridCol w:w="2470"/>
            </w:tblGrid>
            <w:tr w14:paraId="222BF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84" w:type="pct"/>
                  <w:tcBorders>
                    <w:tr2bl w:val="nil"/>
                  </w:tcBorders>
                  <w:vAlign w:val="center"/>
                </w:tcPr>
                <w:p w14:paraId="361A9E98">
                  <w:pPr>
                    <w:widowControl/>
                    <w:autoSpaceDE w:val="0"/>
                    <w:autoSpaceDN w:val="0"/>
                    <w:adjustRightInd w:val="0"/>
                    <w:snapToGrid w:val="0"/>
                    <w:jc w:val="center"/>
                    <w:rPr>
                      <w:rFonts w:eastAsiaTheme="minorEastAsia"/>
                      <w:b/>
                      <w:color w:val="auto"/>
                      <w:kern w:val="0"/>
                      <w:szCs w:val="21"/>
                    </w:rPr>
                  </w:pPr>
                  <w:r>
                    <w:rPr>
                      <w:rFonts w:eastAsiaTheme="minorEastAsia"/>
                      <w:b/>
                      <w:color w:val="auto"/>
                      <w:kern w:val="0"/>
                      <w:szCs w:val="21"/>
                    </w:rPr>
                    <w:t>行业类别</w:t>
                  </w:r>
                </w:p>
              </w:tc>
              <w:tc>
                <w:tcPr>
                  <w:tcW w:w="1103" w:type="pct"/>
                  <w:tcBorders>
                    <w:tl2br w:val="single" w:color="auto" w:sz="4" w:space="0"/>
                    <w:tr2bl w:val="nil"/>
                  </w:tcBorders>
                  <w:vAlign w:val="center"/>
                </w:tcPr>
                <w:p w14:paraId="20735A0D">
                  <w:pPr>
                    <w:widowControl/>
                    <w:autoSpaceDE w:val="0"/>
                    <w:autoSpaceDN w:val="0"/>
                    <w:adjustRightInd w:val="0"/>
                    <w:snapToGrid w:val="0"/>
                    <w:jc w:val="right"/>
                    <w:rPr>
                      <w:rFonts w:eastAsiaTheme="minorEastAsia"/>
                      <w:b/>
                      <w:color w:val="auto"/>
                      <w:kern w:val="0"/>
                      <w:szCs w:val="21"/>
                    </w:rPr>
                  </w:pPr>
                  <w:r>
                    <w:rPr>
                      <w:rFonts w:eastAsiaTheme="minorEastAsia"/>
                      <w:b/>
                      <w:color w:val="auto"/>
                      <w:kern w:val="0"/>
                      <w:szCs w:val="21"/>
                    </w:rPr>
                    <w:t>环评类别</w:t>
                  </w:r>
                </w:p>
                <w:p w14:paraId="06242D7A">
                  <w:pPr>
                    <w:widowControl/>
                    <w:autoSpaceDE w:val="0"/>
                    <w:autoSpaceDN w:val="0"/>
                    <w:adjustRightInd w:val="0"/>
                    <w:snapToGrid w:val="0"/>
                    <w:jc w:val="left"/>
                    <w:rPr>
                      <w:rFonts w:eastAsiaTheme="minorEastAsia"/>
                      <w:b/>
                      <w:color w:val="auto"/>
                      <w:kern w:val="0"/>
                      <w:szCs w:val="21"/>
                    </w:rPr>
                  </w:pPr>
                  <w:r>
                    <w:rPr>
                      <w:rFonts w:eastAsiaTheme="minorEastAsia"/>
                      <w:b/>
                      <w:color w:val="auto"/>
                      <w:kern w:val="0"/>
                      <w:szCs w:val="21"/>
                    </w:rPr>
                    <w:t>项目类别</w:t>
                  </w:r>
                </w:p>
              </w:tc>
              <w:tc>
                <w:tcPr>
                  <w:tcW w:w="589" w:type="pct"/>
                  <w:tcBorders>
                    <w:tl2br w:val="nil"/>
                    <w:tr2bl w:val="nil"/>
                  </w:tcBorders>
                  <w:vAlign w:val="center"/>
                </w:tcPr>
                <w:p w14:paraId="2A4AD346">
                  <w:pPr>
                    <w:widowControl/>
                    <w:autoSpaceDE w:val="0"/>
                    <w:autoSpaceDN w:val="0"/>
                    <w:adjustRightInd w:val="0"/>
                    <w:snapToGrid w:val="0"/>
                    <w:jc w:val="center"/>
                    <w:rPr>
                      <w:rFonts w:eastAsiaTheme="minorEastAsia"/>
                      <w:b/>
                      <w:color w:val="auto"/>
                      <w:kern w:val="0"/>
                      <w:szCs w:val="21"/>
                    </w:rPr>
                  </w:pPr>
                  <w:r>
                    <w:rPr>
                      <w:rFonts w:eastAsiaTheme="minorEastAsia"/>
                      <w:b/>
                      <w:color w:val="auto"/>
                      <w:kern w:val="0"/>
                      <w:szCs w:val="21"/>
                    </w:rPr>
                    <w:t>报告书</w:t>
                  </w:r>
                </w:p>
              </w:tc>
              <w:tc>
                <w:tcPr>
                  <w:tcW w:w="850" w:type="pct"/>
                  <w:tcBorders>
                    <w:tl2br w:val="nil"/>
                    <w:tr2bl w:val="nil"/>
                  </w:tcBorders>
                  <w:vAlign w:val="center"/>
                </w:tcPr>
                <w:p w14:paraId="4DD7A0FA">
                  <w:pPr>
                    <w:widowControl/>
                    <w:autoSpaceDE w:val="0"/>
                    <w:autoSpaceDN w:val="0"/>
                    <w:adjustRightInd w:val="0"/>
                    <w:snapToGrid w:val="0"/>
                    <w:jc w:val="center"/>
                    <w:rPr>
                      <w:rFonts w:eastAsiaTheme="minorEastAsia"/>
                      <w:b/>
                      <w:color w:val="auto"/>
                      <w:kern w:val="0"/>
                      <w:szCs w:val="21"/>
                    </w:rPr>
                  </w:pPr>
                  <w:r>
                    <w:rPr>
                      <w:rFonts w:eastAsiaTheme="minorEastAsia"/>
                      <w:b/>
                      <w:color w:val="auto"/>
                      <w:kern w:val="0"/>
                      <w:szCs w:val="21"/>
                    </w:rPr>
                    <w:t>报告表</w:t>
                  </w:r>
                </w:p>
              </w:tc>
              <w:tc>
                <w:tcPr>
                  <w:tcW w:w="401" w:type="pct"/>
                  <w:tcBorders>
                    <w:tl2br w:val="nil"/>
                    <w:tr2bl w:val="nil"/>
                  </w:tcBorders>
                  <w:vAlign w:val="center"/>
                </w:tcPr>
                <w:p w14:paraId="4CCDACDC">
                  <w:pPr>
                    <w:widowControl/>
                    <w:adjustRightInd w:val="0"/>
                    <w:snapToGrid w:val="0"/>
                    <w:jc w:val="center"/>
                    <w:rPr>
                      <w:rFonts w:eastAsiaTheme="minorEastAsia"/>
                      <w:b/>
                      <w:color w:val="auto"/>
                      <w:kern w:val="0"/>
                      <w:szCs w:val="21"/>
                    </w:rPr>
                  </w:pPr>
                  <w:r>
                    <w:rPr>
                      <w:rFonts w:eastAsiaTheme="minorEastAsia"/>
                      <w:b/>
                      <w:color w:val="auto"/>
                      <w:kern w:val="0"/>
                      <w:szCs w:val="21"/>
                    </w:rPr>
                    <w:t>登记表</w:t>
                  </w:r>
                </w:p>
              </w:tc>
              <w:tc>
                <w:tcPr>
                  <w:tcW w:w="1471" w:type="pct"/>
                  <w:tcBorders>
                    <w:tl2br w:val="nil"/>
                    <w:tr2bl w:val="nil"/>
                  </w:tcBorders>
                  <w:vAlign w:val="center"/>
                </w:tcPr>
                <w:p w14:paraId="725F8724">
                  <w:pPr>
                    <w:widowControl/>
                    <w:adjustRightInd w:val="0"/>
                    <w:snapToGrid w:val="0"/>
                    <w:jc w:val="center"/>
                    <w:rPr>
                      <w:rFonts w:eastAsiaTheme="minorEastAsia"/>
                      <w:b/>
                      <w:color w:val="auto"/>
                      <w:kern w:val="0"/>
                      <w:szCs w:val="21"/>
                    </w:rPr>
                  </w:pPr>
                  <w:r>
                    <w:rPr>
                      <w:rFonts w:eastAsiaTheme="minorEastAsia"/>
                      <w:b/>
                      <w:color w:val="auto"/>
                      <w:kern w:val="0"/>
                      <w:szCs w:val="21"/>
                    </w:rPr>
                    <w:t>本项目情况</w:t>
                  </w:r>
                </w:p>
              </w:tc>
            </w:tr>
            <w:tr w14:paraId="70D0B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26" w:hRule="atLeast"/>
                <w:jc w:val="center"/>
              </w:trPr>
              <w:tc>
                <w:tcPr>
                  <w:tcW w:w="584" w:type="pct"/>
                  <w:tcBorders>
                    <w:tl2br w:val="nil"/>
                    <w:tr2bl w:val="nil"/>
                  </w:tcBorders>
                  <w:vAlign w:val="center"/>
                </w:tcPr>
                <w:p w14:paraId="16475D08">
                  <w:pPr>
                    <w:autoSpaceDE w:val="0"/>
                    <w:autoSpaceDN w:val="0"/>
                    <w:adjustRightInd w:val="0"/>
                    <w:snapToGrid w:val="0"/>
                    <w:rPr>
                      <w:rFonts w:eastAsiaTheme="minorEastAsia"/>
                      <w:color w:val="auto"/>
                      <w:szCs w:val="21"/>
                    </w:rPr>
                  </w:pPr>
                  <w:r>
                    <w:rPr>
                      <w:rFonts w:hint="eastAsia" w:eastAsiaTheme="minorEastAsia"/>
                      <w:color w:val="auto"/>
                      <w:kern w:val="0"/>
                      <w:szCs w:val="21"/>
                    </w:rPr>
                    <w:t>胶合板制造</w:t>
                  </w:r>
                  <w:r>
                    <w:rPr>
                      <w:rFonts w:eastAsiaTheme="minorEastAsia"/>
                      <w:color w:val="auto"/>
                      <w:kern w:val="0"/>
                      <w:szCs w:val="21"/>
                    </w:rPr>
                    <w:t>C2021</w:t>
                  </w:r>
                </w:p>
              </w:tc>
              <w:tc>
                <w:tcPr>
                  <w:tcW w:w="1103" w:type="pct"/>
                  <w:tcBorders>
                    <w:tl2br w:val="nil"/>
                    <w:tr2bl w:val="nil"/>
                  </w:tcBorders>
                  <w:vAlign w:val="center"/>
                </w:tcPr>
                <w:p w14:paraId="19D726A4">
                  <w:pPr>
                    <w:autoSpaceDE w:val="0"/>
                    <w:autoSpaceDN w:val="0"/>
                    <w:adjustRightInd w:val="0"/>
                    <w:snapToGrid w:val="0"/>
                    <w:rPr>
                      <w:rFonts w:eastAsiaTheme="minorEastAsia"/>
                      <w:color w:val="auto"/>
                      <w:szCs w:val="21"/>
                    </w:rPr>
                  </w:pPr>
                  <w:r>
                    <w:rPr>
                      <w:rFonts w:hint="eastAsia" w:eastAsiaTheme="minorEastAsia"/>
                      <w:color w:val="auto"/>
                      <w:kern w:val="0"/>
                      <w:szCs w:val="21"/>
                    </w:rPr>
                    <w:t>十七、木材加工和木、竹、藤、棕、草制品业中的“</w:t>
                  </w:r>
                  <w:r>
                    <w:rPr>
                      <w:rFonts w:eastAsiaTheme="minorEastAsia"/>
                      <w:color w:val="auto"/>
                      <w:kern w:val="0"/>
                      <w:szCs w:val="21"/>
                    </w:rPr>
                    <w:t>34</w:t>
                  </w:r>
                  <w:r>
                    <w:rPr>
                      <w:rFonts w:hint="eastAsia" w:eastAsiaTheme="minorEastAsia"/>
                      <w:color w:val="auto"/>
                      <w:kern w:val="0"/>
                      <w:szCs w:val="21"/>
                    </w:rPr>
                    <w:t>.人造板制造</w:t>
                  </w:r>
                  <w:r>
                    <w:rPr>
                      <w:rFonts w:eastAsiaTheme="minorEastAsia"/>
                      <w:color w:val="auto"/>
                      <w:kern w:val="0"/>
                      <w:szCs w:val="21"/>
                    </w:rPr>
                    <w:t>202</w:t>
                  </w:r>
                  <w:r>
                    <w:rPr>
                      <w:rFonts w:hint="eastAsia" w:eastAsiaTheme="minorEastAsia"/>
                      <w:color w:val="auto"/>
                      <w:kern w:val="0"/>
                      <w:szCs w:val="21"/>
                    </w:rPr>
                    <w:t>”。</w:t>
                  </w:r>
                </w:p>
              </w:tc>
              <w:tc>
                <w:tcPr>
                  <w:tcW w:w="589" w:type="pct"/>
                  <w:tcBorders>
                    <w:tl2br w:val="nil"/>
                    <w:tr2bl w:val="nil"/>
                  </w:tcBorders>
                  <w:vAlign w:val="center"/>
                </w:tcPr>
                <w:p w14:paraId="517BAE86">
                  <w:pPr>
                    <w:autoSpaceDE w:val="0"/>
                    <w:autoSpaceDN w:val="0"/>
                    <w:adjustRightInd w:val="0"/>
                    <w:snapToGrid w:val="0"/>
                    <w:rPr>
                      <w:rFonts w:eastAsiaTheme="minorEastAsia"/>
                      <w:color w:val="auto"/>
                      <w:szCs w:val="21"/>
                    </w:rPr>
                  </w:pPr>
                  <w:r>
                    <w:rPr>
                      <w:rFonts w:hint="eastAsia" w:eastAsiaTheme="minorEastAsia"/>
                      <w:color w:val="auto"/>
                      <w:kern w:val="0"/>
                      <w:szCs w:val="21"/>
                    </w:rPr>
                    <w:t>年产20万立方米及以上的</w:t>
                  </w:r>
                </w:p>
              </w:tc>
              <w:tc>
                <w:tcPr>
                  <w:tcW w:w="850" w:type="pct"/>
                  <w:tcBorders>
                    <w:tl2br w:val="nil"/>
                    <w:tr2bl w:val="nil"/>
                  </w:tcBorders>
                  <w:vAlign w:val="center"/>
                </w:tcPr>
                <w:p w14:paraId="44AF1EE5">
                  <w:pPr>
                    <w:autoSpaceDE w:val="0"/>
                    <w:autoSpaceDN w:val="0"/>
                    <w:adjustRightInd w:val="0"/>
                    <w:snapToGrid w:val="0"/>
                    <w:jc w:val="center"/>
                    <w:rPr>
                      <w:rFonts w:eastAsiaTheme="minorEastAsia"/>
                      <w:color w:val="auto"/>
                      <w:szCs w:val="21"/>
                    </w:rPr>
                  </w:pPr>
                  <w:r>
                    <w:rPr>
                      <w:rFonts w:hint="eastAsia" w:eastAsiaTheme="minorEastAsia"/>
                      <w:color w:val="auto"/>
                      <w:kern w:val="0"/>
                      <w:szCs w:val="21"/>
                    </w:rPr>
                    <w:t>其他</w:t>
                  </w:r>
                </w:p>
              </w:tc>
              <w:tc>
                <w:tcPr>
                  <w:tcW w:w="401" w:type="pct"/>
                  <w:tcBorders>
                    <w:tl2br w:val="nil"/>
                    <w:tr2bl w:val="nil"/>
                  </w:tcBorders>
                  <w:vAlign w:val="center"/>
                </w:tcPr>
                <w:p w14:paraId="5C5A932B">
                  <w:pPr>
                    <w:autoSpaceDE w:val="0"/>
                    <w:autoSpaceDN w:val="0"/>
                    <w:adjustRightInd w:val="0"/>
                    <w:snapToGrid w:val="0"/>
                    <w:jc w:val="center"/>
                    <w:rPr>
                      <w:rFonts w:eastAsiaTheme="minorEastAsia"/>
                      <w:color w:val="auto"/>
                      <w:szCs w:val="21"/>
                    </w:rPr>
                  </w:pPr>
                  <w:r>
                    <w:rPr>
                      <w:rFonts w:eastAsiaTheme="minorEastAsia"/>
                      <w:color w:val="auto"/>
                      <w:kern w:val="0"/>
                      <w:szCs w:val="21"/>
                    </w:rPr>
                    <w:t>/</w:t>
                  </w:r>
                </w:p>
              </w:tc>
              <w:tc>
                <w:tcPr>
                  <w:tcW w:w="1471" w:type="pct"/>
                  <w:tcBorders>
                    <w:tl2br w:val="nil"/>
                    <w:tr2bl w:val="nil"/>
                  </w:tcBorders>
                  <w:vAlign w:val="center"/>
                </w:tcPr>
                <w:p w14:paraId="2EB364B9">
                  <w:pPr>
                    <w:autoSpaceDE w:val="0"/>
                    <w:autoSpaceDN w:val="0"/>
                    <w:adjustRightInd w:val="0"/>
                    <w:snapToGrid w:val="0"/>
                    <w:rPr>
                      <w:rFonts w:eastAsiaTheme="minorEastAsia"/>
                      <w:color w:val="auto"/>
                      <w:szCs w:val="21"/>
                    </w:rPr>
                  </w:pPr>
                  <w:r>
                    <w:rPr>
                      <w:rFonts w:hint="eastAsia" w:eastAsiaTheme="minorEastAsia"/>
                      <w:color w:val="auto"/>
                      <w:kern w:val="0"/>
                      <w:szCs w:val="21"/>
                    </w:rPr>
                    <w:t>建设</w:t>
                  </w:r>
                  <w:r>
                    <w:rPr>
                      <w:rFonts w:eastAsiaTheme="minorEastAsia"/>
                      <w:color w:val="auto"/>
                      <w:kern w:val="0"/>
                      <w:szCs w:val="21"/>
                    </w:rPr>
                    <w:t>项目</w:t>
                  </w:r>
                  <w:r>
                    <w:rPr>
                      <w:rFonts w:hint="eastAsia" w:eastAsiaTheme="minorEastAsia"/>
                      <w:color w:val="auto"/>
                      <w:kern w:val="0"/>
                      <w:szCs w:val="21"/>
                    </w:rPr>
                    <w:t>年加工</w:t>
                  </w:r>
                  <w:r>
                    <w:rPr>
                      <w:rFonts w:hint="eastAsia" w:eastAsiaTheme="minorEastAsia"/>
                      <w:color w:val="auto"/>
                      <w:kern w:val="0"/>
                      <w:szCs w:val="21"/>
                      <w:lang w:eastAsia="zh-CN"/>
                    </w:rPr>
                    <w:t>玩具胶合板</w:t>
                  </w:r>
                  <w:r>
                    <w:rPr>
                      <w:rFonts w:hint="eastAsia" w:eastAsiaTheme="minorEastAsia"/>
                      <w:color w:val="auto"/>
                      <w:kern w:val="0"/>
                      <w:szCs w:val="21"/>
                    </w:rPr>
                    <w:t>11000立方米，属于“其他”，</w:t>
                  </w:r>
                  <w:r>
                    <w:rPr>
                      <w:rFonts w:eastAsiaTheme="minorEastAsia"/>
                      <w:color w:val="auto"/>
                      <w:kern w:val="0"/>
                      <w:szCs w:val="21"/>
                    </w:rPr>
                    <w:t>应编制报告表</w:t>
                  </w:r>
                </w:p>
              </w:tc>
            </w:tr>
          </w:tbl>
          <w:p w14:paraId="3D402069">
            <w:pPr>
              <w:widowControl/>
              <w:adjustRightInd w:val="0"/>
              <w:snapToGrid w:val="0"/>
              <w:spacing w:before="120" w:beforeLines="50" w:line="360" w:lineRule="auto"/>
              <w:ind w:firstLine="480" w:firstLineChars="200"/>
              <w:jc w:val="left"/>
              <w:rPr>
                <w:rFonts w:eastAsiaTheme="minorEastAsia"/>
                <w:color w:val="auto"/>
                <w:kern w:val="0"/>
                <w:sz w:val="24"/>
              </w:rPr>
            </w:pPr>
            <w:r>
              <w:rPr>
                <w:rFonts w:eastAsiaTheme="minorEastAsia"/>
                <w:color w:val="auto"/>
                <w:kern w:val="0"/>
                <w:sz w:val="24"/>
              </w:rPr>
              <w:t>综上，</w:t>
            </w:r>
            <w:r>
              <w:rPr>
                <w:rFonts w:hint="eastAsia" w:eastAsiaTheme="minorEastAsia"/>
                <w:color w:val="auto"/>
                <w:kern w:val="0"/>
                <w:sz w:val="24"/>
              </w:rPr>
              <w:t>建设</w:t>
            </w:r>
            <w:r>
              <w:rPr>
                <w:rFonts w:eastAsiaTheme="minorEastAsia"/>
                <w:color w:val="auto"/>
                <w:kern w:val="0"/>
                <w:sz w:val="24"/>
              </w:rPr>
              <w:t>项目应编制环境影响报告表。</w:t>
            </w:r>
          </w:p>
          <w:p w14:paraId="46E786EB">
            <w:pPr>
              <w:pStyle w:val="276"/>
              <w:adjustRightInd w:val="0"/>
              <w:ind w:firstLine="480"/>
              <w:rPr>
                <w:color w:val="auto"/>
                <w:sz w:val="24"/>
                <w:szCs w:val="24"/>
              </w:rPr>
            </w:pPr>
            <w:r>
              <w:rPr>
                <w:rFonts w:eastAsiaTheme="minorEastAsia"/>
                <w:color w:val="auto"/>
                <w:sz w:val="24"/>
              </w:rPr>
              <w:t>根据《中华人民共和国环境保护法》（2014年修正）、《中华人民共和国环境影响评价法》（2018年修正）、《建设项目环境保护管理条例》（2017年修订）等有关环保法规要求，</w:t>
            </w:r>
            <w:r>
              <w:rPr>
                <w:rFonts w:hint="eastAsia"/>
                <w:color w:val="auto"/>
                <w:sz w:val="24"/>
                <w:szCs w:val="24"/>
                <w:lang w:val="zh-CN"/>
              </w:rPr>
              <w:t>淮安鲁班木业</w:t>
            </w:r>
            <w:r>
              <w:rPr>
                <w:color w:val="auto"/>
                <w:sz w:val="24"/>
                <w:szCs w:val="24"/>
                <w:lang w:val="zh-CN"/>
              </w:rPr>
              <w:t>有限公司</w:t>
            </w:r>
            <w:r>
              <w:rPr>
                <w:rFonts w:eastAsiaTheme="minorEastAsia"/>
                <w:color w:val="auto"/>
                <w:sz w:val="24"/>
              </w:rPr>
              <w:t>委托</w:t>
            </w:r>
            <w:r>
              <w:rPr>
                <w:rFonts w:hint="eastAsia" w:eastAsiaTheme="minorEastAsia"/>
                <w:color w:val="auto"/>
                <w:sz w:val="24"/>
              </w:rPr>
              <w:t>淮安市天蓝环境科技</w:t>
            </w:r>
            <w:r>
              <w:rPr>
                <w:rFonts w:eastAsiaTheme="minorEastAsia"/>
                <w:color w:val="auto"/>
                <w:sz w:val="24"/>
              </w:rPr>
              <w:t>有限公司就本项目进行环境影响评价。经工作人员现场实地踏勘，结合现场的具体情况，依据有关环评技术规范，</w:t>
            </w:r>
            <w:r>
              <w:rPr>
                <w:rFonts w:hint="eastAsia" w:eastAsiaTheme="minorEastAsia"/>
                <w:color w:val="auto"/>
                <w:sz w:val="24"/>
              </w:rPr>
              <w:t>编制了</w:t>
            </w:r>
            <w:r>
              <w:rPr>
                <w:rFonts w:hint="eastAsia"/>
                <w:color w:val="auto"/>
                <w:sz w:val="24"/>
                <w:szCs w:val="24"/>
                <w:lang w:val="zh-CN"/>
              </w:rPr>
              <w:t>淮安鲁班木业</w:t>
            </w:r>
            <w:r>
              <w:rPr>
                <w:color w:val="auto"/>
                <w:sz w:val="24"/>
                <w:szCs w:val="24"/>
                <w:lang w:val="zh-CN"/>
              </w:rPr>
              <w:t>有限公司</w:t>
            </w:r>
            <w:r>
              <w:rPr>
                <w:color w:val="auto"/>
                <w:sz w:val="24"/>
                <w:szCs w:val="24"/>
              </w:rPr>
              <w:t>年</w:t>
            </w:r>
            <w:r>
              <w:rPr>
                <w:rFonts w:hint="eastAsia"/>
                <w:color w:val="auto"/>
                <w:sz w:val="24"/>
                <w:szCs w:val="24"/>
              </w:rPr>
              <w:t>加工</w:t>
            </w:r>
            <w:r>
              <w:rPr>
                <w:rFonts w:hint="eastAsia"/>
                <w:color w:val="auto"/>
                <w:sz w:val="24"/>
                <w:szCs w:val="24"/>
                <w:lang w:eastAsia="zh-CN"/>
              </w:rPr>
              <w:t>玩具胶合板</w:t>
            </w:r>
            <w:r>
              <w:rPr>
                <w:rFonts w:hint="eastAsia"/>
                <w:color w:val="auto"/>
                <w:sz w:val="24"/>
                <w:szCs w:val="24"/>
              </w:rPr>
              <w:t>11000</w:t>
            </w:r>
            <w:r>
              <w:rPr>
                <w:color w:val="auto"/>
                <w:sz w:val="24"/>
                <w:szCs w:val="24"/>
              </w:rPr>
              <w:t>立方米</w:t>
            </w:r>
            <w:r>
              <w:rPr>
                <w:rFonts w:eastAsiaTheme="minorEastAsia"/>
                <w:color w:val="auto"/>
                <w:sz w:val="24"/>
              </w:rPr>
              <w:t>项目</w:t>
            </w:r>
            <w:r>
              <w:rPr>
                <w:rFonts w:hint="eastAsia" w:eastAsiaTheme="minorEastAsia"/>
                <w:color w:val="auto"/>
                <w:sz w:val="24"/>
              </w:rPr>
              <w:t>环境影响报告表。</w:t>
            </w:r>
          </w:p>
          <w:p w14:paraId="26B9EFDC">
            <w:pPr>
              <w:pStyle w:val="271"/>
              <w:ind w:firstLine="480"/>
              <w:rPr>
                <w:color w:val="auto"/>
              </w:rPr>
            </w:pPr>
            <w:r>
              <w:rPr>
                <w:color w:val="auto"/>
              </w:rPr>
              <w:t>本项目工程具体见下表。</w:t>
            </w:r>
          </w:p>
          <w:p w14:paraId="08242CB4">
            <w:pPr>
              <w:widowControl/>
              <w:adjustRightInd w:val="0"/>
              <w:snapToGrid w:val="0"/>
              <w:spacing w:line="360" w:lineRule="auto"/>
              <w:ind w:firstLine="482" w:firstLineChars="200"/>
              <w:jc w:val="left"/>
              <w:rPr>
                <w:rFonts w:eastAsiaTheme="minorEastAsia"/>
                <w:color w:val="auto"/>
                <w:kern w:val="0"/>
                <w:sz w:val="24"/>
              </w:rPr>
            </w:pPr>
            <w:r>
              <w:rPr>
                <w:rFonts w:eastAsiaTheme="minorEastAsia"/>
                <w:b/>
                <w:color w:val="auto"/>
                <w:kern w:val="0"/>
                <w:sz w:val="24"/>
              </w:rPr>
              <w:t>2.主要建设内容及产品方案</w:t>
            </w:r>
          </w:p>
          <w:p w14:paraId="7A5BE005">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（1）建设内容：</w:t>
            </w:r>
            <w:r>
              <w:rPr>
                <w:rFonts w:hint="eastAsia" w:eastAsiaTheme="minorEastAsia"/>
                <w:color w:val="auto"/>
                <w:kern w:val="0"/>
                <w:sz w:val="24"/>
              </w:rPr>
              <w:t>项目位于淮安市</w:t>
            </w:r>
            <w:r>
              <w:rPr>
                <w:color w:val="auto"/>
                <w:sz w:val="24"/>
              </w:rPr>
              <w:t>涟水县</w:t>
            </w:r>
            <w:r>
              <w:rPr>
                <w:rFonts w:hint="eastAsia"/>
                <w:color w:val="auto"/>
                <w:sz w:val="24"/>
              </w:rPr>
              <w:t>高沟</w:t>
            </w:r>
            <w:r>
              <w:rPr>
                <w:color w:val="auto"/>
                <w:sz w:val="24"/>
              </w:rPr>
              <w:t>镇</w:t>
            </w:r>
            <w:r>
              <w:rPr>
                <w:rFonts w:hint="eastAsia"/>
                <w:color w:val="auto"/>
                <w:sz w:val="24"/>
              </w:rPr>
              <w:t>高秀</w:t>
            </w:r>
            <w:r>
              <w:rPr>
                <w:color w:val="auto"/>
                <w:sz w:val="24"/>
              </w:rPr>
              <w:t>工业集中区</w:t>
            </w:r>
            <w:r>
              <w:rPr>
                <w:rFonts w:hint="eastAsia" w:eastAsiaTheme="minorEastAsia"/>
                <w:color w:val="auto"/>
                <w:sz w:val="24"/>
              </w:rPr>
              <w:t>，占地面积2772</w:t>
            </w:r>
            <w:r>
              <w:rPr>
                <w:rFonts w:eastAsiaTheme="minorEastAsia"/>
                <w:color w:val="auto"/>
                <w:kern w:val="0"/>
                <w:sz w:val="24"/>
              </w:rPr>
              <w:t>m</w:t>
            </w:r>
            <w:r>
              <w:rPr>
                <w:rFonts w:eastAsiaTheme="minorEastAsia"/>
                <w:color w:val="auto"/>
                <w:kern w:val="0"/>
                <w:sz w:val="24"/>
                <w:vertAlign w:val="superscript"/>
              </w:rPr>
              <w:t>2</w:t>
            </w:r>
            <w:r>
              <w:rPr>
                <w:rFonts w:eastAsiaTheme="minorEastAsia"/>
                <w:color w:val="auto"/>
                <w:kern w:val="0"/>
                <w:sz w:val="24"/>
              </w:rPr>
              <w:t>，</w:t>
            </w:r>
            <w:r>
              <w:rPr>
                <w:rFonts w:hint="eastAsia" w:eastAsiaTheme="minorEastAsia"/>
                <w:color w:val="auto"/>
                <w:kern w:val="0"/>
                <w:sz w:val="24"/>
              </w:rPr>
              <w:t>主要生产设备有</w:t>
            </w:r>
            <w:r>
              <w:rPr>
                <w:rFonts w:hint="eastAsia"/>
                <w:color w:val="auto"/>
                <w:sz w:val="24"/>
              </w:rPr>
              <w:t>旋切机、热压机、空压机、调胶机、涂胶机、拼缝机、叉车、锯边机、砂光机等</w:t>
            </w:r>
            <w:r>
              <w:rPr>
                <w:color w:val="auto"/>
                <w:sz w:val="24"/>
              </w:rPr>
              <w:t>生产及辅助设备</w:t>
            </w:r>
            <w:r>
              <w:rPr>
                <w:rFonts w:hint="eastAsia" w:eastAsiaTheme="minorEastAsia"/>
                <w:color w:val="auto"/>
                <w:kern w:val="0"/>
                <w:sz w:val="24"/>
              </w:rPr>
              <w:t>，建设1条年加工</w:t>
            </w:r>
            <w:r>
              <w:rPr>
                <w:rFonts w:hint="eastAsia" w:eastAsiaTheme="minorEastAsia"/>
                <w:color w:val="auto"/>
                <w:kern w:val="0"/>
                <w:sz w:val="24"/>
                <w:lang w:eastAsia="zh-CN"/>
              </w:rPr>
              <w:t>玩具胶合板</w:t>
            </w:r>
            <w:r>
              <w:rPr>
                <w:rFonts w:hint="eastAsia" w:eastAsiaTheme="minorEastAsia"/>
                <w:color w:val="auto"/>
                <w:kern w:val="0"/>
                <w:sz w:val="24"/>
              </w:rPr>
              <w:t>11000立方米的生产线。</w:t>
            </w:r>
          </w:p>
          <w:p w14:paraId="1D8A75EF">
            <w:pPr>
              <w:adjustRightInd w:val="0"/>
              <w:snapToGrid w:val="0"/>
              <w:spacing w:line="360" w:lineRule="auto"/>
              <w:ind w:firstLine="480" w:firstLineChars="200"/>
              <w:rPr>
                <w:rFonts w:eastAsiaTheme="minorEastAsia"/>
                <w:color w:val="auto"/>
                <w:sz w:val="24"/>
              </w:rPr>
            </w:pPr>
            <w:r>
              <w:rPr>
                <w:rFonts w:eastAsiaTheme="minorEastAsia"/>
                <w:color w:val="auto"/>
                <w:sz w:val="24"/>
              </w:rPr>
              <w:t>（2）建设规模：</w:t>
            </w:r>
            <w:r>
              <w:rPr>
                <w:rFonts w:hint="eastAsia" w:eastAsiaTheme="minorEastAsia"/>
                <w:color w:val="auto"/>
                <w:kern w:val="0"/>
                <w:sz w:val="24"/>
              </w:rPr>
              <w:t>年加工</w:t>
            </w:r>
            <w:r>
              <w:rPr>
                <w:rFonts w:hint="eastAsia" w:eastAsiaTheme="minorEastAsia"/>
                <w:color w:val="auto"/>
                <w:kern w:val="0"/>
                <w:sz w:val="24"/>
                <w:lang w:eastAsia="zh-CN"/>
              </w:rPr>
              <w:t>玩具胶合板</w:t>
            </w:r>
            <w:r>
              <w:rPr>
                <w:rFonts w:hint="eastAsia" w:eastAsiaTheme="minorEastAsia"/>
                <w:color w:val="auto"/>
                <w:kern w:val="0"/>
                <w:sz w:val="24"/>
              </w:rPr>
              <w:t>11000立方米</w:t>
            </w:r>
            <w:r>
              <w:rPr>
                <w:rFonts w:eastAsiaTheme="minorEastAsia"/>
                <w:color w:val="auto"/>
                <w:sz w:val="24"/>
              </w:rPr>
              <w:t>。</w:t>
            </w:r>
          </w:p>
          <w:p w14:paraId="7B40B850">
            <w:pPr>
              <w:adjustRightInd w:val="0"/>
              <w:snapToGrid w:val="0"/>
              <w:spacing w:line="360" w:lineRule="auto"/>
              <w:ind w:firstLine="480" w:firstLineChars="200"/>
              <w:rPr>
                <w:rFonts w:eastAsiaTheme="minorEastAsia"/>
                <w:b/>
                <w:color w:val="auto"/>
                <w:sz w:val="24"/>
              </w:rPr>
            </w:pPr>
            <w:r>
              <w:rPr>
                <w:rFonts w:eastAsiaTheme="minorEastAsia"/>
                <w:color w:val="auto"/>
                <w:sz w:val="24"/>
              </w:rPr>
              <w:t>根据建设单位提供的资料，项目主要产品方案见表2</w:t>
            </w:r>
            <w:r>
              <w:rPr>
                <w:rFonts w:hint="eastAsia" w:eastAsiaTheme="minorEastAsia"/>
                <w:color w:val="auto"/>
                <w:sz w:val="24"/>
              </w:rPr>
              <w:t>.1</w:t>
            </w:r>
            <w:r>
              <w:rPr>
                <w:rFonts w:eastAsiaTheme="minorEastAsia"/>
                <w:color w:val="auto"/>
                <w:sz w:val="24"/>
              </w:rPr>
              <w:t>-2。</w:t>
            </w:r>
          </w:p>
          <w:p w14:paraId="4365A975">
            <w:pPr>
              <w:widowControl/>
              <w:adjustRightInd w:val="0"/>
              <w:snapToGrid w:val="0"/>
              <w:jc w:val="center"/>
              <w:rPr>
                <w:rFonts w:eastAsiaTheme="minorEastAsia"/>
                <w:color w:val="auto"/>
                <w:kern w:val="0"/>
                <w:szCs w:val="21"/>
              </w:rPr>
            </w:pPr>
            <w:r>
              <w:rPr>
                <w:rFonts w:eastAsiaTheme="minorEastAsia"/>
                <w:b/>
                <w:color w:val="auto"/>
                <w:kern w:val="0"/>
                <w:sz w:val="24"/>
                <w:szCs w:val="20"/>
              </w:rPr>
              <w:t xml:space="preserve">表2.1-2  </w:t>
            </w:r>
            <w:r>
              <w:rPr>
                <w:rFonts w:hint="eastAsia" w:eastAsiaTheme="minorEastAsia"/>
                <w:b/>
                <w:color w:val="auto"/>
                <w:kern w:val="0"/>
                <w:sz w:val="24"/>
                <w:szCs w:val="20"/>
              </w:rPr>
              <w:t>建设</w:t>
            </w:r>
            <w:r>
              <w:rPr>
                <w:rFonts w:eastAsiaTheme="minorEastAsia"/>
                <w:b/>
                <w:color w:val="auto"/>
                <w:kern w:val="0"/>
                <w:sz w:val="24"/>
                <w:szCs w:val="20"/>
              </w:rPr>
              <w:t xml:space="preserve">项目产品方案一览表  </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48"/>
              <w:gridCol w:w="1700"/>
              <w:gridCol w:w="2106"/>
              <w:gridCol w:w="1321"/>
              <w:gridCol w:w="1410"/>
            </w:tblGrid>
            <w:tr w14:paraId="157E9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2" w:type="pct"/>
                  <w:vAlign w:val="center"/>
                </w:tcPr>
                <w:p w14:paraId="2CC8D823">
                  <w:pPr>
                    <w:adjustRightInd w:val="0"/>
                    <w:snapToGrid w:val="0"/>
                    <w:jc w:val="center"/>
                    <w:rPr>
                      <w:b/>
                      <w:color w:val="auto"/>
                      <w:szCs w:val="21"/>
                    </w:rPr>
                  </w:pPr>
                  <w:r>
                    <w:rPr>
                      <w:b/>
                      <w:color w:val="auto"/>
                      <w:szCs w:val="21"/>
                    </w:rPr>
                    <w:t>工程名称</w:t>
                  </w:r>
                </w:p>
                <w:p w14:paraId="22A3EF30">
                  <w:pPr>
                    <w:adjustRightInd w:val="0"/>
                    <w:snapToGrid w:val="0"/>
                    <w:jc w:val="center"/>
                    <w:rPr>
                      <w:b/>
                      <w:color w:val="auto"/>
                      <w:szCs w:val="21"/>
                    </w:rPr>
                  </w:pPr>
                  <w:r>
                    <w:rPr>
                      <w:b/>
                      <w:color w:val="auto"/>
                      <w:szCs w:val="21"/>
                    </w:rPr>
                    <w:t>（厂房或生产线）</w:t>
                  </w:r>
                </w:p>
              </w:tc>
              <w:tc>
                <w:tcPr>
                  <w:tcW w:w="1013" w:type="pct"/>
                  <w:vAlign w:val="center"/>
                </w:tcPr>
                <w:p w14:paraId="309F0B9C">
                  <w:pPr>
                    <w:autoSpaceDE w:val="0"/>
                    <w:autoSpaceDN w:val="0"/>
                    <w:adjustRightInd w:val="0"/>
                    <w:snapToGrid w:val="0"/>
                    <w:jc w:val="center"/>
                    <w:rPr>
                      <w:b/>
                      <w:color w:val="auto"/>
                      <w:szCs w:val="21"/>
                    </w:rPr>
                  </w:pPr>
                  <w:r>
                    <w:rPr>
                      <w:b/>
                      <w:color w:val="auto"/>
                      <w:szCs w:val="21"/>
                    </w:rPr>
                    <w:t>产品名称</w:t>
                  </w:r>
                </w:p>
              </w:tc>
              <w:tc>
                <w:tcPr>
                  <w:tcW w:w="1255" w:type="pct"/>
                  <w:vAlign w:val="center"/>
                </w:tcPr>
                <w:p w14:paraId="0F1F15D1">
                  <w:pPr>
                    <w:adjustRightInd w:val="0"/>
                    <w:snapToGrid w:val="0"/>
                    <w:jc w:val="center"/>
                    <w:rPr>
                      <w:b/>
                      <w:color w:val="auto"/>
                      <w:szCs w:val="21"/>
                    </w:rPr>
                  </w:pPr>
                  <w:r>
                    <w:rPr>
                      <w:b/>
                      <w:color w:val="auto"/>
                      <w:szCs w:val="21"/>
                    </w:rPr>
                    <w:t>规格</w:t>
                  </w:r>
                  <w:r>
                    <w:rPr>
                      <w:rFonts w:hint="eastAsia"/>
                      <w:b/>
                      <w:color w:val="auto"/>
                      <w:szCs w:val="21"/>
                    </w:rPr>
                    <w:t>/型号</w:t>
                  </w:r>
                </w:p>
              </w:tc>
              <w:tc>
                <w:tcPr>
                  <w:tcW w:w="787" w:type="pct"/>
                  <w:vAlign w:val="center"/>
                </w:tcPr>
                <w:p w14:paraId="23CD8FE6">
                  <w:pPr>
                    <w:adjustRightInd w:val="0"/>
                    <w:snapToGrid w:val="0"/>
                    <w:jc w:val="center"/>
                    <w:rPr>
                      <w:b/>
                      <w:color w:val="auto"/>
                      <w:szCs w:val="21"/>
                    </w:rPr>
                  </w:pPr>
                  <w:r>
                    <w:rPr>
                      <w:b/>
                      <w:color w:val="auto"/>
                      <w:szCs w:val="21"/>
                    </w:rPr>
                    <w:t>设计能力</w:t>
                  </w:r>
                </w:p>
              </w:tc>
              <w:tc>
                <w:tcPr>
                  <w:tcW w:w="840" w:type="pct"/>
                  <w:vAlign w:val="center"/>
                </w:tcPr>
                <w:p w14:paraId="6F43AEC1">
                  <w:pPr>
                    <w:adjustRightInd w:val="0"/>
                    <w:snapToGrid w:val="0"/>
                    <w:jc w:val="center"/>
                    <w:rPr>
                      <w:b/>
                      <w:color w:val="auto"/>
                      <w:szCs w:val="21"/>
                    </w:rPr>
                  </w:pPr>
                  <w:r>
                    <w:rPr>
                      <w:b/>
                      <w:color w:val="auto"/>
                      <w:szCs w:val="21"/>
                    </w:rPr>
                    <w:t>年运行时</w:t>
                  </w:r>
                  <w:r>
                    <w:rPr>
                      <w:rFonts w:hint="eastAsia"/>
                      <w:b/>
                      <w:color w:val="auto"/>
                      <w:szCs w:val="21"/>
                    </w:rPr>
                    <w:t>间</w:t>
                  </w:r>
                  <w:r>
                    <w:rPr>
                      <w:b/>
                      <w:color w:val="auto"/>
                      <w:szCs w:val="21"/>
                    </w:rPr>
                    <w:t>（h）</w:t>
                  </w:r>
                </w:p>
              </w:tc>
            </w:tr>
            <w:tr w14:paraId="75CC8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02" w:type="pct"/>
                  <w:vAlign w:val="center"/>
                </w:tcPr>
                <w:p w14:paraId="6E027148">
                  <w:pPr>
                    <w:adjustRightInd w:val="0"/>
                    <w:snapToGrid w:val="0"/>
                    <w:jc w:val="center"/>
                    <w:rPr>
                      <w:color w:val="auto"/>
                      <w:szCs w:val="21"/>
                    </w:rPr>
                  </w:pPr>
                  <w:r>
                    <w:rPr>
                      <w:rFonts w:hint="eastAsia"/>
                      <w:color w:val="auto"/>
                      <w:szCs w:val="21"/>
                      <w:lang w:eastAsia="zh-CN"/>
                    </w:rPr>
                    <w:t>玩具胶合板</w:t>
                  </w:r>
                  <w:r>
                    <w:rPr>
                      <w:color w:val="auto"/>
                      <w:szCs w:val="21"/>
                    </w:rPr>
                    <w:t>生产线</w:t>
                  </w:r>
                </w:p>
              </w:tc>
              <w:tc>
                <w:tcPr>
                  <w:tcW w:w="1013" w:type="pct"/>
                  <w:vAlign w:val="center"/>
                </w:tcPr>
                <w:p w14:paraId="4B4E29E2">
                  <w:pPr>
                    <w:adjustRightInd w:val="0"/>
                    <w:snapToGrid w:val="0"/>
                    <w:jc w:val="center"/>
                    <w:rPr>
                      <w:rFonts w:hint="eastAsia" w:eastAsia="宋体"/>
                      <w:color w:val="auto"/>
                      <w:szCs w:val="21"/>
                      <w:lang w:val="en-US" w:eastAsia="zh-CN"/>
                    </w:rPr>
                  </w:pPr>
                  <w:r>
                    <w:rPr>
                      <w:rFonts w:hint="eastAsia"/>
                      <w:color w:val="auto"/>
                      <w:szCs w:val="21"/>
                      <w:lang w:eastAsia="zh-CN"/>
                    </w:rPr>
                    <w:t>玩具胶合板</w:t>
                  </w:r>
                  <w:r>
                    <w:rPr>
                      <w:rFonts w:hint="eastAsia"/>
                      <w:color w:val="auto"/>
                      <w:szCs w:val="21"/>
                      <w:lang w:val="en-US" w:eastAsia="zh-CN"/>
                    </w:rPr>
                    <w:t>*</w:t>
                  </w:r>
                </w:p>
              </w:tc>
              <w:tc>
                <w:tcPr>
                  <w:tcW w:w="1255" w:type="pct"/>
                  <w:vAlign w:val="center"/>
                </w:tcPr>
                <w:p w14:paraId="5377DE5F">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97cm*97cm，厚度约2—3mm</w:t>
                  </w:r>
                </w:p>
              </w:tc>
              <w:tc>
                <w:tcPr>
                  <w:tcW w:w="787" w:type="pct"/>
                  <w:vAlign w:val="center"/>
                </w:tcPr>
                <w:p w14:paraId="07CBA869">
                  <w:pPr>
                    <w:autoSpaceDE w:val="0"/>
                    <w:autoSpaceDN w:val="0"/>
                    <w:adjustRightInd w:val="0"/>
                    <w:snapToGrid w:val="0"/>
                    <w:jc w:val="center"/>
                    <w:rPr>
                      <w:color w:val="auto"/>
                      <w:szCs w:val="21"/>
                    </w:rPr>
                  </w:pPr>
                  <w:r>
                    <w:rPr>
                      <w:rFonts w:hint="eastAsia"/>
                      <w:color w:val="auto"/>
                      <w:szCs w:val="21"/>
                    </w:rPr>
                    <w:t>11000</w:t>
                  </w:r>
                  <w:r>
                    <w:rPr>
                      <w:color w:val="auto"/>
                      <w:szCs w:val="21"/>
                    </w:rPr>
                    <w:t>m</w:t>
                  </w:r>
                  <w:r>
                    <w:rPr>
                      <w:color w:val="auto"/>
                      <w:szCs w:val="21"/>
                      <w:vertAlign w:val="superscript"/>
                    </w:rPr>
                    <w:t>3</w:t>
                  </w:r>
                  <w:r>
                    <w:rPr>
                      <w:color w:val="auto"/>
                      <w:szCs w:val="21"/>
                    </w:rPr>
                    <w:t>/a</w:t>
                  </w:r>
                </w:p>
              </w:tc>
              <w:tc>
                <w:tcPr>
                  <w:tcW w:w="840" w:type="pct"/>
                  <w:vAlign w:val="center"/>
                </w:tcPr>
                <w:p w14:paraId="33A34661">
                  <w:pPr>
                    <w:autoSpaceDE w:val="0"/>
                    <w:autoSpaceDN w:val="0"/>
                    <w:adjustRightInd w:val="0"/>
                    <w:snapToGrid w:val="0"/>
                    <w:jc w:val="center"/>
                    <w:rPr>
                      <w:rFonts w:hint="eastAsia" w:eastAsia="宋体"/>
                      <w:color w:val="auto"/>
                      <w:szCs w:val="21"/>
                      <w:lang w:eastAsia="zh-CN"/>
                    </w:rPr>
                  </w:pPr>
                  <w:r>
                    <w:rPr>
                      <w:rFonts w:hint="eastAsia"/>
                      <w:color w:val="auto"/>
                      <w:szCs w:val="21"/>
                      <w:lang w:eastAsia="zh-CN"/>
                    </w:rPr>
                    <w:t>7200</w:t>
                  </w:r>
                </w:p>
              </w:tc>
            </w:tr>
          </w:tbl>
          <w:p w14:paraId="483A7C4C">
            <w:pPr>
              <w:autoSpaceDE w:val="0"/>
              <w:autoSpaceDN w:val="0"/>
              <w:adjustRightInd w:val="0"/>
              <w:snapToGrid w:val="0"/>
              <w:spacing w:before="120" w:beforeLines="50" w:line="360" w:lineRule="auto"/>
              <w:ind w:left="105" w:leftChars="50" w:firstLine="482" w:firstLineChars="200"/>
              <w:jc w:val="left"/>
              <w:rPr>
                <w:rFonts w:hint="eastAsia" w:eastAsiaTheme="minorEastAsia"/>
                <w:b/>
                <w:color w:val="auto"/>
                <w:kern w:val="0"/>
                <w:sz w:val="24"/>
                <w:lang w:eastAsia="zh-CN"/>
              </w:rPr>
            </w:pPr>
            <w:r>
              <w:rPr>
                <w:rFonts w:hint="eastAsia" w:eastAsiaTheme="minorEastAsia"/>
                <w:b/>
                <w:color w:val="auto"/>
                <w:kern w:val="0"/>
                <w:sz w:val="24"/>
                <w:lang w:eastAsia="zh-CN"/>
              </w:rPr>
              <w:t>产品质量细节：</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4"/>
              <w:gridCol w:w="4264"/>
            </w:tblGrid>
            <w:tr w14:paraId="60D5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7" w:hRule="atLeast"/>
              </w:trPr>
              <w:tc>
                <w:tcPr>
                  <w:tcW w:w="4095" w:type="dxa"/>
                </w:tcPr>
                <w:p w14:paraId="4FAEDC8C">
                  <w:pPr>
                    <w:autoSpaceDE w:val="0"/>
                    <w:autoSpaceDN w:val="0"/>
                    <w:adjustRightInd w:val="0"/>
                    <w:snapToGrid w:val="0"/>
                    <w:spacing w:before="120" w:beforeLines="50" w:line="360" w:lineRule="auto"/>
                    <w:jc w:val="left"/>
                    <w:rPr>
                      <w:rFonts w:hint="eastAsia" w:eastAsiaTheme="minorEastAsia"/>
                      <w:b/>
                      <w:color w:val="auto"/>
                      <w:kern w:val="0"/>
                      <w:sz w:val="24"/>
                      <w:vertAlign w:val="baseline"/>
                      <w:lang w:eastAsia="zh-CN"/>
                    </w:rPr>
                  </w:pPr>
                  <w:r>
                    <w:rPr>
                      <w:rFonts w:hint="eastAsia" w:eastAsiaTheme="minorEastAsia"/>
                      <w:b/>
                      <w:color w:val="auto"/>
                      <w:kern w:val="0"/>
                      <w:sz w:val="24"/>
                      <w:vertAlign w:val="baseline"/>
                      <w:lang w:eastAsia="zh-CN"/>
                    </w:rPr>
                    <w:drawing>
                      <wp:inline distT="0" distB="0" distL="114300" distR="114300">
                        <wp:extent cx="2458720" cy="1831340"/>
                        <wp:effectExtent l="0" t="0" r="17780" b="16510"/>
                        <wp:docPr id="1" name="图片 1" descr="173994773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9947735661"/>
                                <pic:cNvPicPr>
                                  <a:picLocks noChangeAspect="1"/>
                                </pic:cNvPicPr>
                              </pic:nvPicPr>
                              <pic:blipFill>
                                <a:blip r:embed="rId8"/>
                                <a:stretch>
                                  <a:fillRect/>
                                </a:stretch>
                              </pic:blipFill>
                              <pic:spPr>
                                <a:xfrm>
                                  <a:off x="0" y="0"/>
                                  <a:ext cx="2458720" cy="1831340"/>
                                </a:xfrm>
                                <a:prstGeom prst="rect">
                                  <a:avLst/>
                                </a:prstGeom>
                              </pic:spPr>
                            </pic:pic>
                          </a:graphicData>
                        </a:graphic>
                      </wp:inline>
                    </w:drawing>
                  </w:r>
                </w:p>
              </w:tc>
              <w:tc>
                <w:tcPr>
                  <w:tcW w:w="4095" w:type="dxa"/>
                </w:tcPr>
                <w:p w14:paraId="2DA5EF28">
                  <w:pPr>
                    <w:autoSpaceDE w:val="0"/>
                    <w:autoSpaceDN w:val="0"/>
                    <w:adjustRightInd w:val="0"/>
                    <w:snapToGrid w:val="0"/>
                    <w:spacing w:before="120" w:beforeLines="50" w:line="360" w:lineRule="auto"/>
                    <w:jc w:val="left"/>
                    <w:rPr>
                      <w:rFonts w:hint="eastAsia" w:eastAsiaTheme="minorEastAsia"/>
                      <w:b/>
                      <w:color w:val="auto"/>
                      <w:kern w:val="0"/>
                      <w:sz w:val="24"/>
                      <w:vertAlign w:val="baseline"/>
                      <w:lang w:eastAsia="zh-CN"/>
                    </w:rPr>
                  </w:pPr>
                  <w:r>
                    <w:rPr>
                      <w:color w:val="auto"/>
                    </w:rPr>
                    <w:drawing>
                      <wp:inline distT="0" distB="0" distL="114300" distR="114300">
                        <wp:extent cx="2554605" cy="1839595"/>
                        <wp:effectExtent l="0" t="0" r="1714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2554605" cy="1839595"/>
                                </a:xfrm>
                                <a:prstGeom prst="rect">
                                  <a:avLst/>
                                </a:prstGeom>
                                <a:noFill/>
                                <a:ln>
                                  <a:noFill/>
                                </a:ln>
                              </pic:spPr>
                            </pic:pic>
                          </a:graphicData>
                        </a:graphic>
                      </wp:inline>
                    </w:drawing>
                  </w:r>
                </w:p>
              </w:tc>
            </w:tr>
            <w:tr w14:paraId="09E5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95" w:type="dxa"/>
                </w:tcPr>
                <w:p w14:paraId="3385B431">
                  <w:pPr>
                    <w:keepNext w:val="0"/>
                    <w:keepLines w:val="0"/>
                    <w:pageBreakBefore w:val="0"/>
                    <w:widowControl w:val="0"/>
                    <w:kinsoku/>
                    <w:wordWrap/>
                    <w:overflowPunct/>
                    <w:topLinePunct w:val="0"/>
                    <w:autoSpaceDE w:val="0"/>
                    <w:autoSpaceDN w:val="0"/>
                    <w:bidi w:val="0"/>
                    <w:adjustRightInd w:val="0"/>
                    <w:snapToGrid w:val="0"/>
                    <w:spacing w:before="120" w:beforeLines="50" w:line="240" w:lineRule="exact"/>
                    <w:jc w:val="center"/>
                    <w:textAlignment w:val="auto"/>
                    <w:rPr>
                      <w:rFonts w:hint="eastAsia" w:eastAsiaTheme="minorEastAsia"/>
                      <w:b/>
                      <w:color w:val="auto"/>
                      <w:kern w:val="0"/>
                      <w:sz w:val="22"/>
                      <w:szCs w:val="22"/>
                      <w:vertAlign w:val="baseline"/>
                      <w:lang w:eastAsia="zh-CN"/>
                    </w:rPr>
                  </w:pPr>
                  <w:r>
                    <w:rPr>
                      <w:rFonts w:hint="eastAsia" w:eastAsiaTheme="minorEastAsia"/>
                      <w:b/>
                      <w:color w:val="auto"/>
                      <w:kern w:val="0"/>
                      <w:sz w:val="22"/>
                      <w:szCs w:val="22"/>
                      <w:vertAlign w:val="baseline"/>
                      <w:lang w:eastAsia="zh-CN"/>
                    </w:rPr>
                    <w:t>本企业玩具胶合板实拍</w:t>
                  </w:r>
                </w:p>
              </w:tc>
              <w:tc>
                <w:tcPr>
                  <w:tcW w:w="4095" w:type="dxa"/>
                </w:tcPr>
                <w:p w14:paraId="607650DF">
                  <w:pPr>
                    <w:keepNext w:val="0"/>
                    <w:keepLines w:val="0"/>
                    <w:pageBreakBefore w:val="0"/>
                    <w:widowControl w:val="0"/>
                    <w:kinsoku/>
                    <w:wordWrap/>
                    <w:overflowPunct/>
                    <w:topLinePunct w:val="0"/>
                    <w:autoSpaceDE w:val="0"/>
                    <w:autoSpaceDN w:val="0"/>
                    <w:bidi w:val="0"/>
                    <w:adjustRightInd w:val="0"/>
                    <w:snapToGrid w:val="0"/>
                    <w:spacing w:before="120" w:beforeLines="50" w:line="240" w:lineRule="exact"/>
                    <w:jc w:val="center"/>
                    <w:textAlignment w:val="auto"/>
                    <w:rPr>
                      <w:rFonts w:hint="eastAsia" w:eastAsiaTheme="minorEastAsia"/>
                      <w:b/>
                      <w:color w:val="auto"/>
                      <w:kern w:val="0"/>
                      <w:sz w:val="22"/>
                      <w:szCs w:val="22"/>
                      <w:vertAlign w:val="baseline"/>
                      <w:lang w:eastAsia="zh-CN"/>
                    </w:rPr>
                  </w:pPr>
                  <w:r>
                    <w:rPr>
                      <w:rFonts w:hint="eastAsia" w:eastAsiaTheme="minorEastAsia"/>
                      <w:b/>
                      <w:color w:val="auto"/>
                      <w:kern w:val="0"/>
                      <w:sz w:val="22"/>
                      <w:szCs w:val="22"/>
                      <w:vertAlign w:val="baseline"/>
                      <w:lang w:eastAsia="zh-CN"/>
                    </w:rPr>
                    <w:t>下游客户产品示意图</w:t>
                  </w:r>
                </w:p>
              </w:tc>
            </w:tr>
          </w:tbl>
          <w:p w14:paraId="369258CC">
            <w:pPr>
              <w:autoSpaceDE w:val="0"/>
              <w:autoSpaceDN w:val="0"/>
              <w:adjustRightInd w:val="0"/>
              <w:snapToGrid w:val="0"/>
              <w:spacing w:before="120" w:beforeLines="50" w:line="360" w:lineRule="auto"/>
              <w:ind w:left="105" w:leftChars="50" w:firstLine="482" w:firstLineChars="200"/>
              <w:jc w:val="left"/>
              <w:rPr>
                <w:rFonts w:hint="default" w:eastAsiaTheme="minorEastAsia"/>
                <w:b/>
                <w:color w:val="auto"/>
                <w:kern w:val="0"/>
                <w:sz w:val="24"/>
                <w:lang w:val="en-US" w:eastAsia="zh-CN"/>
              </w:rPr>
            </w:pPr>
            <w:r>
              <w:rPr>
                <w:rFonts w:hint="eastAsia" w:eastAsiaTheme="minorEastAsia"/>
                <w:b/>
                <w:color w:val="auto"/>
                <w:kern w:val="0"/>
                <w:sz w:val="24"/>
                <w:lang w:val="en-US" w:eastAsia="zh-CN"/>
              </w:rPr>
              <w:t>产品质量要求：</w:t>
            </w:r>
          </w:p>
          <w:tbl>
            <w:tblPr>
              <w:tblStyle w:val="4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6235"/>
            </w:tblGrid>
            <w:tr w14:paraId="0BAC8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8" w:type="dxa"/>
                  <w:tcBorders>
                    <w:tl2br w:val="nil"/>
                    <w:tr2bl w:val="nil"/>
                  </w:tcBorders>
                </w:tcPr>
                <w:p w14:paraId="2B64B49E">
                  <w:pPr>
                    <w:adjustRightInd w:val="0"/>
                    <w:snapToGrid w:val="0"/>
                    <w:jc w:val="center"/>
                    <w:rPr>
                      <w:rFonts w:hint="eastAsia"/>
                      <w:b/>
                      <w:color w:val="auto"/>
                      <w:szCs w:val="21"/>
                      <w:lang w:eastAsia="zh-CN"/>
                    </w:rPr>
                  </w:pPr>
                  <w:r>
                    <w:rPr>
                      <w:rFonts w:hint="eastAsia"/>
                      <w:b/>
                      <w:color w:val="auto"/>
                      <w:szCs w:val="21"/>
                      <w:lang w:eastAsia="zh-CN"/>
                    </w:rPr>
                    <w:t>检查方式</w:t>
                  </w:r>
                </w:p>
              </w:tc>
              <w:tc>
                <w:tcPr>
                  <w:tcW w:w="6235" w:type="dxa"/>
                  <w:tcBorders>
                    <w:tl2br w:val="nil"/>
                    <w:tr2bl w:val="nil"/>
                  </w:tcBorders>
                </w:tcPr>
                <w:p w14:paraId="5237DBEC">
                  <w:pPr>
                    <w:adjustRightInd w:val="0"/>
                    <w:snapToGrid w:val="0"/>
                    <w:jc w:val="center"/>
                    <w:rPr>
                      <w:rFonts w:hint="eastAsia"/>
                      <w:b/>
                      <w:color w:val="auto"/>
                      <w:szCs w:val="21"/>
                      <w:lang w:eastAsia="zh-CN"/>
                    </w:rPr>
                  </w:pPr>
                  <w:r>
                    <w:rPr>
                      <w:rFonts w:hint="eastAsia"/>
                      <w:b/>
                      <w:color w:val="auto"/>
                      <w:szCs w:val="21"/>
                      <w:lang w:eastAsia="zh-CN"/>
                    </w:rPr>
                    <w:t>检查标准</w:t>
                  </w:r>
                </w:p>
              </w:tc>
            </w:tr>
            <w:tr w14:paraId="786E7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8" w:type="dxa"/>
                  <w:tcBorders>
                    <w:tl2br w:val="nil"/>
                    <w:tr2bl w:val="nil"/>
                  </w:tcBorders>
                  <w:vAlign w:val="center"/>
                </w:tcPr>
                <w:p w14:paraId="6A8C9AE3">
                  <w:pPr>
                    <w:adjustRightInd w:val="0"/>
                    <w:snapToGrid w:val="0"/>
                    <w:jc w:val="center"/>
                    <w:rPr>
                      <w:rFonts w:hint="eastAsia"/>
                      <w:color w:val="auto"/>
                      <w:szCs w:val="21"/>
                      <w:lang w:eastAsia="zh-CN"/>
                    </w:rPr>
                  </w:pPr>
                  <w:r>
                    <w:rPr>
                      <w:rFonts w:hint="eastAsia"/>
                      <w:color w:val="auto"/>
                      <w:szCs w:val="21"/>
                      <w:lang w:eastAsia="zh-CN"/>
                    </w:rPr>
                    <w:t>目测检查</w:t>
                  </w:r>
                </w:p>
              </w:tc>
              <w:tc>
                <w:tcPr>
                  <w:tcW w:w="6235" w:type="dxa"/>
                  <w:tcBorders>
                    <w:tl2br w:val="nil"/>
                    <w:tr2bl w:val="nil"/>
                  </w:tcBorders>
                  <w:vAlign w:val="center"/>
                </w:tcPr>
                <w:p w14:paraId="2982A323">
                  <w:pPr>
                    <w:adjustRightInd w:val="0"/>
                    <w:snapToGrid w:val="0"/>
                    <w:jc w:val="center"/>
                    <w:rPr>
                      <w:rFonts w:hint="eastAsia"/>
                      <w:color w:val="auto"/>
                      <w:szCs w:val="21"/>
                    </w:rPr>
                  </w:pPr>
                  <w:r>
                    <w:rPr>
                      <w:rFonts w:hint="eastAsia"/>
                      <w:color w:val="auto"/>
                      <w:szCs w:val="21"/>
                      <w:lang w:val="en-US" w:eastAsia="zh-CN"/>
                    </w:rPr>
                    <w:t>表面光滑、不开胶、不裂缝</w:t>
                  </w:r>
                </w:p>
              </w:tc>
            </w:tr>
            <w:tr w14:paraId="108CE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8" w:type="dxa"/>
                  <w:tcBorders>
                    <w:tl2br w:val="nil"/>
                    <w:tr2bl w:val="nil"/>
                  </w:tcBorders>
                  <w:vAlign w:val="center"/>
                </w:tcPr>
                <w:p w14:paraId="54E4BCAA">
                  <w:pPr>
                    <w:adjustRightInd w:val="0"/>
                    <w:snapToGrid w:val="0"/>
                    <w:jc w:val="center"/>
                    <w:rPr>
                      <w:rFonts w:hint="eastAsia"/>
                      <w:color w:val="auto"/>
                      <w:szCs w:val="21"/>
                      <w:lang w:eastAsia="zh-CN"/>
                    </w:rPr>
                  </w:pPr>
                  <w:r>
                    <w:rPr>
                      <w:rFonts w:hint="eastAsia"/>
                      <w:color w:val="auto"/>
                      <w:szCs w:val="21"/>
                      <w:lang w:eastAsia="zh-CN"/>
                    </w:rPr>
                    <w:t>测量要求</w:t>
                  </w:r>
                </w:p>
              </w:tc>
              <w:tc>
                <w:tcPr>
                  <w:tcW w:w="6235" w:type="dxa"/>
                  <w:tcBorders>
                    <w:tl2br w:val="nil"/>
                    <w:tr2bl w:val="nil"/>
                  </w:tcBorders>
                  <w:vAlign w:val="center"/>
                </w:tcPr>
                <w:p w14:paraId="0A836C16">
                  <w:pPr>
                    <w:adjustRightInd w:val="0"/>
                    <w:snapToGrid w:val="0"/>
                    <w:jc w:val="center"/>
                    <w:rPr>
                      <w:rFonts w:hint="eastAsia"/>
                      <w:color w:val="auto"/>
                      <w:szCs w:val="21"/>
                    </w:rPr>
                  </w:pPr>
                  <w:r>
                    <w:rPr>
                      <w:rFonts w:hint="eastAsia"/>
                      <w:color w:val="auto"/>
                      <w:szCs w:val="21"/>
                      <w:lang w:val="en-US" w:eastAsia="zh-CN"/>
                    </w:rPr>
                    <w:t>尺寸符合97cm*97cm，厚度约2—3mm</w:t>
                  </w:r>
                </w:p>
              </w:tc>
            </w:tr>
            <w:tr w14:paraId="78F0E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8" w:type="dxa"/>
                  <w:tcBorders>
                    <w:tl2br w:val="nil"/>
                    <w:tr2bl w:val="nil"/>
                  </w:tcBorders>
                  <w:vAlign w:val="center"/>
                </w:tcPr>
                <w:p w14:paraId="2452EE7D">
                  <w:pPr>
                    <w:adjustRightInd w:val="0"/>
                    <w:snapToGrid w:val="0"/>
                    <w:jc w:val="center"/>
                    <w:rPr>
                      <w:rFonts w:hint="eastAsia"/>
                      <w:color w:val="auto"/>
                      <w:szCs w:val="21"/>
                      <w:lang w:eastAsia="zh-CN"/>
                    </w:rPr>
                  </w:pPr>
                  <w:r>
                    <w:rPr>
                      <w:rFonts w:hint="eastAsia"/>
                      <w:color w:val="auto"/>
                      <w:szCs w:val="21"/>
                      <w:lang w:eastAsia="zh-CN"/>
                    </w:rPr>
                    <w:t>甲醛检测</w:t>
                  </w:r>
                </w:p>
              </w:tc>
              <w:tc>
                <w:tcPr>
                  <w:tcW w:w="6235" w:type="dxa"/>
                  <w:tcBorders>
                    <w:tl2br w:val="nil"/>
                    <w:tr2bl w:val="nil"/>
                  </w:tcBorders>
                  <w:vAlign w:val="center"/>
                </w:tcPr>
                <w:p w14:paraId="53F7084D">
                  <w:pPr>
                    <w:adjustRightInd w:val="0"/>
                    <w:snapToGrid w:val="0"/>
                    <w:jc w:val="center"/>
                    <w:rPr>
                      <w:rFonts w:hint="eastAsia"/>
                      <w:color w:val="auto"/>
                      <w:szCs w:val="21"/>
                      <w:lang w:val="en-US" w:eastAsia="zh-CN"/>
                    </w:rPr>
                  </w:pPr>
                  <w:r>
                    <w:rPr>
                      <w:rFonts w:hint="eastAsia"/>
                      <w:color w:val="auto"/>
                      <w:szCs w:val="21"/>
                      <w:lang w:val="en-US" w:eastAsia="zh-CN"/>
                    </w:rPr>
                    <w:t>执行《室内装饰装修材料人造板及其制品中甲醛释放限量》（GB18580-2001）的要求，甲醛释放不得超过限量的0.124mg/m</w:t>
                  </w:r>
                  <w:r>
                    <w:rPr>
                      <w:rFonts w:hint="eastAsia"/>
                      <w:color w:val="auto"/>
                      <w:szCs w:val="21"/>
                      <w:vertAlign w:val="superscript"/>
                      <w:lang w:val="en-US" w:eastAsia="zh-CN"/>
                    </w:rPr>
                    <w:t>3</w:t>
                  </w:r>
                </w:p>
              </w:tc>
            </w:tr>
          </w:tbl>
          <w:p w14:paraId="7590563F">
            <w:pPr>
              <w:autoSpaceDE w:val="0"/>
              <w:autoSpaceDN w:val="0"/>
              <w:adjustRightInd w:val="0"/>
              <w:snapToGrid w:val="0"/>
              <w:spacing w:before="120" w:beforeLines="50" w:line="360" w:lineRule="auto"/>
              <w:ind w:left="105" w:leftChars="50" w:firstLine="482" w:firstLineChars="200"/>
              <w:jc w:val="left"/>
              <w:rPr>
                <w:rFonts w:eastAsiaTheme="minorEastAsia"/>
                <w:b/>
                <w:color w:val="auto"/>
                <w:kern w:val="0"/>
                <w:sz w:val="24"/>
              </w:rPr>
            </w:pPr>
            <w:r>
              <w:rPr>
                <w:rFonts w:eastAsiaTheme="minorEastAsia"/>
                <w:b/>
                <w:color w:val="auto"/>
                <w:kern w:val="0"/>
                <w:sz w:val="24"/>
              </w:rPr>
              <w:t>3.主要生产设备</w:t>
            </w:r>
          </w:p>
          <w:p w14:paraId="6C6CB049">
            <w:pPr>
              <w:adjustRightInd w:val="0"/>
              <w:snapToGrid w:val="0"/>
              <w:spacing w:line="360" w:lineRule="auto"/>
              <w:ind w:firstLine="480" w:firstLineChars="200"/>
              <w:rPr>
                <w:rFonts w:eastAsiaTheme="minorEastAsia"/>
                <w:color w:val="auto"/>
                <w:sz w:val="24"/>
              </w:rPr>
            </w:pPr>
            <w:r>
              <w:rPr>
                <w:rFonts w:eastAsiaTheme="minorEastAsia"/>
                <w:color w:val="auto"/>
                <w:kern w:val="0"/>
                <w:sz w:val="24"/>
              </w:rPr>
              <w:t>根据建设单位提供的资料，</w:t>
            </w:r>
            <w:r>
              <w:rPr>
                <w:rFonts w:hint="eastAsia" w:eastAsiaTheme="minorEastAsia"/>
                <w:color w:val="auto"/>
                <w:kern w:val="0"/>
                <w:sz w:val="24"/>
              </w:rPr>
              <w:t>建设项目</w:t>
            </w:r>
            <w:r>
              <w:rPr>
                <w:rFonts w:eastAsiaTheme="minorEastAsia"/>
                <w:color w:val="auto"/>
                <w:kern w:val="0"/>
                <w:sz w:val="24"/>
              </w:rPr>
              <w:t>主要设备情况见下表。</w:t>
            </w:r>
          </w:p>
          <w:p w14:paraId="0C65EEFA">
            <w:pPr>
              <w:autoSpaceDE w:val="0"/>
              <w:autoSpaceDN w:val="0"/>
              <w:adjustRightInd w:val="0"/>
              <w:snapToGrid w:val="0"/>
              <w:jc w:val="center"/>
              <w:rPr>
                <w:b/>
                <w:color w:val="auto"/>
                <w:kern w:val="0"/>
                <w:sz w:val="24"/>
              </w:rPr>
            </w:pPr>
            <w:r>
              <w:rPr>
                <w:rFonts w:eastAsiaTheme="minorEastAsia"/>
                <w:b/>
                <w:color w:val="auto"/>
                <w:kern w:val="0"/>
                <w:sz w:val="24"/>
              </w:rPr>
              <w:t>表2.1-3  建</w:t>
            </w:r>
            <w:r>
              <w:rPr>
                <w:rFonts w:hint="eastAsia" w:eastAsiaTheme="minorEastAsia"/>
                <w:b/>
                <w:color w:val="auto"/>
                <w:kern w:val="0"/>
                <w:sz w:val="24"/>
              </w:rPr>
              <w:t>设</w:t>
            </w:r>
            <w:r>
              <w:rPr>
                <w:rFonts w:eastAsiaTheme="minorEastAsia"/>
                <w:b/>
                <w:color w:val="auto"/>
                <w:kern w:val="0"/>
                <w:sz w:val="24"/>
              </w:rPr>
              <w:t>项目主要设备/设施一览表</w:t>
            </w:r>
            <w:r>
              <w:rPr>
                <w:rFonts w:hint="eastAsia"/>
                <w:color w:val="auto"/>
              </w:rPr>
              <w:t xml:space="preserve">  单位：台/套/辆</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2430"/>
              <w:gridCol w:w="2057"/>
              <w:gridCol w:w="1418"/>
              <w:gridCol w:w="1156"/>
            </w:tblGrid>
            <w:tr w14:paraId="5FEE1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Align w:val="center"/>
                </w:tcPr>
                <w:p w14:paraId="2ADE0688">
                  <w:pPr>
                    <w:jc w:val="center"/>
                    <w:rPr>
                      <w:b/>
                      <w:color w:val="auto"/>
                      <w:szCs w:val="21"/>
                    </w:rPr>
                  </w:pPr>
                  <w:r>
                    <w:rPr>
                      <w:b/>
                      <w:color w:val="auto"/>
                      <w:szCs w:val="21"/>
                    </w:rPr>
                    <w:t>主要生产单元</w:t>
                  </w:r>
                </w:p>
              </w:tc>
              <w:tc>
                <w:tcPr>
                  <w:tcW w:w="1448" w:type="pct"/>
                  <w:vAlign w:val="center"/>
                </w:tcPr>
                <w:p w14:paraId="14B0E8B7">
                  <w:pPr>
                    <w:adjustRightInd w:val="0"/>
                    <w:snapToGrid w:val="0"/>
                    <w:jc w:val="center"/>
                    <w:rPr>
                      <w:b/>
                      <w:color w:val="auto"/>
                      <w:szCs w:val="21"/>
                    </w:rPr>
                  </w:pPr>
                  <w:r>
                    <w:rPr>
                      <w:rFonts w:hint="eastAsia"/>
                      <w:b/>
                      <w:color w:val="auto"/>
                      <w:szCs w:val="21"/>
                    </w:rPr>
                    <w:t>设备名称</w:t>
                  </w:r>
                </w:p>
              </w:tc>
              <w:tc>
                <w:tcPr>
                  <w:tcW w:w="1226" w:type="pct"/>
                  <w:vAlign w:val="center"/>
                </w:tcPr>
                <w:p w14:paraId="733DBE1D">
                  <w:pPr>
                    <w:adjustRightInd w:val="0"/>
                    <w:snapToGrid w:val="0"/>
                    <w:jc w:val="center"/>
                    <w:rPr>
                      <w:b/>
                      <w:color w:val="auto"/>
                      <w:szCs w:val="21"/>
                    </w:rPr>
                  </w:pPr>
                  <w:r>
                    <w:rPr>
                      <w:rFonts w:hint="eastAsia"/>
                      <w:b/>
                      <w:color w:val="auto"/>
                      <w:szCs w:val="21"/>
                    </w:rPr>
                    <w:t>设备型号</w:t>
                  </w:r>
                </w:p>
              </w:tc>
              <w:tc>
                <w:tcPr>
                  <w:tcW w:w="845" w:type="pct"/>
                  <w:vAlign w:val="center"/>
                </w:tcPr>
                <w:p w14:paraId="0988282E">
                  <w:pPr>
                    <w:adjustRightInd w:val="0"/>
                    <w:snapToGrid w:val="0"/>
                    <w:jc w:val="center"/>
                    <w:rPr>
                      <w:b/>
                      <w:color w:val="auto"/>
                      <w:szCs w:val="21"/>
                    </w:rPr>
                  </w:pPr>
                  <w:r>
                    <w:rPr>
                      <w:b/>
                      <w:color w:val="auto"/>
                      <w:szCs w:val="21"/>
                    </w:rPr>
                    <w:t>数量（台）</w:t>
                  </w:r>
                </w:p>
              </w:tc>
              <w:tc>
                <w:tcPr>
                  <w:tcW w:w="689" w:type="pct"/>
                  <w:vAlign w:val="center"/>
                </w:tcPr>
                <w:p w14:paraId="43CEEA8D">
                  <w:pPr>
                    <w:adjustRightInd w:val="0"/>
                    <w:snapToGrid w:val="0"/>
                    <w:jc w:val="center"/>
                    <w:rPr>
                      <w:b/>
                      <w:color w:val="auto"/>
                      <w:szCs w:val="21"/>
                    </w:rPr>
                  </w:pPr>
                  <w:r>
                    <w:rPr>
                      <w:b/>
                      <w:color w:val="auto"/>
                      <w:szCs w:val="21"/>
                    </w:rPr>
                    <w:t>使用工序</w:t>
                  </w:r>
                </w:p>
              </w:tc>
            </w:tr>
            <w:tr w14:paraId="422A1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restart"/>
                  <w:vAlign w:val="center"/>
                </w:tcPr>
                <w:p w14:paraId="456ADA94">
                  <w:pPr>
                    <w:jc w:val="center"/>
                    <w:rPr>
                      <w:color w:val="auto"/>
                      <w:szCs w:val="21"/>
                    </w:rPr>
                  </w:pPr>
                  <w:r>
                    <w:rPr>
                      <w:bCs/>
                      <w:color w:val="auto"/>
                      <w:szCs w:val="21"/>
                    </w:rPr>
                    <w:t>胶合板生产线</w:t>
                  </w:r>
                </w:p>
              </w:tc>
              <w:tc>
                <w:tcPr>
                  <w:tcW w:w="1448" w:type="pct"/>
                  <w:vAlign w:val="center"/>
                </w:tcPr>
                <w:p w14:paraId="1566DC0D">
                  <w:pPr>
                    <w:jc w:val="center"/>
                    <w:rPr>
                      <w:color w:val="auto"/>
                      <w:szCs w:val="21"/>
                    </w:rPr>
                  </w:pPr>
                  <w:r>
                    <w:rPr>
                      <w:rFonts w:hint="eastAsia"/>
                      <w:color w:val="auto"/>
                      <w:szCs w:val="21"/>
                    </w:rPr>
                    <w:t>旋切机</w:t>
                  </w:r>
                </w:p>
              </w:tc>
              <w:tc>
                <w:tcPr>
                  <w:tcW w:w="1226" w:type="pct"/>
                  <w:vAlign w:val="center"/>
                </w:tcPr>
                <w:p w14:paraId="4E3D2622">
                  <w:pPr>
                    <w:jc w:val="center"/>
                    <w:rPr>
                      <w:color w:val="auto"/>
                      <w:szCs w:val="21"/>
                    </w:rPr>
                  </w:pPr>
                  <w:r>
                    <w:rPr>
                      <w:rFonts w:hint="eastAsia"/>
                      <w:color w:val="auto"/>
                      <w:szCs w:val="21"/>
                    </w:rPr>
                    <w:t>425CNC</w:t>
                  </w:r>
                </w:p>
              </w:tc>
              <w:tc>
                <w:tcPr>
                  <w:tcW w:w="845" w:type="pct"/>
                  <w:vAlign w:val="center"/>
                </w:tcPr>
                <w:p w14:paraId="718C3452">
                  <w:pPr>
                    <w:jc w:val="center"/>
                    <w:rPr>
                      <w:color w:val="auto"/>
                      <w:szCs w:val="21"/>
                    </w:rPr>
                  </w:pPr>
                  <w:r>
                    <w:rPr>
                      <w:rFonts w:hint="eastAsia"/>
                      <w:color w:val="auto"/>
                      <w:szCs w:val="21"/>
                    </w:rPr>
                    <w:t>1</w:t>
                  </w:r>
                </w:p>
              </w:tc>
              <w:tc>
                <w:tcPr>
                  <w:tcW w:w="689" w:type="pct"/>
                  <w:vAlign w:val="center"/>
                </w:tcPr>
                <w:p w14:paraId="47ED76A1">
                  <w:pPr>
                    <w:jc w:val="center"/>
                    <w:rPr>
                      <w:color w:val="auto"/>
                      <w:szCs w:val="21"/>
                    </w:rPr>
                  </w:pPr>
                  <w:r>
                    <w:rPr>
                      <w:rFonts w:hint="eastAsia"/>
                      <w:color w:val="auto"/>
                      <w:szCs w:val="21"/>
                    </w:rPr>
                    <w:t>旋切</w:t>
                  </w:r>
                </w:p>
              </w:tc>
            </w:tr>
            <w:tr w14:paraId="2C203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2DD25AB0">
                  <w:pPr>
                    <w:jc w:val="center"/>
                    <w:rPr>
                      <w:color w:val="auto"/>
                      <w:szCs w:val="21"/>
                    </w:rPr>
                  </w:pPr>
                </w:p>
              </w:tc>
              <w:tc>
                <w:tcPr>
                  <w:tcW w:w="1448" w:type="pct"/>
                  <w:vAlign w:val="center"/>
                </w:tcPr>
                <w:p w14:paraId="01EB6AFF">
                  <w:pPr>
                    <w:jc w:val="center"/>
                    <w:rPr>
                      <w:color w:val="auto"/>
                      <w:szCs w:val="21"/>
                    </w:rPr>
                  </w:pPr>
                  <w:r>
                    <w:rPr>
                      <w:rFonts w:hint="eastAsia"/>
                      <w:color w:val="auto"/>
                      <w:szCs w:val="21"/>
                    </w:rPr>
                    <w:t>热压机</w:t>
                  </w:r>
                </w:p>
              </w:tc>
              <w:tc>
                <w:tcPr>
                  <w:tcW w:w="1226" w:type="pct"/>
                  <w:vAlign w:val="center"/>
                </w:tcPr>
                <w:p w14:paraId="3BA85645">
                  <w:pPr>
                    <w:jc w:val="center"/>
                    <w:rPr>
                      <w:color w:val="auto"/>
                      <w:szCs w:val="21"/>
                    </w:rPr>
                  </w:pPr>
                  <w:r>
                    <w:rPr>
                      <w:rFonts w:hint="eastAsia"/>
                      <w:color w:val="auto"/>
                      <w:szCs w:val="21"/>
                    </w:rPr>
                    <w:t>JYHRYJ</w:t>
                  </w:r>
                </w:p>
              </w:tc>
              <w:tc>
                <w:tcPr>
                  <w:tcW w:w="845" w:type="pct"/>
                  <w:vAlign w:val="center"/>
                </w:tcPr>
                <w:p w14:paraId="72021FF2">
                  <w:pPr>
                    <w:jc w:val="center"/>
                    <w:rPr>
                      <w:color w:val="auto"/>
                      <w:szCs w:val="21"/>
                    </w:rPr>
                  </w:pPr>
                  <w:r>
                    <w:rPr>
                      <w:rFonts w:hint="eastAsia"/>
                      <w:color w:val="auto"/>
                      <w:szCs w:val="21"/>
                    </w:rPr>
                    <w:t>4</w:t>
                  </w:r>
                </w:p>
              </w:tc>
              <w:tc>
                <w:tcPr>
                  <w:tcW w:w="689" w:type="pct"/>
                  <w:vAlign w:val="center"/>
                </w:tcPr>
                <w:p w14:paraId="45FA3EB7">
                  <w:pPr>
                    <w:jc w:val="center"/>
                    <w:rPr>
                      <w:color w:val="auto"/>
                      <w:szCs w:val="21"/>
                    </w:rPr>
                  </w:pPr>
                  <w:r>
                    <w:rPr>
                      <w:rFonts w:hint="eastAsia"/>
                      <w:color w:val="auto"/>
                      <w:szCs w:val="21"/>
                    </w:rPr>
                    <w:t>热压</w:t>
                  </w:r>
                </w:p>
              </w:tc>
            </w:tr>
            <w:tr w14:paraId="5025E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623205D1">
                  <w:pPr>
                    <w:jc w:val="center"/>
                    <w:rPr>
                      <w:color w:val="auto"/>
                      <w:szCs w:val="21"/>
                    </w:rPr>
                  </w:pPr>
                </w:p>
              </w:tc>
              <w:tc>
                <w:tcPr>
                  <w:tcW w:w="1448" w:type="pct"/>
                  <w:vAlign w:val="center"/>
                </w:tcPr>
                <w:p w14:paraId="62352253">
                  <w:pPr>
                    <w:jc w:val="center"/>
                    <w:rPr>
                      <w:color w:val="auto"/>
                      <w:szCs w:val="21"/>
                    </w:rPr>
                  </w:pPr>
                  <w:r>
                    <w:rPr>
                      <w:rFonts w:hint="eastAsia"/>
                      <w:color w:val="auto"/>
                      <w:szCs w:val="21"/>
                    </w:rPr>
                    <w:t>拼缝机</w:t>
                  </w:r>
                </w:p>
              </w:tc>
              <w:tc>
                <w:tcPr>
                  <w:tcW w:w="1226" w:type="pct"/>
                  <w:vAlign w:val="center"/>
                </w:tcPr>
                <w:p w14:paraId="22F26EF7">
                  <w:pPr>
                    <w:jc w:val="center"/>
                    <w:rPr>
                      <w:color w:val="auto"/>
                      <w:szCs w:val="21"/>
                    </w:rPr>
                  </w:pPr>
                  <w:r>
                    <w:rPr>
                      <w:rFonts w:hint="eastAsia"/>
                      <w:color w:val="auto"/>
                      <w:szCs w:val="21"/>
                    </w:rPr>
                    <w:t>JK-1530D</w:t>
                  </w:r>
                </w:p>
              </w:tc>
              <w:tc>
                <w:tcPr>
                  <w:tcW w:w="845" w:type="pct"/>
                  <w:vAlign w:val="center"/>
                </w:tcPr>
                <w:p w14:paraId="7F84B0E9">
                  <w:pPr>
                    <w:jc w:val="center"/>
                    <w:rPr>
                      <w:color w:val="auto"/>
                      <w:szCs w:val="21"/>
                    </w:rPr>
                  </w:pPr>
                  <w:r>
                    <w:rPr>
                      <w:rFonts w:hint="eastAsia"/>
                      <w:color w:val="auto"/>
                      <w:szCs w:val="21"/>
                    </w:rPr>
                    <w:t>2</w:t>
                  </w:r>
                </w:p>
              </w:tc>
              <w:tc>
                <w:tcPr>
                  <w:tcW w:w="689" w:type="pct"/>
                  <w:vAlign w:val="center"/>
                </w:tcPr>
                <w:p w14:paraId="619CD537">
                  <w:pPr>
                    <w:jc w:val="center"/>
                    <w:rPr>
                      <w:color w:val="auto"/>
                      <w:szCs w:val="21"/>
                    </w:rPr>
                  </w:pPr>
                  <w:r>
                    <w:rPr>
                      <w:rFonts w:hint="eastAsia"/>
                      <w:color w:val="auto"/>
                      <w:szCs w:val="21"/>
                    </w:rPr>
                    <w:t>整理</w:t>
                  </w:r>
                </w:p>
              </w:tc>
            </w:tr>
            <w:tr w14:paraId="5CAAD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5A1BB160">
                  <w:pPr>
                    <w:jc w:val="center"/>
                    <w:rPr>
                      <w:color w:val="auto"/>
                      <w:szCs w:val="21"/>
                    </w:rPr>
                  </w:pPr>
                </w:p>
              </w:tc>
              <w:tc>
                <w:tcPr>
                  <w:tcW w:w="1448" w:type="pct"/>
                  <w:vAlign w:val="center"/>
                </w:tcPr>
                <w:p w14:paraId="11208204">
                  <w:pPr>
                    <w:jc w:val="center"/>
                    <w:rPr>
                      <w:color w:val="auto"/>
                      <w:szCs w:val="21"/>
                    </w:rPr>
                  </w:pPr>
                  <w:r>
                    <w:rPr>
                      <w:rFonts w:hint="eastAsia"/>
                      <w:color w:val="auto"/>
                      <w:szCs w:val="21"/>
                    </w:rPr>
                    <w:t>调、涂胶机</w:t>
                  </w:r>
                </w:p>
              </w:tc>
              <w:tc>
                <w:tcPr>
                  <w:tcW w:w="1226" w:type="pct"/>
                  <w:vAlign w:val="center"/>
                </w:tcPr>
                <w:p w14:paraId="2C4F3B54">
                  <w:pPr>
                    <w:jc w:val="center"/>
                    <w:rPr>
                      <w:color w:val="auto"/>
                      <w:szCs w:val="21"/>
                    </w:rPr>
                  </w:pPr>
                  <w:r>
                    <w:rPr>
                      <w:rFonts w:hint="eastAsia"/>
                      <w:color w:val="auto"/>
                      <w:szCs w:val="21"/>
                    </w:rPr>
                    <w:t>YX-40</w:t>
                  </w:r>
                </w:p>
              </w:tc>
              <w:tc>
                <w:tcPr>
                  <w:tcW w:w="845" w:type="pct"/>
                  <w:vAlign w:val="center"/>
                </w:tcPr>
                <w:p w14:paraId="6743226B">
                  <w:pPr>
                    <w:jc w:val="center"/>
                    <w:rPr>
                      <w:color w:val="auto"/>
                      <w:szCs w:val="21"/>
                    </w:rPr>
                  </w:pPr>
                  <w:r>
                    <w:rPr>
                      <w:rFonts w:hint="eastAsia"/>
                      <w:color w:val="auto"/>
                      <w:szCs w:val="21"/>
                    </w:rPr>
                    <w:t>2</w:t>
                  </w:r>
                </w:p>
              </w:tc>
              <w:tc>
                <w:tcPr>
                  <w:tcW w:w="689" w:type="pct"/>
                  <w:vAlign w:val="center"/>
                </w:tcPr>
                <w:p w14:paraId="665AFEE6">
                  <w:pPr>
                    <w:jc w:val="center"/>
                    <w:rPr>
                      <w:color w:val="auto"/>
                      <w:szCs w:val="21"/>
                    </w:rPr>
                  </w:pPr>
                  <w:r>
                    <w:rPr>
                      <w:rFonts w:hint="eastAsia"/>
                      <w:color w:val="auto"/>
                      <w:szCs w:val="21"/>
                    </w:rPr>
                    <w:t>涂胶</w:t>
                  </w:r>
                </w:p>
              </w:tc>
            </w:tr>
            <w:tr w14:paraId="1CA7A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70353D08">
                  <w:pPr>
                    <w:jc w:val="center"/>
                    <w:rPr>
                      <w:color w:val="auto"/>
                      <w:szCs w:val="21"/>
                    </w:rPr>
                  </w:pPr>
                </w:p>
              </w:tc>
              <w:tc>
                <w:tcPr>
                  <w:tcW w:w="1448" w:type="pct"/>
                  <w:vAlign w:val="center"/>
                </w:tcPr>
                <w:p w14:paraId="1768D5B4">
                  <w:pPr>
                    <w:jc w:val="center"/>
                    <w:rPr>
                      <w:color w:val="auto"/>
                      <w:szCs w:val="21"/>
                    </w:rPr>
                  </w:pPr>
                  <w:r>
                    <w:rPr>
                      <w:rFonts w:hint="eastAsia"/>
                      <w:color w:val="auto"/>
                      <w:szCs w:val="21"/>
                    </w:rPr>
                    <w:t>锯边机</w:t>
                  </w:r>
                </w:p>
              </w:tc>
              <w:tc>
                <w:tcPr>
                  <w:tcW w:w="1226" w:type="pct"/>
                  <w:vAlign w:val="center"/>
                </w:tcPr>
                <w:p w14:paraId="236575BC">
                  <w:pPr>
                    <w:jc w:val="center"/>
                    <w:rPr>
                      <w:color w:val="auto"/>
                      <w:szCs w:val="21"/>
                    </w:rPr>
                  </w:pPr>
                  <w:r>
                    <w:rPr>
                      <w:rFonts w:hint="eastAsia"/>
                      <w:color w:val="auto"/>
                      <w:szCs w:val="21"/>
                    </w:rPr>
                    <w:t>MJB-S3638</w:t>
                  </w:r>
                </w:p>
              </w:tc>
              <w:tc>
                <w:tcPr>
                  <w:tcW w:w="845" w:type="pct"/>
                  <w:vAlign w:val="center"/>
                </w:tcPr>
                <w:p w14:paraId="2BA5C68C">
                  <w:pPr>
                    <w:jc w:val="center"/>
                    <w:rPr>
                      <w:color w:val="auto"/>
                      <w:szCs w:val="21"/>
                    </w:rPr>
                  </w:pPr>
                  <w:r>
                    <w:rPr>
                      <w:rFonts w:hint="eastAsia"/>
                      <w:color w:val="auto"/>
                      <w:szCs w:val="21"/>
                    </w:rPr>
                    <w:t>1</w:t>
                  </w:r>
                </w:p>
              </w:tc>
              <w:tc>
                <w:tcPr>
                  <w:tcW w:w="689" w:type="pct"/>
                  <w:vAlign w:val="center"/>
                </w:tcPr>
                <w:p w14:paraId="78E34210">
                  <w:pPr>
                    <w:jc w:val="center"/>
                    <w:rPr>
                      <w:color w:val="auto"/>
                      <w:szCs w:val="21"/>
                    </w:rPr>
                  </w:pPr>
                  <w:r>
                    <w:rPr>
                      <w:rFonts w:hint="eastAsia"/>
                      <w:color w:val="auto"/>
                      <w:szCs w:val="21"/>
                    </w:rPr>
                    <w:t>锯边</w:t>
                  </w:r>
                </w:p>
              </w:tc>
            </w:tr>
            <w:tr w14:paraId="116E6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57C8FB19">
                  <w:pPr>
                    <w:jc w:val="center"/>
                    <w:rPr>
                      <w:color w:val="auto"/>
                      <w:szCs w:val="21"/>
                    </w:rPr>
                  </w:pPr>
                </w:p>
              </w:tc>
              <w:tc>
                <w:tcPr>
                  <w:tcW w:w="1448" w:type="pct"/>
                  <w:vAlign w:val="center"/>
                </w:tcPr>
                <w:p w14:paraId="6B7176F3">
                  <w:pPr>
                    <w:jc w:val="center"/>
                    <w:rPr>
                      <w:color w:val="auto"/>
                      <w:szCs w:val="21"/>
                    </w:rPr>
                  </w:pPr>
                  <w:r>
                    <w:rPr>
                      <w:rFonts w:hint="eastAsia"/>
                      <w:color w:val="auto"/>
                      <w:szCs w:val="21"/>
                    </w:rPr>
                    <w:t>砂光机</w:t>
                  </w:r>
                </w:p>
              </w:tc>
              <w:tc>
                <w:tcPr>
                  <w:tcW w:w="1226" w:type="pct"/>
                  <w:vAlign w:val="center"/>
                </w:tcPr>
                <w:p w14:paraId="491FF444">
                  <w:pPr>
                    <w:jc w:val="center"/>
                    <w:rPr>
                      <w:color w:val="auto"/>
                      <w:szCs w:val="21"/>
                    </w:rPr>
                  </w:pPr>
                  <w:r>
                    <w:rPr>
                      <w:rFonts w:hint="eastAsia"/>
                      <w:color w:val="auto"/>
                      <w:szCs w:val="21"/>
                    </w:rPr>
                    <w:t>WZ-68</w:t>
                  </w:r>
                </w:p>
              </w:tc>
              <w:tc>
                <w:tcPr>
                  <w:tcW w:w="845" w:type="pct"/>
                  <w:vAlign w:val="center"/>
                </w:tcPr>
                <w:p w14:paraId="2D07BADA">
                  <w:pPr>
                    <w:jc w:val="center"/>
                    <w:rPr>
                      <w:color w:val="auto"/>
                      <w:szCs w:val="21"/>
                    </w:rPr>
                  </w:pPr>
                  <w:r>
                    <w:rPr>
                      <w:rFonts w:hint="eastAsia"/>
                      <w:color w:val="auto"/>
                      <w:szCs w:val="21"/>
                    </w:rPr>
                    <w:t>2</w:t>
                  </w:r>
                </w:p>
              </w:tc>
              <w:tc>
                <w:tcPr>
                  <w:tcW w:w="689" w:type="pct"/>
                  <w:vAlign w:val="center"/>
                </w:tcPr>
                <w:p w14:paraId="3E6744CB">
                  <w:pPr>
                    <w:jc w:val="center"/>
                    <w:rPr>
                      <w:color w:val="auto"/>
                      <w:szCs w:val="21"/>
                    </w:rPr>
                  </w:pPr>
                  <w:r>
                    <w:rPr>
                      <w:rFonts w:hint="eastAsia"/>
                      <w:color w:val="auto"/>
                      <w:szCs w:val="21"/>
                    </w:rPr>
                    <w:t>砂光</w:t>
                  </w:r>
                </w:p>
              </w:tc>
            </w:tr>
            <w:tr w14:paraId="4D94D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102B853A">
                  <w:pPr>
                    <w:jc w:val="center"/>
                    <w:rPr>
                      <w:color w:val="auto"/>
                      <w:szCs w:val="21"/>
                    </w:rPr>
                  </w:pPr>
                </w:p>
              </w:tc>
              <w:tc>
                <w:tcPr>
                  <w:tcW w:w="1448" w:type="pct"/>
                  <w:vAlign w:val="center"/>
                </w:tcPr>
                <w:p w14:paraId="0218709C">
                  <w:pPr>
                    <w:jc w:val="center"/>
                    <w:rPr>
                      <w:color w:val="auto"/>
                      <w:szCs w:val="21"/>
                    </w:rPr>
                  </w:pPr>
                  <w:r>
                    <w:rPr>
                      <w:rFonts w:hint="eastAsia"/>
                      <w:color w:val="auto"/>
                      <w:szCs w:val="21"/>
                    </w:rPr>
                    <w:t>空压机</w:t>
                  </w:r>
                </w:p>
              </w:tc>
              <w:tc>
                <w:tcPr>
                  <w:tcW w:w="1226" w:type="pct"/>
                  <w:vAlign w:val="center"/>
                </w:tcPr>
                <w:p w14:paraId="1FC2E82C">
                  <w:pPr>
                    <w:jc w:val="center"/>
                    <w:rPr>
                      <w:color w:val="auto"/>
                      <w:szCs w:val="21"/>
                    </w:rPr>
                  </w:pPr>
                  <w:r>
                    <w:rPr>
                      <w:rFonts w:hint="eastAsia"/>
                      <w:color w:val="auto"/>
                      <w:szCs w:val="21"/>
                    </w:rPr>
                    <w:t>/</w:t>
                  </w:r>
                </w:p>
              </w:tc>
              <w:tc>
                <w:tcPr>
                  <w:tcW w:w="845" w:type="pct"/>
                  <w:vAlign w:val="center"/>
                </w:tcPr>
                <w:p w14:paraId="54C063E6">
                  <w:pPr>
                    <w:jc w:val="center"/>
                    <w:rPr>
                      <w:color w:val="auto"/>
                      <w:szCs w:val="21"/>
                    </w:rPr>
                  </w:pPr>
                  <w:r>
                    <w:rPr>
                      <w:rFonts w:hint="eastAsia"/>
                      <w:color w:val="auto"/>
                      <w:szCs w:val="21"/>
                    </w:rPr>
                    <w:t>2</w:t>
                  </w:r>
                </w:p>
              </w:tc>
              <w:tc>
                <w:tcPr>
                  <w:tcW w:w="689" w:type="pct"/>
                  <w:vAlign w:val="center"/>
                </w:tcPr>
                <w:p w14:paraId="1BAD3132">
                  <w:pPr>
                    <w:jc w:val="center"/>
                    <w:rPr>
                      <w:color w:val="auto"/>
                      <w:szCs w:val="21"/>
                    </w:rPr>
                  </w:pPr>
                  <w:r>
                    <w:rPr>
                      <w:rFonts w:hint="eastAsia"/>
                      <w:color w:val="auto"/>
                      <w:szCs w:val="21"/>
                    </w:rPr>
                    <w:t>供气</w:t>
                  </w:r>
                </w:p>
              </w:tc>
            </w:tr>
            <w:tr w14:paraId="73E05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89" w:type="pct"/>
                  <w:vMerge w:val="continue"/>
                  <w:vAlign w:val="center"/>
                </w:tcPr>
                <w:p w14:paraId="3CB33481">
                  <w:pPr>
                    <w:jc w:val="center"/>
                    <w:rPr>
                      <w:color w:val="auto"/>
                      <w:szCs w:val="21"/>
                    </w:rPr>
                  </w:pPr>
                </w:p>
              </w:tc>
              <w:tc>
                <w:tcPr>
                  <w:tcW w:w="1448" w:type="pct"/>
                  <w:vAlign w:val="center"/>
                </w:tcPr>
                <w:p w14:paraId="2E710DAB">
                  <w:pPr>
                    <w:jc w:val="center"/>
                    <w:rPr>
                      <w:rFonts w:hint="eastAsia" w:eastAsia="宋体"/>
                      <w:color w:val="auto"/>
                      <w:szCs w:val="21"/>
                      <w:lang w:eastAsia="zh-CN"/>
                    </w:rPr>
                  </w:pPr>
                  <w:r>
                    <w:rPr>
                      <w:rFonts w:hint="eastAsia"/>
                      <w:color w:val="auto"/>
                      <w:szCs w:val="21"/>
                      <w:lang w:eastAsia="zh-CN"/>
                    </w:rPr>
                    <w:t>叉车</w:t>
                  </w:r>
                </w:p>
              </w:tc>
              <w:tc>
                <w:tcPr>
                  <w:tcW w:w="1226" w:type="pct"/>
                  <w:vAlign w:val="center"/>
                </w:tcPr>
                <w:p w14:paraId="448BF0C4">
                  <w:pPr>
                    <w:jc w:val="center"/>
                    <w:rPr>
                      <w:rFonts w:hint="eastAsia" w:eastAsia="宋体"/>
                      <w:color w:val="auto"/>
                      <w:szCs w:val="21"/>
                      <w:lang w:val="en-US" w:eastAsia="zh-CN"/>
                    </w:rPr>
                  </w:pPr>
                  <w:r>
                    <w:rPr>
                      <w:rFonts w:hint="eastAsia"/>
                      <w:color w:val="auto"/>
                      <w:szCs w:val="21"/>
                      <w:lang w:val="en-US" w:eastAsia="zh-CN"/>
                    </w:rPr>
                    <w:t>/</w:t>
                  </w:r>
                </w:p>
              </w:tc>
              <w:tc>
                <w:tcPr>
                  <w:tcW w:w="845" w:type="pct"/>
                  <w:vAlign w:val="center"/>
                </w:tcPr>
                <w:p w14:paraId="45BFC5DD">
                  <w:pPr>
                    <w:jc w:val="center"/>
                    <w:rPr>
                      <w:rFonts w:hint="eastAsia" w:eastAsia="宋体"/>
                      <w:color w:val="auto"/>
                      <w:szCs w:val="21"/>
                      <w:lang w:val="en-US" w:eastAsia="zh-CN"/>
                    </w:rPr>
                  </w:pPr>
                  <w:r>
                    <w:rPr>
                      <w:rFonts w:hint="eastAsia"/>
                      <w:color w:val="auto"/>
                      <w:szCs w:val="21"/>
                      <w:lang w:val="en-US" w:eastAsia="zh-CN"/>
                    </w:rPr>
                    <w:t>2</w:t>
                  </w:r>
                </w:p>
              </w:tc>
              <w:tc>
                <w:tcPr>
                  <w:tcW w:w="689" w:type="pct"/>
                  <w:vAlign w:val="center"/>
                </w:tcPr>
                <w:p w14:paraId="34DE783E">
                  <w:pPr>
                    <w:jc w:val="center"/>
                    <w:rPr>
                      <w:rFonts w:hint="eastAsia" w:eastAsia="宋体"/>
                      <w:color w:val="auto"/>
                      <w:szCs w:val="21"/>
                      <w:lang w:eastAsia="zh-CN"/>
                    </w:rPr>
                  </w:pPr>
                  <w:r>
                    <w:rPr>
                      <w:rFonts w:hint="eastAsia"/>
                      <w:color w:val="auto"/>
                      <w:szCs w:val="21"/>
                      <w:lang w:eastAsia="zh-CN"/>
                    </w:rPr>
                    <w:t>运输</w:t>
                  </w:r>
                </w:p>
              </w:tc>
            </w:tr>
          </w:tbl>
          <w:p w14:paraId="42B0337E">
            <w:pPr>
              <w:pStyle w:val="89"/>
              <w:spacing w:line="360" w:lineRule="auto"/>
              <w:ind w:firstLine="480"/>
              <w:jc w:val="left"/>
              <w:rPr>
                <w:rFonts w:hint="eastAsia" w:eastAsia="宋体"/>
                <w:color w:val="auto"/>
                <w:sz w:val="24"/>
                <w:lang w:eastAsia="zh-CN"/>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color w:val="auto"/>
                <w:sz w:val="24"/>
              </w:rPr>
              <w:t>①</w:t>
            </w:r>
            <w:r>
              <w:rPr>
                <w:rFonts w:hint="eastAsia"/>
                <w:color w:val="auto"/>
                <w:sz w:val="24"/>
              </w:rPr>
              <w:fldChar w:fldCharType="end"/>
            </w:r>
            <w:r>
              <w:rPr>
                <w:color w:val="auto"/>
                <w:sz w:val="24"/>
              </w:rPr>
              <w:t>主要生产设备及产能</w:t>
            </w:r>
            <w:r>
              <w:rPr>
                <w:rFonts w:hint="eastAsia"/>
                <w:color w:val="auto"/>
                <w:sz w:val="24"/>
                <w:lang w:eastAsia="zh-CN"/>
              </w:rPr>
              <w:t>匹配性</w:t>
            </w:r>
          </w:p>
          <w:p w14:paraId="2DCD84BA">
            <w:pPr>
              <w:widowControl/>
              <w:adjustRightInd w:val="0"/>
              <w:snapToGrid w:val="0"/>
              <w:spacing w:before="120" w:beforeLines="50" w:line="360" w:lineRule="auto"/>
              <w:ind w:firstLine="480" w:firstLineChars="200"/>
              <w:jc w:val="left"/>
              <w:rPr>
                <w:rFonts w:eastAsiaTheme="minorEastAsia"/>
                <w:b/>
                <w:color w:val="auto"/>
                <w:kern w:val="0"/>
                <w:sz w:val="24"/>
                <w:szCs w:val="20"/>
              </w:rPr>
            </w:pPr>
            <w:r>
              <w:rPr>
                <w:color w:val="auto"/>
                <w:sz w:val="24"/>
              </w:rPr>
              <w:t>本项目主要对</w:t>
            </w:r>
            <w:r>
              <w:rPr>
                <w:rFonts w:hint="eastAsia"/>
                <w:color w:val="auto"/>
                <w:sz w:val="24"/>
              </w:rPr>
              <w:t>单板进行涂胶、压合。</w:t>
            </w:r>
            <w:r>
              <w:rPr>
                <w:color w:val="auto"/>
                <w:sz w:val="24"/>
              </w:rPr>
              <w:t>产品产能主要取决于涂胶机</w:t>
            </w:r>
            <w:r>
              <w:rPr>
                <w:rFonts w:hint="eastAsia"/>
                <w:color w:val="auto"/>
                <w:sz w:val="24"/>
              </w:rPr>
              <w:t>、</w:t>
            </w:r>
            <w:r>
              <w:rPr>
                <w:rFonts w:hint="eastAsia"/>
                <w:color w:val="auto"/>
                <w:sz w:val="24"/>
                <w:lang w:eastAsia="zh-CN"/>
              </w:rPr>
              <w:t>热压</w:t>
            </w:r>
            <w:r>
              <w:rPr>
                <w:color w:val="auto"/>
                <w:sz w:val="24"/>
              </w:rPr>
              <w:t>机的生产能力。根据建设单位提供的设备设计参数，本项目涂胶机</w:t>
            </w:r>
            <w:r>
              <w:rPr>
                <w:rFonts w:hint="eastAsia"/>
                <w:color w:val="auto"/>
                <w:sz w:val="24"/>
                <w:lang w:eastAsia="zh-CN"/>
              </w:rPr>
              <w:t>单台生产速率为</w:t>
            </w:r>
            <w:r>
              <w:rPr>
                <w:rFonts w:hint="eastAsia"/>
                <w:color w:val="auto"/>
                <w:sz w:val="24"/>
                <w:lang w:val="en-US" w:eastAsia="zh-CN"/>
              </w:rPr>
              <w:t>0.8</w:t>
            </w:r>
            <w:r>
              <w:rPr>
                <w:rFonts w:hint="eastAsia"/>
                <w:color w:val="auto"/>
                <w:sz w:val="24"/>
              </w:rPr>
              <w:t>m</w:t>
            </w:r>
            <w:r>
              <w:rPr>
                <w:rFonts w:hint="eastAsia"/>
                <w:color w:val="auto"/>
                <w:sz w:val="24"/>
                <w:vertAlign w:val="superscript"/>
              </w:rPr>
              <w:t>3</w:t>
            </w:r>
            <w:r>
              <w:rPr>
                <w:rFonts w:hint="eastAsia"/>
                <w:color w:val="auto"/>
                <w:sz w:val="24"/>
              </w:rPr>
              <w:t>/h、热压</w:t>
            </w:r>
            <w:r>
              <w:rPr>
                <w:color w:val="auto"/>
                <w:sz w:val="24"/>
              </w:rPr>
              <w:t>机</w:t>
            </w:r>
            <w:r>
              <w:rPr>
                <w:rFonts w:hint="eastAsia"/>
                <w:color w:val="auto"/>
                <w:sz w:val="24"/>
              </w:rPr>
              <w:t>单台生产速度为</w:t>
            </w:r>
            <w:r>
              <w:rPr>
                <w:rFonts w:hint="eastAsia"/>
                <w:color w:val="auto"/>
                <w:sz w:val="24"/>
                <w:lang w:val="en-US" w:eastAsia="zh-CN"/>
              </w:rPr>
              <w:t>0.4</w:t>
            </w:r>
            <w:r>
              <w:rPr>
                <w:rFonts w:hint="eastAsia"/>
                <w:color w:val="auto"/>
                <w:sz w:val="24"/>
              </w:rPr>
              <w:t>m</w:t>
            </w:r>
            <w:r>
              <w:rPr>
                <w:rFonts w:hint="eastAsia"/>
                <w:color w:val="auto"/>
                <w:sz w:val="24"/>
                <w:vertAlign w:val="superscript"/>
              </w:rPr>
              <w:t>3</w:t>
            </w:r>
            <w:r>
              <w:rPr>
                <w:rFonts w:hint="eastAsia"/>
                <w:color w:val="auto"/>
                <w:sz w:val="24"/>
              </w:rPr>
              <w:t>/h，</w:t>
            </w:r>
            <w:r>
              <w:rPr>
                <w:color w:val="auto"/>
                <w:sz w:val="24"/>
              </w:rPr>
              <w:t>年生产3</w:t>
            </w:r>
            <w:r>
              <w:rPr>
                <w:rFonts w:hint="eastAsia"/>
                <w:color w:val="auto"/>
                <w:sz w:val="24"/>
              </w:rPr>
              <w:t>0</w:t>
            </w:r>
            <w:r>
              <w:rPr>
                <w:color w:val="auto"/>
                <w:sz w:val="24"/>
              </w:rPr>
              <w:t>0天，每天工作时间为</w:t>
            </w:r>
            <w:r>
              <w:rPr>
                <w:rFonts w:hint="eastAsia"/>
                <w:color w:val="auto"/>
                <w:sz w:val="24"/>
                <w:lang w:val="en-US" w:eastAsia="zh-CN"/>
              </w:rPr>
              <w:t>24</w:t>
            </w:r>
            <w:r>
              <w:rPr>
                <w:color w:val="auto"/>
                <w:sz w:val="24"/>
              </w:rPr>
              <w:t>小时，年工作</w:t>
            </w:r>
            <w:r>
              <w:rPr>
                <w:rFonts w:hint="eastAsia"/>
                <w:color w:val="auto"/>
                <w:sz w:val="24"/>
                <w:lang w:eastAsia="zh-CN"/>
              </w:rPr>
              <w:t>7200</w:t>
            </w:r>
            <w:r>
              <w:rPr>
                <w:color w:val="auto"/>
                <w:sz w:val="24"/>
              </w:rPr>
              <w:t>小时，项目共设置</w:t>
            </w:r>
            <w:r>
              <w:rPr>
                <w:rFonts w:hint="eastAsia"/>
                <w:color w:val="auto"/>
                <w:sz w:val="24"/>
              </w:rPr>
              <w:t>2</w:t>
            </w:r>
            <w:r>
              <w:rPr>
                <w:color w:val="auto"/>
                <w:sz w:val="24"/>
              </w:rPr>
              <w:t>台涂胶机</w:t>
            </w:r>
            <w:r>
              <w:rPr>
                <w:rFonts w:hint="eastAsia"/>
                <w:color w:val="auto"/>
                <w:sz w:val="24"/>
              </w:rPr>
              <w:t>和4</w:t>
            </w:r>
            <w:r>
              <w:rPr>
                <w:color w:val="auto"/>
                <w:sz w:val="24"/>
              </w:rPr>
              <w:t>台</w:t>
            </w:r>
            <w:r>
              <w:rPr>
                <w:rFonts w:hint="eastAsia"/>
                <w:color w:val="auto"/>
                <w:sz w:val="24"/>
                <w:lang w:eastAsia="zh-CN"/>
              </w:rPr>
              <w:t>热压</w:t>
            </w:r>
            <w:r>
              <w:rPr>
                <w:color w:val="auto"/>
                <w:sz w:val="24"/>
              </w:rPr>
              <w:t>机，则项目生产理论值=</w:t>
            </w:r>
            <w:r>
              <w:rPr>
                <w:rFonts w:hint="eastAsia"/>
                <w:color w:val="auto"/>
                <w:sz w:val="24"/>
                <w:lang w:val="en-US" w:eastAsia="zh-CN"/>
              </w:rPr>
              <w:t>0.4</w:t>
            </w:r>
            <w:r>
              <w:rPr>
                <w:rFonts w:hint="eastAsia"/>
                <w:color w:val="auto"/>
                <w:sz w:val="24"/>
              </w:rPr>
              <w:t>m</w:t>
            </w:r>
            <w:r>
              <w:rPr>
                <w:rFonts w:hint="eastAsia"/>
                <w:color w:val="auto"/>
                <w:sz w:val="24"/>
                <w:vertAlign w:val="superscript"/>
              </w:rPr>
              <w:t>3</w:t>
            </w:r>
            <w:r>
              <w:rPr>
                <w:rFonts w:hint="eastAsia"/>
                <w:color w:val="auto"/>
                <w:sz w:val="24"/>
              </w:rPr>
              <w:t>/h*4*300</w:t>
            </w:r>
            <w:r>
              <w:rPr>
                <w:color w:val="auto"/>
                <w:sz w:val="24"/>
              </w:rPr>
              <w:t>天</w:t>
            </w:r>
            <w:r>
              <w:rPr>
                <w:rFonts w:hint="eastAsia"/>
                <w:color w:val="auto"/>
                <w:sz w:val="24"/>
              </w:rPr>
              <w:t>*</w:t>
            </w:r>
            <w:r>
              <w:rPr>
                <w:rFonts w:hint="eastAsia"/>
                <w:color w:val="auto"/>
                <w:sz w:val="24"/>
                <w:lang w:val="en-US" w:eastAsia="zh-CN"/>
              </w:rPr>
              <w:t>24</w:t>
            </w:r>
            <w:r>
              <w:rPr>
                <w:color w:val="auto"/>
                <w:sz w:val="24"/>
              </w:rPr>
              <w:t>小时=</w:t>
            </w:r>
            <w:r>
              <w:rPr>
                <w:rFonts w:hint="eastAsia"/>
                <w:color w:val="auto"/>
                <w:sz w:val="24"/>
              </w:rPr>
              <w:t>11520m</w:t>
            </w:r>
            <w:r>
              <w:rPr>
                <w:rFonts w:hint="eastAsia"/>
                <w:color w:val="auto"/>
                <w:sz w:val="24"/>
                <w:vertAlign w:val="superscript"/>
              </w:rPr>
              <w:t>3</w:t>
            </w:r>
            <w:r>
              <w:rPr>
                <w:color w:val="auto"/>
                <w:sz w:val="24"/>
              </w:rPr>
              <w:t>/</w:t>
            </w:r>
            <w:r>
              <w:rPr>
                <w:rFonts w:hint="eastAsia"/>
                <w:color w:val="auto"/>
                <w:sz w:val="24"/>
              </w:rPr>
              <w:t>a</w:t>
            </w:r>
            <w:r>
              <w:rPr>
                <w:color w:val="auto"/>
                <w:sz w:val="24"/>
              </w:rPr>
              <w:t>。考虑</w:t>
            </w:r>
            <w:r>
              <w:rPr>
                <w:rFonts w:hint="eastAsia"/>
                <w:color w:val="auto"/>
                <w:sz w:val="24"/>
              </w:rPr>
              <w:t>生产设备</w:t>
            </w:r>
            <w:r>
              <w:rPr>
                <w:color w:val="auto"/>
                <w:sz w:val="24"/>
              </w:rPr>
              <w:t>并非全年</w:t>
            </w:r>
            <w:r>
              <w:rPr>
                <w:rFonts w:hint="eastAsia"/>
                <w:color w:val="auto"/>
                <w:sz w:val="24"/>
                <w:lang w:eastAsia="zh-CN"/>
              </w:rPr>
              <w:t>满负荷</w:t>
            </w:r>
            <w:r>
              <w:rPr>
                <w:color w:val="auto"/>
                <w:sz w:val="24"/>
              </w:rPr>
              <w:t>运行，</w:t>
            </w:r>
            <w:r>
              <w:rPr>
                <w:bCs/>
                <w:snapToGrid w:val="0"/>
                <w:color w:val="auto"/>
                <w:sz w:val="24"/>
              </w:rPr>
              <w:t>从产能匹配以及生产方面来看，本次产能取</w:t>
            </w:r>
            <w:r>
              <w:rPr>
                <w:rFonts w:hint="eastAsia"/>
                <w:bCs/>
                <w:snapToGrid w:val="0"/>
                <w:color w:val="auto"/>
                <w:sz w:val="24"/>
              </w:rPr>
              <w:t>11000</w:t>
            </w:r>
            <w:r>
              <w:rPr>
                <w:rFonts w:hint="eastAsia"/>
                <w:color w:val="auto"/>
                <w:sz w:val="24"/>
              </w:rPr>
              <w:t>m</w:t>
            </w:r>
            <w:r>
              <w:rPr>
                <w:rFonts w:hint="eastAsia"/>
                <w:color w:val="auto"/>
                <w:sz w:val="24"/>
                <w:vertAlign w:val="superscript"/>
              </w:rPr>
              <w:t>3</w:t>
            </w:r>
            <w:r>
              <w:rPr>
                <w:color w:val="auto"/>
                <w:sz w:val="24"/>
              </w:rPr>
              <w:t>/</w:t>
            </w:r>
            <w:r>
              <w:rPr>
                <w:rFonts w:hint="eastAsia"/>
                <w:color w:val="auto"/>
                <w:sz w:val="24"/>
              </w:rPr>
              <w:t>a</w:t>
            </w:r>
            <w:r>
              <w:rPr>
                <w:bCs/>
                <w:snapToGrid w:val="0"/>
                <w:color w:val="auto"/>
                <w:sz w:val="24"/>
              </w:rPr>
              <w:t>与项目实际情况相符。</w:t>
            </w:r>
          </w:p>
          <w:p w14:paraId="72AB9A2C">
            <w:pPr>
              <w:widowControl/>
              <w:adjustRightInd w:val="0"/>
              <w:snapToGrid w:val="0"/>
              <w:spacing w:before="120" w:beforeLines="50" w:line="360" w:lineRule="auto"/>
              <w:ind w:firstLine="482" w:firstLineChars="200"/>
              <w:jc w:val="left"/>
              <w:rPr>
                <w:rFonts w:eastAsiaTheme="minorEastAsia"/>
                <w:b/>
                <w:color w:val="auto"/>
                <w:kern w:val="0"/>
                <w:sz w:val="24"/>
                <w:szCs w:val="20"/>
              </w:rPr>
            </w:pPr>
            <w:r>
              <w:rPr>
                <w:rFonts w:eastAsiaTheme="minorEastAsia"/>
                <w:b/>
                <w:color w:val="auto"/>
                <w:kern w:val="0"/>
                <w:sz w:val="24"/>
                <w:szCs w:val="20"/>
              </w:rPr>
              <w:t>4.主要原辅材料、能源及理化性质</w:t>
            </w:r>
          </w:p>
          <w:p w14:paraId="26B5155C">
            <w:pPr>
              <w:widowControl/>
              <w:adjustRightInd w:val="0"/>
              <w:snapToGrid w:val="0"/>
              <w:spacing w:line="360" w:lineRule="auto"/>
              <w:ind w:firstLine="480" w:firstLineChars="200"/>
              <w:jc w:val="left"/>
              <w:rPr>
                <w:rFonts w:eastAsiaTheme="minorEastAsia"/>
                <w:color w:val="auto"/>
                <w:kern w:val="0"/>
                <w:sz w:val="24"/>
                <w:szCs w:val="20"/>
              </w:rPr>
            </w:pPr>
            <w:r>
              <w:rPr>
                <w:rFonts w:eastAsiaTheme="minorEastAsia"/>
                <w:color w:val="auto"/>
                <w:kern w:val="0"/>
                <w:sz w:val="24"/>
                <w:szCs w:val="20"/>
              </w:rPr>
              <w:t>（1）主要原辅材料、燃料及理化性质</w:t>
            </w:r>
          </w:p>
          <w:p w14:paraId="05E93789">
            <w:pPr>
              <w:autoSpaceDE w:val="0"/>
              <w:autoSpaceDN w:val="0"/>
              <w:adjustRightInd w:val="0"/>
              <w:snapToGrid w:val="0"/>
              <w:spacing w:line="360" w:lineRule="auto"/>
              <w:ind w:firstLine="480" w:firstLineChars="200"/>
              <w:jc w:val="left"/>
              <w:rPr>
                <w:color w:val="auto"/>
                <w:kern w:val="0"/>
                <w:sz w:val="24"/>
              </w:rPr>
            </w:pPr>
            <w:r>
              <w:rPr>
                <w:color w:val="auto"/>
                <w:kern w:val="0"/>
                <w:sz w:val="24"/>
                <w:szCs w:val="20"/>
              </w:rPr>
              <w:t>根据建设单位提供的资料，</w:t>
            </w:r>
            <w:r>
              <w:rPr>
                <w:color w:val="auto"/>
                <w:kern w:val="0"/>
                <w:sz w:val="24"/>
              </w:rPr>
              <w:t>建设项目主要原辅材料及能源见</w:t>
            </w:r>
            <w:r>
              <w:rPr>
                <w:color w:val="auto"/>
                <w:kern w:val="0"/>
                <w:sz w:val="24"/>
                <w:szCs w:val="20"/>
              </w:rPr>
              <w:t>表2.1-</w:t>
            </w:r>
            <w:r>
              <w:rPr>
                <w:rFonts w:hint="eastAsia"/>
                <w:color w:val="auto"/>
                <w:kern w:val="0"/>
                <w:sz w:val="24"/>
                <w:szCs w:val="20"/>
              </w:rPr>
              <w:t>4</w:t>
            </w:r>
            <w:r>
              <w:rPr>
                <w:color w:val="auto"/>
                <w:kern w:val="0"/>
                <w:sz w:val="24"/>
              </w:rPr>
              <w:t>，主要原辅材料理化性质见表</w:t>
            </w:r>
            <w:r>
              <w:rPr>
                <w:color w:val="auto"/>
                <w:kern w:val="0"/>
                <w:sz w:val="24"/>
                <w:szCs w:val="20"/>
              </w:rPr>
              <w:t>2.1-</w:t>
            </w:r>
            <w:r>
              <w:rPr>
                <w:rFonts w:hint="eastAsia"/>
                <w:color w:val="auto"/>
                <w:kern w:val="0"/>
                <w:sz w:val="24"/>
                <w:szCs w:val="20"/>
              </w:rPr>
              <w:t>5</w:t>
            </w:r>
            <w:r>
              <w:rPr>
                <w:color w:val="auto"/>
                <w:kern w:val="0"/>
                <w:sz w:val="24"/>
              </w:rPr>
              <w:t>。</w:t>
            </w:r>
          </w:p>
          <w:p w14:paraId="1E7EA72F">
            <w:pPr>
              <w:autoSpaceDE w:val="0"/>
              <w:autoSpaceDN w:val="0"/>
              <w:adjustRightInd w:val="0"/>
              <w:snapToGrid w:val="0"/>
              <w:jc w:val="center"/>
              <w:rPr>
                <w:rFonts w:eastAsiaTheme="minorEastAsia"/>
                <w:color w:val="auto"/>
                <w:kern w:val="0"/>
                <w:sz w:val="22"/>
                <w:szCs w:val="21"/>
              </w:rPr>
            </w:pPr>
            <w:r>
              <w:rPr>
                <w:rFonts w:eastAsiaTheme="minorEastAsia"/>
                <w:b/>
                <w:color w:val="auto"/>
                <w:kern w:val="0"/>
                <w:sz w:val="24"/>
              </w:rPr>
              <w:t xml:space="preserve">表2.1-4  </w:t>
            </w:r>
            <w:r>
              <w:rPr>
                <w:rFonts w:hint="eastAsia" w:eastAsiaTheme="minorEastAsia"/>
                <w:b/>
                <w:color w:val="auto"/>
                <w:kern w:val="0"/>
                <w:sz w:val="24"/>
              </w:rPr>
              <w:t>建设</w:t>
            </w:r>
            <w:r>
              <w:rPr>
                <w:rFonts w:eastAsiaTheme="minorEastAsia"/>
                <w:b/>
                <w:color w:val="auto"/>
                <w:kern w:val="0"/>
                <w:sz w:val="24"/>
              </w:rPr>
              <w:t>项目主要原辅材料、能源</w:t>
            </w:r>
            <w:r>
              <w:rPr>
                <w:rFonts w:hint="eastAsia" w:eastAsiaTheme="minorEastAsia"/>
                <w:b/>
                <w:color w:val="auto"/>
                <w:kern w:val="0"/>
                <w:sz w:val="24"/>
              </w:rPr>
              <w:t>一览</w:t>
            </w:r>
            <w:r>
              <w:rPr>
                <w:rFonts w:eastAsiaTheme="minorEastAsia"/>
                <w:b/>
                <w:color w:val="auto"/>
                <w:kern w:val="0"/>
                <w:sz w:val="24"/>
              </w:rPr>
              <w:t>表</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95"/>
              <w:gridCol w:w="443"/>
              <w:gridCol w:w="1205"/>
              <w:gridCol w:w="2035"/>
              <w:gridCol w:w="755"/>
              <w:gridCol w:w="822"/>
              <w:gridCol w:w="1473"/>
              <w:gridCol w:w="957"/>
            </w:tblGrid>
            <w:tr w14:paraId="514B4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3" w:hRule="atLeast"/>
                <w:jc w:val="center"/>
              </w:trPr>
              <w:tc>
                <w:tcPr>
                  <w:tcW w:w="414" w:type="pct"/>
                  <w:vAlign w:val="center"/>
                </w:tcPr>
                <w:p w14:paraId="6E9FBE52">
                  <w:pPr>
                    <w:widowControl/>
                    <w:adjustRightInd w:val="0"/>
                    <w:snapToGrid w:val="0"/>
                    <w:jc w:val="center"/>
                    <w:rPr>
                      <w:rFonts w:eastAsiaTheme="minorEastAsia"/>
                      <w:b/>
                      <w:color w:val="auto"/>
                      <w:kern w:val="0"/>
                      <w:szCs w:val="21"/>
                    </w:rPr>
                  </w:pPr>
                  <w:r>
                    <w:rPr>
                      <w:rFonts w:eastAsiaTheme="minorEastAsia"/>
                      <w:b/>
                      <w:color w:val="auto"/>
                      <w:kern w:val="0"/>
                      <w:szCs w:val="21"/>
                    </w:rPr>
                    <w:t>生产线</w:t>
                  </w:r>
                </w:p>
              </w:tc>
              <w:tc>
                <w:tcPr>
                  <w:tcW w:w="263" w:type="pct"/>
                  <w:vAlign w:val="center"/>
                </w:tcPr>
                <w:p w14:paraId="2DEF5AB7">
                  <w:pPr>
                    <w:widowControl/>
                    <w:adjustRightInd w:val="0"/>
                    <w:snapToGrid w:val="0"/>
                    <w:jc w:val="center"/>
                    <w:rPr>
                      <w:rFonts w:eastAsiaTheme="minorEastAsia"/>
                      <w:b/>
                      <w:color w:val="auto"/>
                      <w:kern w:val="0"/>
                      <w:szCs w:val="21"/>
                    </w:rPr>
                  </w:pPr>
                  <w:r>
                    <w:rPr>
                      <w:rFonts w:eastAsiaTheme="minorEastAsia"/>
                      <w:b/>
                      <w:color w:val="auto"/>
                      <w:kern w:val="0"/>
                      <w:szCs w:val="21"/>
                    </w:rPr>
                    <w:t>序号</w:t>
                  </w:r>
                </w:p>
              </w:tc>
              <w:tc>
                <w:tcPr>
                  <w:tcW w:w="718" w:type="pct"/>
                  <w:vAlign w:val="center"/>
                </w:tcPr>
                <w:p w14:paraId="1494FF1C">
                  <w:pPr>
                    <w:adjustRightInd w:val="0"/>
                    <w:snapToGrid w:val="0"/>
                    <w:jc w:val="center"/>
                    <w:rPr>
                      <w:rFonts w:eastAsiaTheme="minorEastAsia"/>
                      <w:b/>
                      <w:color w:val="auto"/>
                      <w:kern w:val="0"/>
                      <w:szCs w:val="21"/>
                    </w:rPr>
                  </w:pPr>
                  <w:r>
                    <w:rPr>
                      <w:rFonts w:eastAsiaTheme="minorEastAsia"/>
                      <w:b/>
                      <w:color w:val="auto"/>
                      <w:kern w:val="0"/>
                      <w:szCs w:val="21"/>
                    </w:rPr>
                    <w:t>名称</w:t>
                  </w:r>
                </w:p>
              </w:tc>
              <w:tc>
                <w:tcPr>
                  <w:tcW w:w="1213" w:type="pct"/>
                  <w:vAlign w:val="center"/>
                </w:tcPr>
                <w:p w14:paraId="6131AB30">
                  <w:pPr>
                    <w:widowControl/>
                    <w:adjustRightInd w:val="0"/>
                    <w:snapToGrid w:val="0"/>
                    <w:jc w:val="center"/>
                    <w:rPr>
                      <w:rFonts w:eastAsiaTheme="minorEastAsia"/>
                      <w:b/>
                      <w:color w:val="auto"/>
                      <w:kern w:val="0"/>
                      <w:szCs w:val="21"/>
                    </w:rPr>
                  </w:pPr>
                  <w:r>
                    <w:rPr>
                      <w:rFonts w:eastAsiaTheme="minorEastAsia"/>
                      <w:b/>
                      <w:color w:val="auto"/>
                      <w:kern w:val="0"/>
                      <w:szCs w:val="21"/>
                    </w:rPr>
                    <w:t>重要组分、规格、指标</w:t>
                  </w:r>
                </w:p>
              </w:tc>
              <w:tc>
                <w:tcPr>
                  <w:tcW w:w="450" w:type="pct"/>
                  <w:vAlign w:val="center"/>
                </w:tcPr>
                <w:p w14:paraId="3027A868">
                  <w:pPr>
                    <w:widowControl/>
                    <w:adjustRightInd w:val="0"/>
                    <w:snapToGrid w:val="0"/>
                    <w:jc w:val="center"/>
                    <w:rPr>
                      <w:rFonts w:eastAsiaTheme="minorEastAsia"/>
                      <w:b/>
                      <w:color w:val="auto"/>
                      <w:kern w:val="0"/>
                      <w:szCs w:val="21"/>
                    </w:rPr>
                  </w:pPr>
                  <w:r>
                    <w:rPr>
                      <w:rFonts w:hint="eastAsia" w:eastAsiaTheme="minorEastAsia"/>
                      <w:b/>
                      <w:color w:val="auto"/>
                      <w:kern w:val="0"/>
                      <w:szCs w:val="21"/>
                    </w:rPr>
                    <w:t>单位</w:t>
                  </w:r>
                </w:p>
              </w:tc>
              <w:tc>
                <w:tcPr>
                  <w:tcW w:w="490" w:type="pct"/>
                  <w:vAlign w:val="center"/>
                </w:tcPr>
                <w:p w14:paraId="1038F165">
                  <w:pPr>
                    <w:widowControl/>
                    <w:adjustRightInd w:val="0"/>
                    <w:snapToGrid w:val="0"/>
                    <w:jc w:val="center"/>
                    <w:rPr>
                      <w:rFonts w:eastAsiaTheme="minorEastAsia"/>
                      <w:b/>
                      <w:color w:val="auto"/>
                      <w:kern w:val="0"/>
                      <w:szCs w:val="21"/>
                    </w:rPr>
                  </w:pPr>
                  <w:r>
                    <w:rPr>
                      <w:rFonts w:eastAsiaTheme="minorEastAsia"/>
                      <w:b/>
                      <w:color w:val="auto"/>
                      <w:kern w:val="0"/>
                      <w:szCs w:val="21"/>
                    </w:rPr>
                    <w:t>消耗量</w:t>
                  </w:r>
                </w:p>
              </w:tc>
              <w:tc>
                <w:tcPr>
                  <w:tcW w:w="878" w:type="pct"/>
                  <w:vAlign w:val="center"/>
                </w:tcPr>
                <w:p w14:paraId="13DCEB23">
                  <w:pPr>
                    <w:widowControl/>
                    <w:adjustRightInd w:val="0"/>
                    <w:snapToGrid w:val="0"/>
                    <w:jc w:val="center"/>
                    <w:rPr>
                      <w:rFonts w:eastAsiaTheme="minorEastAsia"/>
                      <w:b/>
                      <w:color w:val="auto"/>
                      <w:kern w:val="0"/>
                      <w:szCs w:val="21"/>
                    </w:rPr>
                  </w:pPr>
                  <w:r>
                    <w:rPr>
                      <w:rFonts w:hint="eastAsia" w:eastAsiaTheme="minorEastAsia"/>
                      <w:b/>
                      <w:color w:val="auto"/>
                      <w:kern w:val="0"/>
                      <w:szCs w:val="21"/>
                    </w:rPr>
                    <w:t>储存方式</w:t>
                  </w:r>
                </w:p>
              </w:tc>
              <w:tc>
                <w:tcPr>
                  <w:tcW w:w="570" w:type="pct"/>
                  <w:vAlign w:val="center"/>
                </w:tcPr>
                <w:p w14:paraId="6EAB5640">
                  <w:pPr>
                    <w:widowControl/>
                    <w:adjustRightInd w:val="0"/>
                    <w:snapToGrid w:val="0"/>
                    <w:jc w:val="center"/>
                    <w:rPr>
                      <w:rFonts w:eastAsiaTheme="minorEastAsia"/>
                      <w:b/>
                      <w:color w:val="auto"/>
                      <w:kern w:val="0"/>
                      <w:szCs w:val="21"/>
                    </w:rPr>
                  </w:pPr>
                  <w:r>
                    <w:rPr>
                      <w:rFonts w:eastAsiaTheme="minorEastAsia"/>
                      <w:b/>
                      <w:color w:val="auto"/>
                      <w:kern w:val="0"/>
                      <w:szCs w:val="21"/>
                    </w:rPr>
                    <w:t>来源</w:t>
                  </w:r>
                </w:p>
                <w:p w14:paraId="6D7EA6E4">
                  <w:pPr>
                    <w:widowControl/>
                    <w:adjustRightInd w:val="0"/>
                    <w:snapToGrid w:val="0"/>
                    <w:jc w:val="center"/>
                    <w:rPr>
                      <w:rFonts w:eastAsiaTheme="minorEastAsia"/>
                      <w:b/>
                      <w:color w:val="auto"/>
                      <w:kern w:val="0"/>
                      <w:szCs w:val="21"/>
                    </w:rPr>
                  </w:pPr>
                  <w:r>
                    <w:rPr>
                      <w:rFonts w:eastAsiaTheme="minorEastAsia"/>
                      <w:b/>
                      <w:color w:val="auto"/>
                      <w:kern w:val="0"/>
                      <w:szCs w:val="21"/>
                    </w:rPr>
                    <w:t>及运输</w:t>
                  </w:r>
                </w:p>
              </w:tc>
            </w:tr>
            <w:tr w14:paraId="0302B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414" w:type="pct"/>
                  <w:vMerge w:val="restart"/>
                  <w:vAlign w:val="center"/>
                </w:tcPr>
                <w:p w14:paraId="73830997">
                  <w:pPr>
                    <w:widowControl/>
                    <w:adjustRightInd w:val="0"/>
                    <w:snapToGrid w:val="0"/>
                    <w:jc w:val="center"/>
                    <w:rPr>
                      <w:rFonts w:eastAsiaTheme="minorEastAsia"/>
                      <w:color w:val="auto"/>
                      <w:kern w:val="0"/>
                      <w:szCs w:val="21"/>
                    </w:rPr>
                  </w:pPr>
                  <w:r>
                    <w:rPr>
                      <w:rFonts w:hint="eastAsia" w:eastAsiaTheme="minorEastAsia"/>
                      <w:color w:val="auto"/>
                      <w:kern w:val="0"/>
                      <w:szCs w:val="21"/>
                    </w:rPr>
                    <w:t>胶合板</w:t>
                  </w:r>
                  <w:r>
                    <w:rPr>
                      <w:rFonts w:eastAsiaTheme="minorEastAsia"/>
                      <w:color w:val="auto"/>
                      <w:kern w:val="0"/>
                      <w:szCs w:val="21"/>
                    </w:rPr>
                    <w:t>生产线</w:t>
                  </w:r>
                </w:p>
              </w:tc>
              <w:tc>
                <w:tcPr>
                  <w:tcW w:w="263" w:type="pct"/>
                  <w:vAlign w:val="center"/>
                </w:tcPr>
                <w:p w14:paraId="2FCB98DB">
                  <w:pPr>
                    <w:widowControl/>
                    <w:adjustRightInd w:val="0"/>
                    <w:snapToGrid w:val="0"/>
                    <w:jc w:val="center"/>
                    <w:rPr>
                      <w:rFonts w:eastAsiaTheme="minorEastAsia"/>
                      <w:color w:val="auto"/>
                      <w:kern w:val="0"/>
                      <w:szCs w:val="21"/>
                    </w:rPr>
                  </w:pPr>
                  <w:r>
                    <w:rPr>
                      <w:rFonts w:eastAsiaTheme="minorEastAsia"/>
                      <w:color w:val="auto"/>
                      <w:kern w:val="0"/>
                      <w:szCs w:val="21"/>
                    </w:rPr>
                    <w:t>1</w:t>
                  </w:r>
                </w:p>
              </w:tc>
              <w:tc>
                <w:tcPr>
                  <w:tcW w:w="718" w:type="pct"/>
                  <w:vAlign w:val="center"/>
                </w:tcPr>
                <w:p w14:paraId="765ACA5F">
                  <w:pPr>
                    <w:widowControl/>
                    <w:adjustRightInd w:val="0"/>
                    <w:snapToGrid w:val="0"/>
                    <w:jc w:val="center"/>
                    <w:outlineLvl w:val="0"/>
                    <w:rPr>
                      <w:rFonts w:eastAsiaTheme="minorEastAsia"/>
                      <w:color w:val="auto"/>
                      <w:kern w:val="0"/>
                      <w:szCs w:val="21"/>
                    </w:rPr>
                  </w:pPr>
                  <w:bookmarkStart w:id="7" w:name="_Toc1187"/>
                  <w:r>
                    <w:rPr>
                      <w:rFonts w:hint="eastAsia" w:eastAsiaTheme="minorEastAsia"/>
                      <w:color w:val="auto"/>
                      <w:kern w:val="0"/>
                      <w:szCs w:val="21"/>
                    </w:rPr>
                    <w:t>脲醛环保胶</w:t>
                  </w:r>
                  <w:bookmarkEnd w:id="7"/>
                </w:p>
              </w:tc>
              <w:tc>
                <w:tcPr>
                  <w:tcW w:w="1213" w:type="pct"/>
                  <w:vAlign w:val="center"/>
                </w:tcPr>
                <w:p w14:paraId="1C93236F">
                  <w:pPr>
                    <w:widowControl/>
                    <w:adjustRightInd w:val="0"/>
                    <w:snapToGrid w:val="0"/>
                    <w:jc w:val="center"/>
                    <w:rPr>
                      <w:rFonts w:hint="default" w:eastAsiaTheme="minorEastAsia"/>
                      <w:b/>
                      <w:bCs/>
                      <w:color w:val="auto"/>
                      <w:kern w:val="0"/>
                      <w:szCs w:val="21"/>
                      <w:lang w:val="en-US" w:eastAsia="zh-CN"/>
                    </w:rPr>
                  </w:pPr>
                  <w:r>
                    <w:rPr>
                      <w:rFonts w:hint="eastAsia" w:eastAsiaTheme="minorEastAsia"/>
                      <w:color w:val="auto"/>
                      <w:szCs w:val="21"/>
                      <w:lang w:eastAsia="zh-CN"/>
                    </w:rPr>
                    <w:t>三聚氰胺</w:t>
                  </w:r>
                  <w:r>
                    <w:rPr>
                      <w:rFonts w:hint="eastAsia" w:eastAsiaTheme="minorEastAsia"/>
                      <w:color w:val="auto"/>
                      <w:szCs w:val="21"/>
                      <w:lang w:val="en-US" w:eastAsia="zh-CN"/>
                    </w:rPr>
                    <w:t>-</w:t>
                  </w:r>
                  <w:r>
                    <w:rPr>
                      <w:rFonts w:hint="eastAsia" w:eastAsiaTheme="minorEastAsia"/>
                      <w:color w:val="auto"/>
                      <w:szCs w:val="21"/>
                      <w:lang w:eastAsia="zh-CN"/>
                    </w:rPr>
                    <w:t>尿素</w:t>
                  </w:r>
                  <w:r>
                    <w:rPr>
                      <w:rFonts w:hint="eastAsia" w:eastAsiaTheme="minorEastAsia"/>
                      <w:color w:val="auto"/>
                      <w:szCs w:val="21"/>
                      <w:lang w:val="en-US" w:eastAsia="zh-CN"/>
                    </w:rPr>
                    <w:t>-甲醛树酯45%～55%、水45%～55%、游离甲醛≤0.3%</w:t>
                  </w:r>
                </w:p>
              </w:tc>
              <w:tc>
                <w:tcPr>
                  <w:tcW w:w="450" w:type="pct"/>
                  <w:vAlign w:val="center"/>
                </w:tcPr>
                <w:p w14:paraId="5709228E">
                  <w:pPr>
                    <w:widowControl/>
                    <w:adjustRightInd w:val="0"/>
                    <w:snapToGrid w:val="0"/>
                    <w:jc w:val="center"/>
                    <w:rPr>
                      <w:rFonts w:eastAsiaTheme="minorEastAsia"/>
                      <w:color w:val="auto"/>
                      <w:kern w:val="0"/>
                      <w:szCs w:val="21"/>
                    </w:rPr>
                  </w:pPr>
                  <w:r>
                    <w:rPr>
                      <w:rFonts w:hint="eastAsia" w:eastAsiaTheme="minorEastAsia"/>
                      <w:color w:val="auto"/>
                      <w:kern w:val="0"/>
                      <w:szCs w:val="21"/>
                    </w:rPr>
                    <w:t>t/a</w:t>
                  </w:r>
                </w:p>
              </w:tc>
              <w:tc>
                <w:tcPr>
                  <w:tcW w:w="490" w:type="pct"/>
                  <w:vAlign w:val="center"/>
                </w:tcPr>
                <w:p w14:paraId="3856711B">
                  <w:pPr>
                    <w:widowControl/>
                    <w:adjustRightInd w:val="0"/>
                    <w:snapToGrid w:val="0"/>
                    <w:jc w:val="center"/>
                    <w:rPr>
                      <w:rFonts w:eastAsiaTheme="minorEastAsia"/>
                      <w:color w:val="auto"/>
                      <w:kern w:val="0"/>
                      <w:szCs w:val="21"/>
                    </w:rPr>
                  </w:pPr>
                  <w:r>
                    <w:rPr>
                      <w:rFonts w:hint="eastAsia" w:eastAsiaTheme="minorEastAsia"/>
                      <w:color w:val="auto"/>
                      <w:kern w:val="0"/>
                      <w:szCs w:val="21"/>
                    </w:rPr>
                    <w:t>1300</w:t>
                  </w:r>
                </w:p>
              </w:tc>
              <w:tc>
                <w:tcPr>
                  <w:tcW w:w="878" w:type="pct"/>
                  <w:vAlign w:val="center"/>
                </w:tcPr>
                <w:p w14:paraId="23A1EB53">
                  <w:pPr>
                    <w:widowControl/>
                    <w:adjustRightInd w:val="0"/>
                    <w:snapToGrid w:val="0"/>
                    <w:jc w:val="center"/>
                    <w:rPr>
                      <w:rFonts w:eastAsiaTheme="minorEastAsia"/>
                      <w:color w:val="auto"/>
                      <w:kern w:val="0"/>
                      <w:szCs w:val="21"/>
                    </w:rPr>
                  </w:pPr>
                  <w:r>
                    <w:rPr>
                      <w:rFonts w:hint="eastAsia" w:eastAsiaTheme="minorEastAsia"/>
                      <w:color w:val="auto"/>
                      <w:kern w:val="0"/>
                      <w:szCs w:val="21"/>
                    </w:rPr>
                    <w:t>桶装</w:t>
                  </w:r>
                </w:p>
              </w:tc>
              <w:tc>
                <w:tcPr>
                  <w:tcW w:w="570" w:type="pct"/>
                  <w:vAlign w:val="center"/>
                </w:tcPr>
                <w:p w14:paraId="35C9ADAE">
                  <w:pPr>
                    <w:widowControl/>
                    <w:adjustRightInd w:val="0"/>
                    <w:snapToGrid w:val="0"/>
                    <w:jc w:val="center"/>
                    <w:rPr>
                      <w:rFonts w:eastAsiaTheme="minorEastAsia"/>
                      <w:color w:val="auto"/>
                      <w:kern w:val="0"/>
                      <w:szCs w:val="21"/>
                    </w:rPr>
                  </w:pPr>
                  <w:r>
                    <w:rPr>
                      <w:rFonts w:eastAsiaTheme="minorEastAsia"/>
                      <w:color w:val="auto"/>
                      <w:kern w:val="0"/>
                      <w:szCs w:val="21"/>
                    </w:rPr>
                    <w:t>外购/汽运</w:t>
                  </w:r>
                </w:p>
              </w:tc>
            </w:tr>
            <w:tr w14:paraId="45C8D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14" w:type="pct"/>
                  <w:vMerge w:val="continue"/>
                  <w:vAlign w:val="center"/>
                </w:tcPr>
                <w:p w14:paraId="7803B83A">
                  <w:pPr>
                    <w:widowControl/>
                    <w:adjustRightInd w:val="0"/>
                    <w:snapToGrid w:val="0"/>
                    <w:jc w:val="center"/>
                    <w:rPr>
                      <w:rFonts w:eastAsiaTheme="minorEastAsia"/>
                      <w:color w:val="auto"/>
                      <w:kern w:val="0"/>
                      <w:szCs w:val="21"/>
                    </w:rPr>
                  </w:pPr>
                </w:p>
              </w:tc>
              <w:tc>
                <w:tcPr>
                  <w:tcW w:w="263" w:type="pct"/>
                  <w:vAlign w:val="center"/>
                </w:tcPr>
                <w:p w14:paraId="3612D53A">
                  <w:pPr>
                    <w:widowControl/>
                    <w:adjustRightInd w:val="0"/>
                    <w:snapToGrid w:val="0"/>
                    <w:jc w:val="center"/>
                    <w:rPr>
                      <w:rFonts w:eastAsiaTheme="minorEastAsia"/>
                      <w:color w:val="auto"/>
                      <w:kern w:val="0"/>
                      <w:szCs w:val="21"/>
                    </w:rPr>
                  </w:pPr>
                  <w:r>
                    <w:rPr>
                      <w:rFonts w:eastAsiaTheme="minorEastAsia"/>
                      <w:color w:val="auto"/>
                      <w:kern w:val="0"/>
                      <w:szCs w:val="21"/>
                    </w:rPr>
                    <w:t>2</w:t>
                  </w:r>
                </w:p>
              </w:tc>
              <w:tc>
                <w:tcPr>
                  <w:tcW w:w="718" w:type="pct"/>
                  <w:vAlign w:val="center"/>
                </w:tcPr>
                <w:p w14:paraId="74ABB8F3">
                  <w:pPr>
                    <w:widowControl/>
                    <w:adjustRightInd w:val="0"/>
                    <w:snapToGrid w:val="0"/>
                    <w:jc w:val="center"/>
                    <w:outlineLvl w:val="0"/>
                    <w:rPr>
                      <w:rFonts w:eastAsiaTheme="minorEastAsia"/>
                      <w:color w:val="auto"/>
                      <w:kern w:val="0"/>
                      <w:szCs w:val="21"/>
                    </w:rPr>
                  </w:pPr>
                  <w:bookmarkStart w:id="8" w:name="_Toc13932"/>
                  <w:r>
                    <w:rPr>
                      <w:rFonts w:hint="eastAsia" w:eastAsiaTheme="minorEastAsia"/>
                      <w:color w:val="auto"/>
                      <w:kern w:val="0"/>
                      <w:szCs w:val="21"/>
                    </w:rPr>
                    <w:t>面粉</w:t>
                  </w:r>
                  <w:bookmarkEnd w:id="8"/>
                </w:p>
              </w:tc>
              <w:tc>
                <w:tcPr>
                  <w:tcW w:w="1213" w:type="pct"/>
                  <w:vAlign w:val="center"/>
                </w:tcPr>
                <w:p w14:paraId="5E941D59">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w:t>
                  </w:r>
                </w:p>
              </w:tc>
              <w:tc>
                <w:tcPr>
                  <w:tcW w:w="450" w:type="pct"/>
                  <w:vAlign w:val="center"/>
                </w:tcPr>
                <w:p w14:paraId="2C254BA3">
                  <w:pPr>
                    <w:widowControl/>
                    <w:adjustRightInd w:val="0"/>
                    <w:snapToGrid w:val="0"/>
                    <w:jc w:val="center"/>
                    <w:rPr>
                      <w:rFonts w:eastAsiaTheme="minorEastAsia"/>
                      <w:color w:val="auto"/>
                      <w:kern w:val="0"/>
                      <w:szCs w:val="21"/>
                    </w:rPr>
                  </w:pPr>
                  <w:r>
                    <w:rPr>
                      <w:rFonts w:hint="eastAsia" w:eastAsiaTheme="minorEastAsia"/>
                      <w:color w:val="auto"/>
                      <w:kern w:val="0"/>
                      <w:szCs w:val="21"/>
                    </w:rPr>
                    <w:t>t/a</w:t>
                  </w:r>
                </w:p>
              </w:tc>
              <w:tc>
                <w:tcPr>
                  <w:tcW w:w="490" w:type="pct"/>
                  <w:vAlign w:val="center"/>
                </w:tcPr>
                <w:p w14:paraId="577912A2">
                  <w:pPr>
                    <w:widowControl/>
                    <w:adjustRightInd w:val="0"/>
                    <w:snapToGrid w:val="0"/>
                    <w:jc w:val="center"/>
                    <w:rPr>
                      <w:rFonts w:eastAsiaTheme="minorEastAsia"/>
                      <w:color w:val="auto"/>
                      <w:kern w:val="0"/>
                      <w:szCs w:val="21"/>
                    </w:rPr>
                  </w:pPr>
                  <w:r>
                    <w:rPr>
                      <w:rFonts w:hint="eastAsia" w:eastAsiaTheme="minorEastAsia"/>
                      <w:color w:val="auto"/>
                      <w:kern w:val="0"/>
                      <w:szCs w:val="21"/>
                    </w:rPr>
                    <w:t>400</w:t>
                  </w:r>
                </w:p>
              </w:tc>
              <w:tc>
                <w:tcPr>
                  <w:tcW w:w="878" w:type="pct"/>
                  <w:vAlign w:val="center"/>
                </w:tcPr>
                <w:p w14:paraId="1753D3E7">
                  <w:pPr>
                    <w:widowControl/>
                    <w:adjustRightInd w:val="0"/>
                    <w:snapToGrid w:val="0"/>
                    <w:jc w:val="center"/>
                    <w:rPr>
                      <w:rFonts w:eastAsiaTheme="minorEastAsia"/>
                      <w:color w:val="auto"/>
                      <w:kern w:val="0"/>
                      <w:szCs w:val="21"/>
                    </w:rPr>
                  </w:pPr>
                  <w:r>
                    <w:rPr>
                      <w:rFonts w:hint="eastAsia" w:eastAsiaTheme="minorEastAsia"/>
                      <w:color w:val="auto"/>
                      <w:kern w:val="0"/>
                      <w:szCs w:val="21"/>
                    </w:rPr>
                    <w:t>袋装</w:t>
                  </w:r>
                </w:p>
              </w:tc>
              <w:tc>
                <w:tcPr>
                  <w:tcW w:w="570" w:type="pct"/>
                  <w:vAlign w:val="center"/>
                </w:tcPr>
                <w:p w14:paraId="6A78E670">
                  <w:pPr>
                    <w:widowControl/>
                    <w:adjustRightInd w:val="0"/>
                    <w:snapToGrid w:val="0"/>
                    <w:jc w:val="center"/>
                    <w:rPr>
                      <w:rFonts w:eastAsiaTheme="minorEastAsia"/>
                      <w:color w:val="auto"/>
                      <w:kern w:val="0"/>
                      <w:szCs w:val="21"/>
                    </w:rPr>
                  </w:pPr>
                  <w:r>
                    <w:rPr>
                      <w:rFonts w:eastAsiaTheme="minorEastAsia"/>
                      <w:color w:val="auto"/>
                      <w:kern w:val="0"/>
                      <w:szCs w:val="21"/>
                    </w:rPr>
                    <w:t>外购/汽运</w:t>
                  </w:r>
                </w:p>
              </w:tc>
            </w:tr>
            <w:tr w14:paraId="1D0B0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14" w:type="pct"/>
                  <w:vMerge w:val="continue"/>
                  <w:vAlign w:val="center"/>
                </w:tcPr>
                <w:p w14:paraId="673F2FA5">
                  <w:pPr>
                    <w:widowControl/>
                    <w:adjustRightInd w:val="0"/>
                    <w:snapToGrid w:val="0"/>
                    <w:jc w:val="center"/>
                    <w:rPr>
                      <w:rFonts w:eastAsiaTheme="minorEastAsia"/>
                      <w:color w:val="auto"/>
                      <w:kern w:val="0"/>
                      <w:szCs w:val="21"/>
                    </w:rPr>
                  </w:pPr>
                </w:p>
              </w:tc>
              <w:tc>
                <w:tcPr>
                  <w:tcW w:w="263" w:type="pct"/>
                  <w:vAlign w:val="center"/>
                </w:tcPr>
                <w:p w14:paraId="36C3C1C2">
                  <w:pPr>
                    <w:widowControl/>
                    <w:adjustRightInd w:val="0"/>
                    <w:snapToGrid w:val="0"/>
                    <w:jc w:val="center"/>
                    <w:rPr>
                      <w:rFonts w:eastAsiaTheme="minorEastAsia"/>
                      <w:color w:val="auto"/>
                      <w:kern w:val="0"/>
                      <w:szCs w:val="21"/>
                    </w:rPr>
                  </w:pPr>
                  <w:r>
                    <w:rPr>
                      <w:rFonts w:eastAsiaTheme="minorEastAsia"/>
                      <w:color w:val="auto"/>
                      <w:kern w:val="0"/>
                      <w:szCs w:val="21"/>
                    </w:rPr>
                    <w:t>3</w:t>
                  </w:r>
                </w:p>
              </w:tc>
              <w:tc>
                <w:tcPr>
                  <w:tcW w:w="718" w:type="pct"/>
                  <w:vAlign w:val="center"/>
                </w:tcPr>
                <w:p w14:paraId="485E47A5">
                  <w:pPr>
                    <w:widowControl/>
                    <w:adjustRightInd w:val="0"/>
                    <w:snapToGrid w:val="0"/>
                    <w:jc w:val="center"/>
                    <w:outlineLvl w:val="0"/>
                    <w:rPr>
                      <w:rFonts w:eastAsiaTheme="minorEastAsia"/>
                      <w:color w:val="auto"/>
                      <w:kern w:val="0"/>
                      <w:szCs w:val="21"/>
                    </w:rPr>
                  </w:pPr>
                  <w:bookmarkStart w:id="9" w:name="_Toc3634"/>
                  <w:r>
                    <w:rPr>
                      <w:rFonts w:hint="eastAsia" w:eastAsiaTheme="minorEastAsia"/>
                      <w:color w:val="auto"/>
                      <w:kern w:val="0"/>
                      <w:szCs w:val="21"/>
                    </w:rPr>
                    <w:t>木材</w:t>
                  </w:r>
                  <w:bookmarkEnd w:id="9"/>
                </w:p>
              </w:tc>
              <w:tc>
                <w:tcPr>
                  <w:tcW w:w="1213" w:type="pct"/>
                  <w:vAlign w:val="center"/>
                </w:tcPr>
                <w:p w14:paraId="5B34422A">
                  <w:pPr>
                    <w:widowControl/>
                    <w:adjustRightInd w:val="0"/>
                    <w:snapToGrid w:val="0"/>
                    <w:jc w:val="center"/>
                    <w:rPr>
                      <w:rFonts w:eastAsiaTheme="minorEastAsia"/>
                      <w:b/>
                      <w:bCs/>
                      <w:color w:val="auto"/>
                      <w:kern w:val="0"/>
                      <w:szCs w:val="21"/>
                    </w:rPr>
                  </w:pPr>
                  <w:r>
                    <w:rPr>
                      <w:rFonts w:hint="eastAsia" w:eastAsiaTheme="minorEastAsia"/>
                      <w:color w:val="auto"/>
                      <w:szCs w:val="21"/>
                    </w:rPr>
                    <w:t>0.915</w:t>
                  </w:r>
                  <w:r>
                    <w:rPr>
                      <w:rFonts w:eastAsiaTheme="minorEastAsia"/>
                      <w:color w:val="auto"/>
                      <w:szCs w:val="21"/>
                    </w:rPr>
                    <w:t>m*</w:t>
                  </w:r>
                  <w:r>
                    <w:rPr>
                      <w:rFonts w:hint="eastAsia" w:eastAsiaTheme="minorEastAsia"/>
                      <w:color w:val="auto"/>
                      <w:szCs w:val="21"/>
                    </w:rPr>
                    <w:t>0.915</w:t>
                  </w:r>
                  <w:r>
                    <w:rPr>
                      <w:rFonts w:eastAsiaTheme="minorEastAsia"/>
                      <w:color w:val="auto"/>
                      <w:szCs w:val="21"/>
                    </w:rPr>
                    <w:t>m*2mm</w:t>
                  </w:r>
                </w:p>
              </w:tc>
              <w:tc>
                <w:tcPr>
                  <w:tcW w:w="450" w:type="pct"/>
                  <w:vAlign w:val="center"/>
                </w:tcPr>
                <w:p w14:paraId="3FD74FFF">
                  <w:pPr>
                    <w:widowControl/>
                    <w:adjustRightInd w:val="0"/>
                    <w:snapToGrid w:val="0"/>
                    <w:jc w:val="center"/>
                    <w:rPr>
                      <w:rFonts w:eastAsiaTheme="minorEastAsia"/>
                      <w:color w:val="auto"/>
                      <w:kern w:val="0"/>
                      <w:szCs w:val="21"/>
                    </w:rPr>
                  </w:pPr>
                  <w:r>
                    <w:rPr>
                      <w:rFonts w:hint="eastAsia" w:eastAsiaTheme="minorEastAsia"/>
                      <w:color w:val="auto"/>
                      <w:kern w:val="0"/>
                      <w:szCs w:val="21"/>
                    </w:rPr>
                    <w:t>m</w:t>
                  </w:r>
                  <w:r>
                    <w:rPr>
                      <w:rFonts w:hint="eastAsia" w:eastAsiaTheme="minorEastAsia"/>
                      <w:color w:val="auto"/>
                      <w:kern w:val="0"/>
                      <w:szCs w:val="21"/>
                      <w:vertAlign w:val="superscript"/>
                    </w:rPr>
                    <w:t>3</w:t>
                  </w:r>
                  <w:r>
                    <w:rPr>
                      <w:rFonts w:hint="eastAsia" w:eastAsiaTheme="minorEastAsia"/>
                      <w:color w:val="auto"/>
                      <w:kern w:val="0"/>
                      <w:szCs w:val="21"/>
                    </w:rPr>
                    <w:t>/a</w:t>
                  </w:r>
                </w:p>
              </w:tc>
              <w:tc>
                <w:tcPr>
                  <w:tcW w:w="490" w:type="pct"/>
                  <w:vAlign w:val="center"/>
                </w:tcPr>
                <w:p w14:paraId="0117F14E">
                  <w:pPr>
                    <w:widowControl/>
                    <w:adjustRightInd w:val="0"/>
                    <w:snapToGrid w:val="0"/>
                    <w:jc w:val="center"/>
                    <w:rPr>
                      <w:rFonts w:eastAsiaTheme="minorEastAsia"/>
                      <w:color w:val="auto"/>
                      <w:kern w:val="0"/>
                      <w:szCs w:val="21"/>
                    </w:rPr>
                  </w:pPr>
                  <w:r>
                    <w:rPr>
                      <w:rFonts w:hint="eastAsia" w:eastAsiaTheme="minorEastAsia"/>
                      <w:color w:val="auto"/>
                      <w:kern w:val="0"/>
                      <w:szCs w:val="21"/>
                    </w:rPr>
                    <w:t>13000</w:t>
                  </w:r>
                </w:p>
              </w:tc>
              <w:tc>
                <w:tcPr>
                  <w:tcW w:w="878" w:type="pct"/>
                  <w:vAlign w:val="center"/>
                </w:tcPr>
                <w:p w14:paraId="533CBA54">
                  <w:pPr>
                    <w:widowControl/>
                    <w:adjustRightInd w:val="0"/>
                    <w:snapToGrid w:val="0"/>
                    <w:jc w:val="center"/>
                    <w:rPr>
                      <w:rFonts w:eastAsiaTheme="minorEastAsia"/>
                      <w:color w:val="auto"/>
                      <w:kern w:val="0"/>
                      <w:szCs w:val="21"/>
                    </w:rPr>
                  </w:pPr>
                  <w:r>
                    <w:rPr>
                      <w:color w:val="auto"/>
                      <w:szCs w:val="21"/>
                    </w:rPr>
                    <w:t>原料仓库，堆放</w:t>
                  </w:r>
                </w:p>
              </w:tc>
              <w:tc>
                <w:tcPr>
                  <w:tcW w:w="570" w:type="pct"/>
                  <w:vAlign w:val="center"/>
                </w:tcPr>
                <w:p w14:paraId="79FDE2FF">
                  <w:pPr>
                    <w:widowControl/>
                    <w:adjustRightInd w:val="0"/>
                    <w:snapToGrid w:val="0"/>
                    <w:jc w:val="center"/>
                    <w:rPr>
                      <w:rFonts w:eastAsiaTheme="minorEastAsia"/>
                      <w:color w:val="auto"/>
                      <w:kern w:val="0"/>
                      <w:szCs w:val="21"/>
                    </w:rPr>
                  </w:pPr>
                  <w:r>
                    <w:rPr>
                      <w:rFonts w:eastAsiaTheme="minorEastAsia"/>
                      <w:color w:val="auto"/>
                      <w:kern w:val="0"/>
                      <w:szCs w:val="21"/>
                    </w:rPr>
                    <w:t>外购/汽运</w:t>
                  </w:r>
                </w:p>
              </w:tc>
            </w:tr>
            <w:tr w14:paraId="3C25B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14" w:type="pct"/>
                  <w:vMerge w:val="continue"/>
                  <w:vAlign w:val="center"/>
                </w:tcPr>
                <w:p w14:paraId="6D330702">
                  <w:pPr>
                    <w:widowControl/>
                    <w:adjustRightInd w:val="0"/>
                    <w:snapToGrid w:val="0"/>
                    <w:jc w:val="center"/>
                    <w:rPr>
                      <w:rFonts w:eastAsiaTheme="minorEastAsia"/>
                      <w:color w:val="auto"/>
                      <w:kern w:val="0"/>
                      <w:szCs w:val="21"/>
                    </w:rPr>
                  </w:pPr>
                </w:p>
              </w:tc>
              <w:tc>
                <w:tcPr>
                  <w:tcW w:w="263" w:type="pct"/>
                  <w:vAlign w:val="center"/>
                </w:tcPr>
                <w:p w14:paraId="63AEE9C1">
                  <w:pPr>
                    <w:widowControl/>
                    <w:adjustRightInd w:val="0"/>
                    <w:snapToGrid w:val="0"/>
                    <w:jc w:val="center"/>
                    <w:rPr>
                      <w:rFonts w:hint="eastAsia" w:eastAsiaTheme="minorEastAsia"/>
                      <w:color w:val="auto"/>
                      <w:kern w:val="0"/>
                      <w:szCs w:val="21"/>
                      <w:lang w:eastAsia="zh-CN"/>
                    </w:rPr>
                  </w:pPr>
                  <w:r>
                    <w:rPr>
                      <w:rFonts w:hint="eastAsia" w:eastAsiaTheme="minorEastAsia"/>
                      <w:color w:val="auto"/>
                      <w:kern w:val="0"/>
                      <w:szCs w:val="21"/>
                      <w:lang w:val="en-US" w:eastAsia="zh-CN"/>
                    </w:rPr>
                    <w:t>4</w:t>
                  </w:r>
                </w:p>
              </w:tc>
              <w:tc>
                <w:tcPr>
                  <w:tcW w:w="718" w:type="pct"/>
                  <w:vAlign w:val="center"/>
                </w:tcPr>
                <w:p w14:paraId="0DF3AD3E">
                  <w:pPr>
                    <w:widowControl/>
                    <w:adjustRightInd w:val="0"/>
                    <w:snapToGrid w:val="0"/>
                    <w:jc w:val="center"/>
                    <w:outlineLvl w:val="0"/>
                    <w:rPr>
                      <w:rFonts w:eastAsiaTheme="minorEastAsia"/>
                      <w:color w:val="auto"/>
                      <w:kern w:val="0"/>
                      <w:szCs w:val="21"/>
                    </w:rPr>
                  </w:pPr>
                  <w:bookmarkStart w:id="10" w:name="_Toc27630"/>
                  <w:r>
                    <w:rPr>
                      <w:rFonts w:hint="eastAsia" w:eastAsiaTheme="minorEastAsia"/>
                      <w:color w:val="auto"/>
                      <w:kern w:val="0"/>
                      <w:szCs w:val="21"/>
                    </w:rPr>
                    <w:t>液压油</w:t>
                  </w:r>
                  <w:bookmarkEnd w:id="10"/>
                </w:p>
              </w:tc>
              <w:tc>
                <w:tcPr>
                  <w:tcW w:w="1213" w:type="pct"/>
                  <w:vAlign w:val="center"/>
                </w:tcPr>
                <w:p w14:paraId="55D4305F">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w:t>
                  </w:r>
                </w:p>
              </w:tc>
              <w:tc>
                <w:tcPr>
                  <w:tcW w:w="450" w:type="pct"/>
                  <w:vAlign w:val="center"/>
                </w:tcPr>
                <w:p w14:paraId="243D066C">
                  <w:pPr>
                    <w:widowControl/>
                    <w:adjustRightInd w:val="0"/>
                    <w:snapToGrid w:val="0"/>
                    <w:jc w:val="center"/>
                    <w:rPr>
                      <w:rFonts w:eastAsiaTheme="minorEastAsia"/>
                      <w:color w:val="auto"/>
                      <w:kern w:val="0"/>
                      <w:szCs w:val="21"/>
                    </w:rPr>
                  </w:pPr>
                  <w:r>
                    <w:rPr>
                      <w:rFonts w:hint="eastAsia" w:eastAsiaTheme="minorEastAsia"/>
                      <w:color w:val="auto"/>
                      <w:kern w:val="0"/>
                      <w:szCs w:val="21"/>
                    </w:rPr>
                    <w:t>t/a</w:t>
                  </w:r>
                </w:p>
              </w:tc>
              <w:tc>
                <w:tcPr>
                  <w:tcW w:w="490" w:type="pct"/>
                  <w:vAlign w:val="center"/>
                </w:tcPr>
                <w:p w14:paraId="06A3CEC8">
                  <w:pPr>
                    <w:widowControl/>
                    <w:adjustRightInd w:val="0"/>
                    <w:snapToGrid w:val="0"/>
                    <w:jc w:val="center"/>
                    <w:rPr>
                      <w:rFonts w:eastAsiaTheme="minorEastAsia"/>
                      <w:color w:val="auto"/>
                      <w:kern w:val="0"/>
                      <w:szCs w:val="21"/>
                    </w:rPr>
                  </w:pPr>
                  <w:r>
                    <w:rPr>
                      <w:rFonts w:hint="eastAsia" w:eastAsiaTheme="minorEastAsia"/>
                      <w:color w:val="auto"/>
                      <w:kern w:val="0"/>
                      <w:szCs w:val="21"/>
                    </w:rPr>
                    <w:t>0.1</w:t>
                  </w:r>
                </w:p>
              </w:tc>
              <w:tc>
                <w:tcPr>
                  <w:tcW w:w="878" w:type="pct"/>
                  <w:vAlign w:val="center"/>
                </w:tcPr>
                <w:p w14:paraId="47DCC0F7">
                  <w:pPr>
                    <w:widowControl/>
                    <w:adjustRightInd w:val="0"/>
                    <w:snapToGrid w:val="0"/>
                    <w:jc w:val="center"/>
                    <w:rPr>
                      <w:rFonts w:eastAsiaTheme="minorEastAsia"/>
                      <w:color w:val="auto"/>
                      <w:kern w:val="0"/>
                      <w:szCs w:val="21"/>
                    </w:rPr>
                  </w:pPr>
                  <w:r>
                    <w:rPr>
                      <w:rFonts w:hint="eastAsia" w:eastAsiaTheme="minorEastAsia"/>
                      <w:color w:val="auto"/>
                      <w:kern w:val="0"/>
                      <w:szCs w:val="21"/>
                    </w:rPr>
                    <w:t>桶装</w:t>
                  </w:r>
                </w:p>
              </w:tc>
              <w:tc>
                <w:tcPr>
                  <w:tcW w:w="570" w:type="pct"/>
                  <w:vAlign w:val="center"/>
                </w:tcPr>
                <w:p w14:paraId="565FA420">
                  <w:pPr>
                    <w:widowControl/>
                    <w:adjustRightInd w:val="0"/>
                    <w:snapToGrid w:val="0"/>
                    <w:jc w:val="center"/>
                    <w:rPr>
                      <w:rFonts w:eastAsiaTheme="minorEastAsia"/>
                      <w:color w:val="auto"/>
                      <w:kern w:val="0"/>
                      <w:szCs w:val="21"/>
                    </w:rPr>
                  </w:pPr>
                  <w:r>
                    <w:rPr>
                      <w:rFonts w:eastAsiaTheme="minorEastAsia"/>
                      <w:color w:val="auto"/>
                      <w:kern w:val="0"/>
                      <w:szCs w:val="21"/>
                    </w:rPr>
                    <w:t>外购/汽运</w:t>
                  </w:r>
                </w:p>
              </w:tc>
            </w:tr>
            <w:tr w14:paraId="3A4A0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14" w:type="pct"/>
                  <w:vMerge w:val="continue"/>
                  <w:vAlign w:val="center"/>
                </w:tcPr>
                <w:p w14:paraId="1B996582">
                  <w:pPr>
                    <w:widowControl/>
                    <w:adjustRightInd w:val="0"/>
                    <w:snapToGrid w:val="0"/>
                    <w:jc w:val="center"/>
                    <w:rPr>
                      <w:rFonts w:eastAsiaTheme="minorEastAsia"/>
                      <w:color w:val="auto"/>
                      <w:kern w:val="0"/>
                      <w:szCs w:val="21"/>
                    </w:rPr>
                  </w:pPr>
                </w:p>
              </w:tc>
              <w:tc>
                <w:tcPr>
                  <w:tcW w:w="263" w:type="pct"/>
                  <w:vAlign w:val="center"/>
                </w:tcPr>
                <w:p w14:paraId="2FE048CE">
                  <w:pPr>
                    <w:widowControl/>
                    <w:adjustRightInd w:val="0"/>
                    <w:snapToGrid w:val="0"/>
                    <w:jc w:val="center"/>
                    <w:rPr>
                      <w:rFonts w:hint="eastAsia" w:eastAsiaTheme="minorEastAsia"/>
                      <w:color w:val="auto"/>
                      <w:kern w:val="0"/>
                      <w:szCs w:val="21"/>
                      <w:lang w:eastAsia="zh-CN"/>
                    </w:rPr>
                  </w:pPr>
                  <w:r>
                    <w:rPr>
                      <w:rFonts w:hint="eastAsia" w:eastAsiaTheme="minorEastAsia"/>
                      <w:color w:val="auto"/>
                      <w:kern w:val="0"/>
                      <w:szCs w:val="21"/>
                      <w:lang w:val="en-US" w:eastAsia="zh-CN"/>
                    </w:rPr>
                    <w:t>5</w:t>
                  </w:r>
                </w:p>
              </w:tc>
              <w:tc>
                <w:tcPr>
                  <w:tcW w:w="718" w:type="pct"/>
                  <w:vAlign w:val="center"/>
                </w:tcPr>
                <w:p w14:paraId="0F4499E5">
                  <w:pPr>
                    <w:widowControl/>
                    <w:adjustRightInd w:val="0"/>
                    <w:snapToGrid w:val="0"/>
                    <w:jc w:val="center"/>
                    <w:outlineLvl w:val="0"/>
                    <w:rPr>
                      <w:rFonts w:eastAsiaTheme="minorEastAsia"/>
                      <w:color w:val="auto"/>
                      <w:kern w:val="0"/>
                      <w:szCs w:val="21"/>
                    </w:rPr>
                  </w:pPr>
                  <w:bookmarkStart w:id="11" w:name="_Toc24125"/>
                  <w:r>
                    <w:rPr>
                      <w:rFonts w:hint="eastAsia" w:eastAsiaTheme="minorEastAsia"/>
                      <w:color w:val="auto"/>
                      <w:kern w:val="0"/>
                      <w:szCs w:val="21"/>
                    </w:rPr>
                    <w:t>砂轮片</w:t>
                  </w:r>
                  <w:bookmarkEnd w:id="11"/>
                </w:p>
              </w:tc>
              <w:tc>
                <w:tcPr>
                  <w:tcW w:w="1213" w:type="pct"/>
                  <w:vAlign w:val="center"/>
                </w:tcPr>
                <w:p w14:paraId="7FDBF380">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w:t>
                  </w:r>
                </w:p>
              </w:tc>
              <w:tc>
                <w:tcPr>
                  <w:tcW w:w="450" w:type="pct"/>
                  <w:vAlign w:val="center"/>
                </w:tcPr>
                <w:p w14:paraId="6242D484">
                  <w:pPr>
                    <w:widowControl/>
                    <w:adjustRightInd w:val="0"/>
                    <w:snapToGrid w:val="0"/>
                    <w:jc w:val="center"/>
                    <w:rPr>
                      <w:rFonts w:eastAsiaTheme="minorEastAsia"/>
                      <w:color w:val="auto"/>
                      <w:kern w:val="0"/>
                      <w:szCs w:val="21"/>
                    </w:rPr>
                  </w:pPr>
                  <w:r>
                    <w:rPr>
                      <w:rFonts w:hint="eastAsia" w:eastAsiaTheme="minorEastAsia"/>
                      <w:color w:val="auto"/>
                      <w:kern w:val="0"/>
                      <w:szCs w:val="21"/>
                    </w:rPr>
                    <w:t>t/a</w:t>
                  </w:r>
                </w:p>
              </w:tc>
              <w:tc>
                <w:tcPr>
                  <w:tcW w:w="490" w:type="pct"/>
                  <w:vAlign w:val="center"/>
                </w:tcPr>
                <w:p w14:paraId="3BD9E9BA">
                  <w:pPr>
                    <w:widowControl/>
                    <w:adjustRightInd w:val="0"/>
                    <w:snapToGrid w:val="0"/>
                    <w:jc w:val="center"/>
                    <w:rPr>
                      <w:rFonts w:eastAsiaTheme="minorEastAsia"/>
                      <w:color w:val="auto"/>
                      <w:kern w:val="0"/>
                      <w:szCs w:val="21"/>
                    </w:rPr>
                  </w:pPr>
                  <w:r>
                    <w:rPr>
                      <w:rFonts w:hint="eastAsia" w:eastAsiaTheme="minorEastAsia"/>
                      <w:color w:val="auto"/>
                      <w:kern w:val="0"/>
                      <w:szCs w:val="21"/>
                    </w:rPr>
                    <w:t>0.1</w:t>
                  </w:r>
                </w:p>
              </w:tc>
              <w:tc>
                <w:tcPr>
                  <w:tcW w:w="878" w:type="pct"/>
                  <w:vAlign w:val="center"/>
                </w:tcPr>
                <w:p w14:paraId="2B25D262">
                  <w:pPr>
                    <w:widowControl/>
                    <w:adjustRightInd w:val="0"/>
                    <w:snapToGrid w:val="0"/>
                    <w:jc w:val="center"/>
                    <w:rPr>
                      <w:rFonts w:eastAsiaTheme="minorEastAsia"/>
                      <w:color w:val="auto"/>
                      <w:kern w:val="0"/>
                      <w:szCs w:val="21"/>
                    </w:rPr>
                  </w:pPr>
                  <w:r>
                    <w:rPr>
                      <w:rFonts w:hint="eastAsia" w:eastAsiaTheme="minorEastAsia"/>
                      <w:color w:val="auto"/>
                      <w:kern w:val="0"/>
                      <w:szCs w:val="21"/>
                    </w:rPr>
                    <w:t>袋装</w:t>
                  </w:r>
                </w:p>
              </w:tc>
              <w:tc>
                <w:tcPr>
                  <w:tcW w:w="570" w:type="pct"/>
                  <w:vAlign w:val="center"/>
                </w:tcPr>
                <w:p w14:paraId="05DE6822">
                  <w:pPr>
                    <w:widowControl/>
                    <w:adjustRightInd w:val="0"/>
                    <w:snapToGrid w:val="0"/>
                    <w:jc w:val="center"/>
                    <w:rPr>
                      <w:rFonts w:eastAsiaTheme="minorEastAsia"/>
                      <w:color w:val="auto"/>
                      <w:kern w:val="0"/>
                      <w:szCs w:val="21"/>
                    </w:rPr>
                  </w:pPr>
                  <w:r>
                    <w:rPr>
                      <w:rFonts w:eastAsiaTheme="minorEastAsia"/>
                      <w:color w:val="auto"/>
                      <w:kern w:val="0"/>
                      <w:szCs w:val="21"/>
                    </w:rPr>
                    <w:t>外购/汽运</w:t>
                  </w:r>
                </w:p>
              </w:tc>
            </w:tr>
            <w:tr w14:paraId="62C7B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78" w:type="pct"/>
                  <w:gridSpan w:val="2"/>
                  <w:vMerge w:val="restart"/>
                  <w:vAlign w:val="center"/>
                </w:tcPr>
                <w:p w14:paraId="1A751D4E">
                  <w:pPr>
                    <w:widowControl/>
                    <w:adjustRightInd w:val="0"/>
                    <w:snapToGrid w:val="0"/>
                    <w:jc w:val="center"/>
                    <w:rPr>
                      <w:rFonts w:eastAsiaTheme="minorEastAsia"/>
                      <w:color w:val="auto"/>
                      <w:kern w:val="0"/>
                      <w:szCs w:val="21"/>
                    </w:rPr>
                  </w:pPr>
                  <w:r>
                    <w:rPr>
                      <w:rFonts w:hint="eastAsia" w:eastAsiaTheme="minorEastAsia"/>
                      <w:color w:val="auto"/>
                      <w:kern w:val="0"/>
                      <w:szCs w:val="21"/>
                    </w:rPr>
                    <w:t>\能源</w:t>
                  </w:r>
                </w:p>
              </w:tc>
              <w:tc>
                <w:tcPr>
                  <w:tcW w:w="718" w:type="pct"/>
                  <w:vAlign w:val="center"/>
                </w:tcPr>
                <w:p w14:paraId="68342167">
                  <w:pPr>
                    <w:widowControl/>
                    <w:adjustRightInd w:val="0"/>
                    <w:snapToGrid w:val="0"/>
                    <w:jc w:val="center"/>
                    <w:outlineLvl w:val="0"/>
                    <w:rPr>
                      <w:rFonts w:eastAsiaTheme="minorEastAsia"/>
                      <w:color w:val="auto"/>
                      <w:kern w:val="0"/>
                      <w:szCs w:val="21"/>
                    </w:rPr>
                  </w:pPr>
                  <w:bookmarkStart w:id="12" w:name="_Toc29879"/>
                  <w:r>
                    <w:rPr>
                      <w:rFonts w:hint="eastAsia" w:eastAsiaTheme="minorEastAsia"/>
                      <w:color w:val="auto"/>
                      <w:kern w:val="0"/>
                      <w:szCs w:val="21"/>
                    </w:rPr>
                    <w:t>水</w:t>
                  </w:r>
                  <w:bookmarkEnd w:id="12"/>
                </w:p>
              </w:tc>
              <w:tc>
                <w:tcPr>
                  <w:tcW w:w="1213" w:type="pct"/>
                  <w:vAlign w:val="center"/>
                </w:tcPr>
                <w:p w14:paraId="6738C6CA">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w:t>
                  </w:r>
                </w:p>
              </w:tc>
              <w:tc>
                <w:tcPr>
                  <w:tcW w:w="450" w:type="pct"/>
                  <w:vAlign w:val="center"/>
                </w:tcPr>
                <w:p w14:paraId="6BD0586D">
                  <w:pPr>
                    <w:widowControl/>
                    <w:adjustRightInd w:val="0"/>
                    <w:snapToGrid w:val="0"/>
                    <w:jc w:val="center"/>
                    <w:rPr>
                      <w:rFonts w:eastAsiaTheme="minorEastAsia"/>
                      <w:color w:val="auto"/>
                      <w:kern w:val="0"/>
                      <w:szCs w:val="21"/>
                    </w:rPr>
                  </w:pPr>
                  <w:r>
                    <w:rPr>
                      <w:rFonts w:hint="eastAsia"/>
                      <w:color w:val="auto"/>
                      <w:szCs w:val="21"/>
                    </w:rPr>
                    <w:t>m</w:t>
                  </w:r>
                  <w:r>
                    <w:rPr>
                      <w:rFonts w:hint="eastAsia"/>
                      <w:color w:val="auto"/>
                      <w:szCs w:val="21"/>
                      <w:vertAlign w:val="superscript"/>
                    </w:rPr>
                    <w:t>3</w:t>
                  </w:r>
                  <w:r>
                    <w:rPr>
                      <w:rFonts w:hint="eastAsia"/>
                      <w:color w:val="auto"/>
                      <w:szCs w:val="21"/>
                    </w:rPr>
                    <w:t>/a</w:t>
                  </w:r>
                </w:p>
              </w:tc>
              <w:tc>
                <w:tcPr>
                  <w:tcW w:w="490" w:type="pct"/>
                  <w:vAlign w:val="center"/>
                </w:tcPr>
                <w:p w14:paraId="686220FB">
                  <w:pPr>
                    <w:widowControl/>
                    <w:adjustRightInd w:val="0"/>
                    <w:snapToGrid w:val="0"/>
                    <w:jc w:val="center"/>
                    <w:rPr>
                      <w:rFonts w:eastAsiaTheme="minorEastAsia"/>
                      <w:color w:val="auto"/>
                      <w:kern w:val="0"/>
                      <w:szCs w:val="21"/>
                    </w:rPr>
                  </w:pPr>
                  <w:r>
                    <w:rPr>
                      <w:rFonts w:hint="eastAsia" w:eastAsiaTheme="minorEastAsia"/>
                      <w:color w:val="auto"/>
                      <w:kern w:val="0"/>
                      <w:szCs w:val="21"/>
                    </w:rPr>
                    <w:t>636.5</w:t>
                  </w:r>
                </w:p>
              </w:tc>
              <w:tc>
                <w:tcPr>
                  <w:tcW w:w="878" w:type="pct"/>
                  <w:vAlign w:val="center"/>
                </w:tcPr>
                <w:p w14:paraId="083CB057">
                  <w:pPr>
                    <w:widowControl/>
                    <w:adjustRightInd w:val="0"/>
                    <w:snapToGrid w:val="0"/>
                    <w:jc w:val="center"/>
                    <w:rPr>
                      <w:rFonts w:eastAsiaTheme="minorEastAsia"/>
                      <w:color w:val="auto"/>
                      <w:kern w:val="0"/>
                      <w:szCs w:val="21"/>
                    </w:rPr>
                  </w:pPr>
                  <w:r>
                    <w:rPr>
                      <w:rFonts w:hint="eastAsia" w:eastAsiaTheme="minorEastAsia"/>
                      <w:color w:val="auto"/>
                      <w:kern w:val="0"/>
                      <w:szCs w:val="21"/>
                    </w:rPr>
                    <w:t>/</w:t>
                  </w:r>
                </w:p>
              </w:tc>
              <w:tc>
                <w:tcPr>
                  <w:tcW w:w="570" w:type="pct"/>
                  <w:vMerge w:val="restart"/>
                  <w:vAlign w:val="center"/>
                </w:tcPr>
                <w:p w14:paraId="24DC5748">
                  <w:pPr>
                    <w:widowControl/>
                    <w:adjustRightInd w:val="0"/>
                    <w:snapToGrid w:val="0"/>
                    <w:jc w:val="center"/>
                    <w:rPr>
                      <w:rFonts w:eastAsiaTheme="minorEastAsia"/>
                      <w:color w:val="auto"/>
                      <w:kern w:val="0"/>
                      <w:szCs w:val="21"/>
                    </w:rPr>
                  </w:pPr>
                  <w:r>
                    <w:rPr>
                      <w:rFonts w:eastAsiaTheme="minorEastAsia"/>
                      <w:color w:val="auto"/>
                      <w:kern w:val="0"/>
                      <w:szCs w:val="21"/>
                    </w:rPr>
                    <w:t>市政供应</w:t>
                  </w:r>
                </w:p>
              </w:tc>
            </w:tr>
            <w:tr w14:paraId="4EB71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78" w:type="pct"/>
                  <w:gridSpan w:val="2"/>
                  <w:vMerge w:val="continue"/>
                  <w:vAlign w:val="center"/>
                </w:tcPr>
                <w:p w14:paraId="22EC002D">
                  <w:pPr>
                    <w:widowControl/>
                    <w:adjustRightInd w:val="0"/>
                    <w:snapToGrid w:val="0"/>
                    <w:jc w:val="center"/>
                    <w:rPr>
                      <w:rFonts w:eastAsiaTheme="minorEastAsia"/>
                      <w:b/>
                      <w:bCs/>
                      <w:color w:val="auto"/>
                      <w:kern w:val="0"/>
                      <w:szCs w:val="21"/>
                    </w:rPr>
                  </w:pPr>
                </w:p>
              </w:tc>
              <w:tc>
                <w:tcPr>
                  <w:tcW w:w="718" w:type="pct"/>
                  <w:vAlign w:val="center"/>
                </w:tcPr>
                <w:p w14:paraId="37173FA9">
                  <w:pPr>
                    <w:widowControl/>
                    <w:adjustRightInd w:val="0"/>
                    <w:snapToGrid w:val="0"/>
                    <w:jc w:val="center"/>
                    <w:outlineLvl w:val="0"/>
                    <w:rPr>
                      <w:rFonts w:eastAsiaTheme="minorEastAsia"/>
                      <w:color w:val="auto"/>
                      <w:kern w:val="0"/>
                      <w:szCs w:val="21"/>
                    </w:rPr>
                  </w:pPr>
                  <w:bookmarkStart w:id="13" w:name="_Toc31046"/>
                  <w:r>
                    <w:rPr>
                      <w:rFonts w:hint="eastAsia" w:eastAsiaTheme="minorEastAsia"/>
                      <w:color w:val="auto"/>
                      <w:kern w:val="0"/>
                      <w:szCs w:val="21"/>
                    </w:rPr>
                    <w:t>电</w:t>
                  </w:r>
                  <w:bookmarkEnd w:id="13"/>
                </w:p>
              </w:tc>
              <w:tc>
                <w:tcPr>
                  <w:tcW w:w="1213" w:type="pct"/>
                  <w:vAlign w:val="center"/>
                </w:tcPr>
                <w:p w14:paraId="6712153C">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w:t>
                  </w:r>
                </w:p>
              </w:tc>
              <w:tc>
                <w:tcPr>
                  <w:tcW w:w="450" w:type="pct"/>
                  <w:vAlign w:val="center"/>
                </w:tcPr>
                <w:p w14:paraId="391D24B3">
                  <w:pPr>
                    <w:widowControl/>
                    <w:adjustRightInd w:val="0"/>
                    <w:snapToGrid w:val="0"/>
                    <w:jc w:val="center"/>
                    <w:rPr>
                      <w:color w:val="auto"/>
                      <w:kern w:val="0"/>
                      <w:szCs w:val="21"/>
                    </w:rPr>
                  </w:pPr>
                  <w:r>
                    <w:rPr>
                      <w:rFonts w:hint="eastAsia"/>
                      <w:color w:val="auto"/>
                      <w:szCs w:val="21"/>
                    </w:rPr>
                    <w:t>万kW</w:t>
                  </w:r>
                  <w:r>
                    <w:rPr>
                      <w:color w:val="auto"/>
                      <w:szCs w:val="21"/>
                    </w:rPr>
                    <w:t>h</w:t>
                  </w:r>
                  <w:r>
                    <w:rPr>
                      <w:rFonts w:hint="eastAsia"/>
                      <w:color w:val="auto"/>
                      <w:szCs w:val="21"/>
                    </w:rPr>
                    <w:t>/a</w:t>
                  </w:r>
                </w:p>
              </w:tc>
              <w:tc>
                <w:tcPr>
                  <w:tcW w:w="490" w:type="pct"/>
                  <w:vAlign w:val="center"/>
                </w:tcPr>
                <w:p w14:paraId="2FD9B18F">
                  <w:pPr>
                    <w:widowControl/>
                    <w:adjustRightInd w:val="0"/>
                    <w:snapToGrid w:val="0"/>
                    <w:jc w:val="center"/>
                    <w:rPr>
                      <w:rFonts w:eastAsiaTheme="minorEastAsia"/>
                      <w:color w:val="auto"/>
                      <w:kern w:val="0"/>
                      <w:szCs w:val="21"/>
                    </w:rPr>
                  </w:pPr>
                  <w:r>
                    <w:rPr>
                      <w:rFonts w:hint="eastAsia" w:eastAsiaTheme="minorEastAsia"/>
                      <w:color w:val="auto"/>
                      <w:kern w:val="0"/>
                      <w:szCs w:val="21"/>
                    </w:rPr>
                    <w:t>50</w:t>
                  </w:r>
                </w:p>
              </w:tc>
              <w:tc>
                <w:tcPr>
                  <w:tcW w:w="878" w:type="pct"/>
                  <w:vAlign w:val="center"/>
                </w:tcPr>
                <w:p w14:paraId="282ED8C7">
                  <w:pPr>
                    <w:widowControl/>
                    <w:adjustRightInd w:val="0"/>
                    <w:snapToGrid w:val="0"/>
                    <w:jc w:val="center"/>
                    <w:rPr>
                      <w:rFonts w:eastAsiaTheme="minorEastAsia"/>
                      <w:color w:val="auto"/>
                      <w:kern w:val="0"/>
                      <w:szCs w:val="21"/>
                    </w:rPr>
                  </w:pPr>
                  <w:r>
                    <w:rPr>
                      <w:rFonts w:hint="eastAsia" w:eastAsiaTheme="minorEastAsia"/>
                      <w:color w:val="auto"/>
                      <w:kern w:val="0"/>
                      <w:szCs w:val="21"/>
                    </w:rPr>
                    <w:t>/</w:t>
                  </w:r>
                </w:p>
              </w:tc>
              <w:tc>
                <w:tcPr>
                  <w:tcW w:w="570" w:type="pct"/>
                  <w:vMerge w:val="continue"/>
                  <w:vAlign w:val="center"/>
                </w:tcPr>
                <w:p w14:paraId="71E73D2C">
                  <w:pPr>
                    <w:widowControl/>
                    <w:adjustRightInd w:val="0"/>
                    <w:snapToGrid w:val="0"/>
                    <w:jc w:val="center"/>
                    <w:rPr>
                      <w:rFonts w:eastAsiaTheme="minorEastAsia"/>
                      <w:color w:val="auto"/>
                      <w:kern w:val="0"/>
                      <w:szCs w:val="21"/>
                    </w:rPr>
                  </w:pPr>
                </w:p>
              </w:tc>
            </w:tr>
            <w:tr w14:paraId="0E50C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78" w:type="pct"/>
                  <w:gridSpan w:val="2"/>
                  <w:vMerge w:val="continue"/>
                  <w:vAlign w:val="center"/>
                </w:tcPr>
                <w:p w14:paraId="039B7B54">
                  <w:pPr>
                    <w:widowControl/>
                    <w:adjustRightInd w:val="0"/>
                    <w:snapToGrid w:val="0"/>
                    <w:jc w:val="center"/>
                    <w:rPr>
                      <w:rFonts w:eastAsiaTheme="minorEastAsia"/>
                      <w:b/>
                      <w:bCs/>
                      <w:color w:val="auto"/>
                      <w:kern w:val="0"/>
                      <w:szCs w:val="21"/>
                    </w:rPr>
                  </w:pPr>
                </w:p>
              </w:tc>
              <w:tc>
                <w:tcPr>
                  <w:tcW w:w="718" w:type="pct"/>
                  <w:vAlign w:val="center"/>
                </w:tcPr>
                <w:p w14:paraId="367A5DC5">
                  <w:pPr>
                    <w:widowControl/>
                    <w:adjustRightInd w:val="0"/>
                    <w:snapToGrid w:val="0"/>
                    <w:jc w:val="center"/>
                    <w:outlineLvl w:val="0"/>
                    <w:rPr>
                      <w:rFonts w:hint="default" w:eastAsiaTheme="minorEastAsia"/>
                      <w:color w:val="auto"/>
                      <w:kern w:val="0"/>
                      <w:szCs w:val="21"/>
                      <w:lang w:val="en-US" w:eastAsia="zh-CN"/>
                    </w:rPr>
                  </w:pPr>
                  <w:bookmarkStart w:id="14" w:name="_Toc8979"/>
                  <w:r>
                    <w:rPr>
                      <w:rFonts w:hint="eastAsia" w:eastAsiaTheme="minorEastAsia"/>
                      <w:color w:val="auto"/>
                      <w:kern w:val="0"/>
                      <w:szCs w:val="21"/>
                      <w:lang w:val="en-US" w:eastAsia="zh-CN"/>
                    </w:rPr>
                    <w:t>热</w:t>
                  </w:r>
                  <w:bookmarkEnd w:id="14"/>
                </w:p>
              </w:tc>
              <w:tc>
                <w:tcPr>
                  <w:tcW w:w="1213" w:type="pct"/>
                  <w:vAlign w:val="center"/>
                </w:tcPr>
                <w:p w14:paraId="7764D298">
                  <w:pPr>
                    <w:widowControl/>
                    <w:adjustRightInd w:val="0"/>
                    <w:snapToGrid w:val="0"/>
                    <w:jc w:val="center"/>
                    <w:rPr>
                      <w:rFonts w:hint="eastAsia" w:eastAsiaTheme="minorEastAsia"/>
                      <w:b/>
                      <w:bCs/>
                      <w:color w:val="auto"/>
                      <w:kern w:val="0"/>
                      <w:szCs w:val="21"/>
                      <w:lang w:val="en-US" w:eastAsia="zh-CN"/>
                    </w:rPr>
                  </w:pPr>
                  <w:r>
                    <w:rPr>
                      <w:rFonts w:hint="eastAsia" w:eastAsiaTheme="minorEastAsia"/>
                      <w:color w:val="auto"/>
                      <w:kern w:val="0"/>
                      <w:szCs w:val="21"/>
                      <w:lang w:val="en-US" w:eastAsia="zh-CN"/>
                    </w:rPr>
                    <w:t>蒸汽</w:t>
                  </w:r>
                </w:p>
              </w:tc>
              <w:tc>
                <w:tcPr>
                  <w:tcW w:w="450" w:type="pct"/>
                  <w:vAlign w:val="center"/>
                </w:tcPr>
                <w:p w14:paraId="39751FAB">
                  <w:pPr>
                    <w:widowControl/>
                    <w:adjustRightInd w:val="0"/>
                    <w:snapToGrid w:val="0"/>
                    <w:jc w:val="center"/>
                    <w:rPr>
                      <w:rFonts w:eastAsiaTheme="minorEastAsia"/>
                      <w:color w:val="auto"/>
                      <w:kern w:val="0"/>
                      <w:szCs w:val="21"/>
                    </w:rPr>
                  </w:pPr>
                  <w:r>
                    <w:rPr>
                      <w:rFonts w:hint="eastAsia" w:eastAsiaTheme="minorEastAsia"/>
                      <w:color w:val="auto"/>
                      <w:kern w:val="0"/>
                      <w:szCs w:val="21"/>
                      <w:lang w:val="en-US" w:eastAsia="zh-CN"/>
                    </w:rPr>
                    <w:t>m</w:t>
                  </w:r>
                  <w:r>
                    <w:rPr>
                      <w:rFonts w:hint="eastAsia" w:eastAsiaTheme="minorEastAsia"/>
                      <w:color w:val="auto"/>
                      <w:kern w:val="0"/>
                      <w:szCs w:val="21"/>
                      <w:vertAlign w:val="superscript"/>
                      <w:lang w:val="en-US" w:eastAsia="zh-CN"/>
                    </w:rPr>
                    <w:t>3</w:t>
                  </w:r>
                  <w:r>
                    <w:rPr>
                      <w:rFonts w:hint="eastAsia" w:eastAsiaTheme="minorEastAsia"/>
                      <w:color w:val="auto"/>
                      <w:kern w:val="0"/>
                      <w:szCs w:val="21"/>
                    </w:rPr>
                    <w:t>/a</w:t>
                  </w:r>
                </w:p>
              </w:tc>
              <w:tc>
                <w:tcPr>
                  <w:tcW w:w="490" w:type="pct"/>
                  <w:vAlign w:val="center"/>
                </w:tcPr>
                <w:p w14:paraId="127D83FE">
                  <w:pPr>
                    <w:widowControl/>
                    <w:adjustRightInd w:val="0"/>
                    <w:snapToGrid w:val="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500</w:t>
                  </w:r>
                </w:p>
              </w:tc>
              <w:tc>
                <w:tcPr>
                  <w:tcW w:w="878" w:type="pct"/>
                  <w:vAlign w:val="center"/>
                </w:tcPr>
                <w:p w14:paraId="34DD28C4">
                  <w:pPr>
                    <w:widowControl/>
                    <w:adjustRightInd w:val="0"/>
                    <w:snapToGrid w:val="0"/>
                    <w:jc w:val="center"/>
                    <w:rPr>
                      <w:rFonts w:eastAsiaTheme="minorEastAsia"/>
                      <w:color w:val="auto"/>
                      <w:kern w:val="0"/>
                      <w:szCs w:val="21"/>
                    </w:rPr>
                  </w:pPr>
                  <w:r>
                    <w:rPr>
                      <w:rFonts w:hint="eastAsia" w:eastAsiaTheme="minorEastAsia"/>
                      <w:color w:val="auto"/>
                      <w:kern w:val="0"/>
                      <w:szCs w:val="21"/>
                    </w:rPr>
                    <w:t>/</w:t>
                  </w:r>
                </w:p>
              </w:tc>
              <w:tc>
                <w:tcPr>
                  <w:tcW w:w="570" w:type="pct"/>
                  <w:vAlign w:val="center"/>
                </w:tcPr>
                <w:p w14:paraId="08D273C5">
                  <w:pPr>
                    <w:widowControl/>
                    <w:adjustRightInd w:val="0"/>
                    <w:snapToGrid w:val="0"/>
                    <w:jc w:val="center"/>
                    <w:rPr>
                      <w:rFonts w:hint="eastAsia" w:eastAsiaTheme="minorEastAsia"/>
                      <w:color w:val="auto"/>
                      <w:kern w:val="0"/>
                      <w:szCs w:val="21"/>
                      <w:lang w:eastAsia="zh-CN"/>
                    </w:rPr>
                  </w:pPr>
                  <w:r>
                    <w:rPr>
                      <w:rFonts w:hint="eastAsia" w:eastAsiaTheme="minorEastAsia"/>
                      <w:color w:val="auto"/>
                      <w:kern w:val="0"/>
                      <w:szCs w:val="21"/>
                      <w:lang w:eastAsia="zh-CN"/>
                    </w:rPr>
                    <w:t>管道</w:t>
                  </w:r>
                </w:p>
              </w:tc>
            </w:tr>
          </w:tbl>
          <w:p w14:paraId="4D13B50D">
            <w:pPr>
              <w:autoSpaceDE w:val="0"/>
              <w:autoSpaceDN w:val="0"/>
              <w:adjustRightInd w:val="0"/>
              <w:snapToGrid w:val="0"/>
              <w:spacing w:before="120" w:beforeLines="50"/>
              <w:jc w:val="center"/>
              <w:rPr>
                <w:rFonts w:eastAsiaTheme="minorEastAsia"/>
                <w:b/>
                <w:color w:val="auto"/>
                <w:kern w:val="0"/>
                <w:sz w:val="24"/>
              </w:rPr>
            </w:pPr>
            <w:r>
              <w:rPr>
                <w:rFonts w:eastAsiaTheme="minorEastAsia"/>
                <w:b/>
                <w:color w:val="auto"/>
                <w:kern w:val="0"/>
                <w:sz w:val="24"/>
              </w:rPr>
              <w:t xml:space="preserve">表2.1-5  </w:t>
            </w:r>
            <w:r>
              <w:rPr>
                <w:rFonts w:hint="eastAsia" w:eastAsiaTheme="minorEastAsia"/>
                <w:b/>
                <w:color w:val="auto"/>
                <w:kern w:val="0"/>
                <w:sz w:val="24"/>
              </w:rPr>
              <w:t>建设</w:t>
            </w:r>
            <w:r>
              <w:rPr>
                <w:rFonts w:eastAsiaTheme="minorEastAsia"/>
                <w:b/>
                <w:color w:val="auto"/>
                <w:kern w:val="0"/>
                <w:sz w:val="24"/>
              </w:rPr>
              <w:t>项目主要原辅材料理化性质一览表</w:t>
            </w:r>
          </w:p>
          <w:tbl>
            <w:tblPr>
              <w:tblStyle w:val="42"/>
              <w:tblW w:w="49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01"/>
              <w:gridCol w:w="3715"/>
              <w:gridCol w:w="1364"/>
              <w:gridCol w:w="1906"/>
            </w:tblGrid>
            <w:tr w14:paraId="48AEA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dxa"/>
                  <w:tcBorders>
                    <w:top w:val="single" w:color="auto" w:sz="12" w:space="0"/>
                  </w:tcBorders>
                  <w:vAlign w:val="center"/>
                </w:tcPr>
                <w:p w14:paraId="2B557EF7">
                  <w:pPr>
                    <w:adjustRightInd w:val="0"/>
                    <w:snapToGrid w:val="0"/>
                    <w:jc w:val="center"/>
                    <w:rPr>
                      <w:b/>
                      <w:bCs/>
                      <w:color w:val="auto"/>
                      <w:szCs w:val="21"/>
                    </w:rPr>
                  </w:pPr>
                  <w:r>
                    <w:rPr>
                      <w:b/>
                      <w:bCs/>
                      <w:color w:val="auto"/>
                      <w:szCs w:val="21"/>
                    </w:rPr>
                    <w:t>序号</w:t>
                  </w:r>
                </w:p>
              </w:tc>
              <w:tc>
                <w:tcPr>
                  <w:tcW w:w="902" w:type="dxa"/>
                  <w:tcBorders>
                    <w:top w:val="single" w:color="auto" w:sz="12" w:space="0"/>
                  </w:tcBorders>
                  <w:vAlign w:val="center"/>
                </w:tcPr>
                <w:p w14:paraId="121731CC">
                  <w:pPr>
                    <w:adjustRightInd w:val="0"/>
                    <w:snapToGrid w:val="0"/>
                    <w:jc w:val="center"/>
                    <w:rPr>
                      <w:b/>
                      <w:bCs/>
                      <w:color w:val="auto"/>
                      <w:szCs w:val="21"/>
                    </w:rPr>
                  </w:pPr>
                  <w:r>
                    <w:rPr>
                      <w:b/>
                      <w:bCs/>
                      <w:color w:val="auto"/>
                      <w:szCs w:val="21"/>
                    </w:rPr>
                    <w:t>名称</w:t>
                  </w:r>
                </w:p>
              </w:tc>
              <w:tc>
                <w:tcPr>
                  <w:tcW w:w="3718" w:type="dxa"/>
                  <w:tcBorders>
                    <w:top w:val="single" w:color="auto" w:sz="12" w:space="0"/>
                  </w:tcBorders>
                  <w:vAlign w:val="center"/>
                </w:tcPr>
                <w:p w14:paraId="6B633340">
                  <w:pPr>
                    <w:adjustRightInd w:val="0"/>
                    <w:snapToGrid w:val="0"/>
                    <w:jc w:val="center"/>
                    <w:rPr>
                      <w:b/>
                      <w:bCs/>
                      <w:color w:val="auto"/>
                      <w:szCs w:val="21"/>
                    </w:rPr>
                  </w:pPr>
                  <w:r>
                    <w:rPr>
                      <w:b/>
                      <w:bCs/>
                      <w:color w:val="auto"/>
                      <w:szCs w:val="21"/>
                    </w:rPr>
                    <w:t>理化性质</w:t>
                  </w:r>
                </w:p>
              </w:tc>
              <w:tc>
                <w:tcPr>
                  <w:tcW w:w="1364" w:type="dxa"/>
                  <w:tcBorders>
                    <w:top w:val="single" w:color="auto" w:sz="12" w:space="0"/>
                  </w:tcBorders>
                  <w:vAlign w:val="center"/>
                </w:tcPr>
                <w:p w14:paraId="15714437">
                  <w:pPr>
                    <w:pStyle w:val="134"/>
                    <w:spacing w:line="240" w:lineRule="exact"/>
                    <w:rPr>
                      <w:rFonts w:eastAsia="宋体"/>
                      <w:b/>
                      <w:bCs/>
                      <w:color w:val="auto"/>
                      <w:sz w:val="21"/>
                      <w:szCs w:val="21"/>
                    </w:rPr>
                  </w:pPr>
                  <w:r>
                    <w:rPr>
                      <w:rFonts w:eastAsia="宋体"/>
                      <w:b/>
                      <w:bCs/>
                      <w:color w:val="auto"/>
                      <w:sz w:val="21"/>
                      <w:szCs w:val="21"/>
                    </w:rPr>
                    <w:t>燃烧爆炸性</w:t>
                  </w:r>
                </w:p>
              </w:tc>
              <w:tc>
                <w:tcPr>
                  <w:tcW w:w="1906" w:type="dxa"/>
                  <w:tcBorders>
                    <w:top w:val="single" w:color="auto" w:sz="12" w:space="0"/>
                  </w:tcBorders>
                  <w:vAlign w:val="center"/>
                </w:tcPr>
                <w:p w14:paraId="71BF0E9B">
                  <w:pPr>
                    <w:pStyle w:val="134"/>
                    <w:spacing w:line="240" w:lineRule="exact"/>
                    <w:rPr>
                      <w:rFonts w:eastAsia="宋体"/>
                      <w:b/>
                      <w:bCs/>
                      <w:color w:val="auto"/>
                      <w:sz w:val="21"/>
                      <w:szCs w:val="21"/>
                    </w:rPr>
                  </w:pPr>
                  <w:r>
                    <w:rPr>
                      <w:rFonts w:eastAsia="宋体"/>
                      <w:b/>
                      <w:bCs/>
                      <w:color w:val="auto"/>
                      <w:sz w:val="21"/>
                      <w:szCs w:val="21"/>
                    </w:rPr>
                    <w:t>毒性毒理</w:t>
                  </w:r>
                </w:p>
              </w:tc>
            </w:tr>
            <w:tr w14:paraId="495B7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46F6563F">
                  <w:pPr>
                    <w:adjustRightInd w:val="0"/>
                    <w:snapToGrid w:val="0"/>
                    <w:jc w:val="center"/>
                    <w:outlineLvl w:val="0"/>
                    <w:rPr>
                      <w:color w:val="auto"/>
                      <w:szCs w:val="21"/>
                    </w:rPr>
                  </w:pPr>
                  <w:bookmarkStart w:id="15" w:name="_Toc32608"/>
                  <w:bookmarkStart w:id="16" w:name="_Toc4336"/>
                  <w:r>
                    <w:rPr>
                      <w:color w:val="auto"/>
                      <w:szCs w:val="21"/>
                    </w:rPr>
                    <w:t>1</w:t>
                  </w:r>
                  <w:bookmarkEnd w:id="15"/>
                  <w:bookmarkEnd w:id="16"/>
                </w:p>
              </w:tc>
              <w:tc>
                <w:tcPr>
                  <w:tcW w:w="902" w:type="dxa"/>
                  <w:vAlign w:val="center"/>
                </w:tcPr>
                <w:p w14:paraId="197B605B">
                  <w:pPr>
                    <w:widowControl/>
                    <w:jc w:val="center"/>
                    <w:rPr>
                      <w:color w:val="auto"/>
                      <w:szCs w:val="21"/>
                    </w:rPr>
                  </w:pPr>
                  <w:r>
                    <w:rPr>
                      <w:rFonts w:eastAsiaTheme="minorEastAsia"/>
                      <w:color w:val="auto"/>
                      <w:szCs w:val="21"/>
                    </w:rPr>
                    <w:t>脲醛</w:t>
                  </w:r>
                  <w:r>
                    <w:rPr>
                      <w:rFonts w:hint="eastAsia" w:eastAsiaTheme="minorEastAsia"/>
                      <w:color w:val="auto"/>
                      <w:kern w:val="0"/>
                      <w:szCs w:val="21"/>
                    </w:rPr>
                    <w:t>环保</w:t>
                  </w:r>
                  <w:r>
                    <w:rPr>
                      <w:rFonts w:eastAsiaTheme="minorEastAsia"/>
                      <w:color w:val="auto"/>
                      <w:szCs w:val="21"/>
                    </w:rPr>
                    <w:t>胶</w:t>
                  </w:r>
                </w:p>
              </w:tc>
              <w:tc>
                <w:tcPr>
                  <w:tcW w:w="3718" w:type="dxa"/>
                  <w:vAlign w:val="center"/>
                </w:tcPr>
                <w:p w14:paraId="6D4D7141">
                  <w:pPr>
                    <w:widowControl/>
                    <w:jc w:val="left"/>
                    <w:rPr>
                      <w:rFonts w:eastAsiaTheme="minorEastAsia"/>
                      <w:color w:val="auto"/>
                      <w:szCs w:val="21"/>
                    </w:rPr>
                  </w:pPr>
                  <w:r>
                    <w:rPr>
                      <w:rFonts w:eastAsiaTheme="minorEastAsia"/>
                      <w:color w:val="auto"/>
                      <w:szCs w:val="21"/>
                    </w:rPr>
                    <w:t>外观性状</w:t>
                  </w:r>
                  <w:r>
                    <w:rPr>
                      <w:rFonts w:hint="eastAsia" w:eastAsiaTheme="minorEastAsia"/>
                      <w:color w:val="auto"/>
                      <w:szCs w:val="21"/>
                    </w:rPr>
                    <w:t>:</w:t>
                  </w:r>
                  <w:r>
                    <w:rPr>
                      <w:rFonts w:eastAsiaTheme="minorEastAsia"/>
                      <w:color w:val="auto"/>
                      <w:szCs w:val="21"/>
                    </w:rPr>
                    <w:t>白色、无杂质均匀液体</w:t>
                  </w:r>
                  <w:r>
                    <w:rPr>
                      <w:rFonts w:hint="eastAsia" w:eastAsiaTheme="minorEastAsia"/>
                      <w:color w:val="auto"/>
                      <w:szCs w:val="21"/>
                    </w:rPr>
                    <w:t>；</w:t>
                  </w:r>
                </w:p>
                <w:p w14:paraId="7C5230B7">
                  <w:pPr>
                    <w:widowControl/>
                    <w:jc w:val="left"/>
                    <w:rPr>
                      <w:rFonts w:eastAsiaTheme="minorEastAsia"/>
                      <w:color w:val="auto"/>
                      <w:szCs w:val="21"/>
                    </w:rPr>
                  </w:pPr>
                  <w:r>
                    <w:rPr>
                      <w:rFonts w:hint="eastAsia" w:eastAsiaTheme="minorEastAsia"/>
                      <w:color w:val="auto"/>
                      <w:szCs w:val="21"/>
                      <w:lang w:eastAsia="zh-CN"/>
                    </w:rPr>
                    <w:t>闪</w:t>
                  </w:r>
                  <w:r>
                    <w:rPr>
                      <w:rFonts w:eastAsiaTheme="minorEastAsia"/>
                      <w:color w:val="auto"/>
                      <w:szCs w:val="21"/>
                    </w:rPr>
                    <w:t>点（℃）</w:t>
                  </w:r>
                  <w:r>
                    <w:rPr>
                      <w:rFonts w:hint="eastAsia" w:eastAsiaTheme="minorEastAsia"/>
                      <w:color w:val="auto"/>
                      <w:szCs w:val="21"/>
                    </w:rPr>
                    <w:t>:</w:t>
                  </w:r>
                  <w:r>
                    <w:rPr>
                      <w:rFonts w:hint="eastAsia" w:eastAsiaTheme="minorEastAsia"/>
                      <w:color w:val="auto"/>
                      <w:szCs w:val="21"/>
                      <w:lang w:val="en-US" w:eastAsia="zh-CN"/>
                    </w:rPr>
                    <w:t>66-98</w:t>
                  </w:r>
                  <w:r>
                    <w:rPr>
                      <w:rFonts w:eastAsiaTheme="minorEastAsia"/>
                      <w:color w:val="auto"/>
                      <w:szCs w:val="21"/>
                    </w:rPr>
                    <w:t>；</w:t>
                  </w:r>
                </w:p>
                <w:p w14:paraId="0595AE51">
                  <w:pPr>
                    <w:widowControl/>
                    <w:jc w:val="left"/>
                    <w:rPr>
                      <w:rFonts w:eastAsiaTheme="minorEastAsia"/>
                      <w:color w:val="auto"/>
                      <w:szCs w:val="21"/>
                    </w:rPr>
                  </w:pPr>
                  <w:r>
                    <w:rPr>
                      <w:rFonts w:eastAsiaTheme="minorEastAsia"/>
                      <w:color w:val="auto"/>
                      <w:szCs w:val="21"/>
                    </w:rPr>
                    <w:t>沸点（℃）</w:t>
                  </w:r>
                  <w:r>
                    <w:rPr>
                      <w:rFonts w:hint="eastAsia" w:eastAsiaTheme="minorEastAsia"/>
                      <w:color w:val="auto"/>
                      <w:szCs w:val="21"/>
                    </w:rPr>
                    <w:t>:</w:t>
                  </w:r>
                  <w:r>
                    <w:rPr>
                      <w:rFonts w:hint="eastAsia" w:eastAsiaTheme="minorEastAsia"/>
                      <w:color w:val="auto"/>
                      <w:szCs w:val="21"/>
                      <w:lang w:val="en-US" w:eastAsia="zh-CN"/>
                    </w:rPr>
                    <w:t>90-96</w:t>
                  </w:r>
                  <w:r>
                    <w:rPr>
                      <w:rFonts w:eastAsiaTheme="minorEastAsia"/>
                      <w:color w:val="auto"/>
                      <w:szCs w:val="21"/>
                    </w:rPr>
                    <w:t>；</w:t>
                  </w:r>
                </w:p>
                <w:p w14:paraId="72EF908F">
                  <w:pPr>
                    <w:widowControl/>
                    <w:jc w:val="left"/>
                    <w:rPr>
                      <w:rFonts w:eastAsiaTheme="minorEastAsia"/>
                      <w:color w:val="auto"/>
                      <w:szCs w:val="21"/>
                    </w:rPr>
                  </w:pPr>
                  <w:r>
                    <w:rPr>
                      <w:rFonts w:eastAsiaTheme="minorEastAsia"/>
                      <w:color w:val="auto"/>
                      <w:szCs w:val="21"/>
                    </w:rPr>
                    <w:t>密度（g/mL）</w:t>
                  </w:r>
                  <w:r>
                    <w:rPr>
                      <w:rFonts w:hint="eastAsia" w:eastAsiaTheme="minorEastAsia"/>
                      <w:color w:val="auto"/>
                      <w:szCs w:val="21"/>
                    </w:rPr>
                    <w:t>:</w:t>
                  </w:r>
                  <w:r>
                    <w:rPr>
                      <w:rFonts w:eastAsiaTheme="minorEastAsia"/>
                      <w:color w:val="auto"/>
                      <w:szCs w:val="21"/>
                    </w:rPr>
                    <w:t>0.84；</w:t>
                  </w:r>
                </w:p>
                <w:p w14:paraId="7DCA5732">
                  <w:pPr>
                    <w:rPr>
                      <w:color w:val="auto"/>
                      <w:szCs w:val="21"/>
                    </w:rPr>
                  </w:pPr>
                  <w:r>
                    <w:rPr>
                      <w:rFonts w:eastAsiaTheme="minorEastAsia"/>
                      <w:color w:val="auto"/>
                      <w:szCs w:val="21"/>
                    </w:rPr>
                    <w:t>溶解性</w:t>
                  </w:r>
                  <w:r>
                    <w:rPr>
                      <w:rFonts w:hint="eastAsia" w:eastAsiaTheme="minorEastAsia"/>
                      <w:color w:val="auto"/>
                      <w:szCs w:val="21"/>
                    </w:rPr>
                    <w:t>:</w:t>
                  </w:r>
                  <w:r>
                    <w:rPr>
                      <w:rFonts w:eastAsiaTheme="minorEastAsia"/>
                      <w:color w:val="auto"/>
                      <w:szCs w:val="21"/>
                    </w:rPr>
                    <w:t>于水。</w:t>
                  </w:r>
                </w:p>
              </w:tc>
              <w:tc>
                <w:tcPr>
                  <w:tcW w:w="1364" w:type="dxa"/>
                  <w:vAlign w:val="center"/>
                </w:tcPr>
                <w:p w14:paraId="200227F6">
                  <w:pPr>
                    <w:widowControl/>
                    <w:jc w:val="center"/>
                    <w:rPr>
                      <w:rFonts w:eastAsiaTheme="minorEastAsia"/>
                      <w:color w:val="auto"/>
                      <w:szCs w:val="21"/>
                    </w:rPr>
                  </w:pPr>
                  <w:r>
                    <w:rPr>
                      <w:rFonts w:eastAsiaTheme="minorEastAsia"/>
                      <w:color w:val="auto"/>
                      <w:szCs w:val="21"/>
                    </w:rPr>
                    <w:t>其蒸气与空气可形成爆炸性混合物</w:t>
                  </w:r>
                </w:p>
              </w:tc>
              <w:tc>
                <w:tcPr>
                  <w:tcW w:w="1906" w:type="dxa"/>
                  <w:vAlign w:val="center"/>
                </w:tcPr>
                <w:p w14:paraId="4DCAB1D7">
                  <w:pPr>
                    <w:widowControl/>
                    <w:jc w:val="left"/>
                    <w:rPr>
                      <w:rFonts w:eastAsiaTheme="minorEastAsia"/>
                      <w:color w:val="auto"/>
                      <w:szCs w:val="21"/>
                    </w:rPr>
                  </w:pPr>
                  <w:r>
                    <w:rPr>
                      <w:rFonts w:eastAsiaTheme="minorEastAsia"/>
                      <w:color w:val="auto"/>
                      <w:szCs w:val="21"/>
                    </w:rPr>
                    <w:t>LD</w:t>
                  </w:r>
                  <w:r>
                    <w:rPr>
                      <w:rFonts w:eastAsiaTheme="minorEastAsia"/>
                      <w:color w:val="auto"/>
                      <w:szCs w:val="21"/>
                      <w:vertAlign w:val="subscript"/>
                    </w:rPr>
                    <w:t>50</w:t>
                  </w:r>
                  <w:r>
                    <w:rPr>
                      <w:rFonts w:eastAsiaTheme="minorEastAsia"/>
                      <w:color w:val="auto"/>
                      <w:szCs w:val="21"/>
                    </w:rPr>
                    <w:t>:800mg/kg(大鼠经口)</w:t>
                  </w:r>
                  <w:r>
                    <w:rPr>
                      <w:rFonts w:hint="eastAsia" w:eastAsiaTheme="minorEastAsia"/>
                      <w:color w:val="auto"/>
                      <w:szCs w:val="21"/>
                    </w:rPr>
                    <w:t>；</w:t>
                  </w:r>
                </w:p>
                <w:p w14:paraId="0E23B266">
                  <w:pPr>
                    <w:widowControl/>
                    <w:jc w:val="left"/>
                    <w:rPr>
                      <w:rFonts w:eastAsiaTheme="minorEastAsia"/>
                      <w:color w:val="auto"/>
                      <w:szCs w:val="21"/>
                    </w:rPr>
                  </w:pPr>
                  <w:r>
                    <w:rPr>
                      <w:rFonts w:eastAsiaTheme="minorEastAsia"/>
                      <w:color w:val="auto"/>
                      <w:szCs w:val="21"/>
                    </w:rPr>
                    <w:t>LC</w:t>
                  </w:r>
                  <w:r>
                    <w:rPr>
                      <w:rFonts w:eastAsiaTheme="minorEastAsia"/>
                      <w:color w:val="auto"/>
                      <w:szCs w:val="21"/>
                      <w:vertAlign w:val="subscript"/>
                    </w:rPr>
                    <w:t>50</w:t>
                  </w:r>
                  <w:r>
                    <w:rPr>
                      <w:rFonts w:eastAsiaTheme="minorEastAsia"/>
                      <w:color w:val="auto"/>
                      <w:szCs w:val="21"/>
                    </w:rPr>
                    <w:t>: 590mg/m</w:t>
                  </w:r>
                  <w:r>
                    <w:rPr>
                      <w:rFonts w:eastAsiaTheme="minorEastAsia"/>
                      <w:color w:val="auto"/>
                      <w:szCs w:val="21"/>
                      <w:vertAlign w:val="superscript"/>
                    </w:rPr>
                    <w:t>3</w:t>
                  </w:r>
                  <w:r>
                    <w:rPr>
                      <w:rFonts w:eastAsiaTheme="minorEastAsia"/>
                      <w:color w:val="auto"/>
                      <w:szCs w:val="21"/>
                    </w:rPr>
                    <w:t>（大鼠吸入）</w:t>
                  </w:r>
                </w:p>
              </w:tc>
            </w:tr>
            <w:tr w14:paraId="46D3E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4354B177">
                  <w:pPr>
                    <w:adjustRightInd w:val="0"/>
                    <w:snapToGrid w:val="0"/>
                    <w:jc w:val="center"/>
                    <w:outlineLvl w:val="0"/>
                    <w:rPr>
                      <w:rFonts w:ascii="Times New Roman" w:hAnsi="Times New Roman" w:eastAsia="宋体" w:cs="Times New Roman"/>
                      <w:color w:val="auto"/>
                      <w:kern w:val="2"/>
                      <w:sz w:val="21"/>
                      <w:szCs w:val="21"/>
                      <w:lang w:val="en-US" w:eastAsia="zh-CN" w:bidi="ar-SA"/>
                    </w:rPr>
                  </w:pPr>
                  <w:bookmarkStart w:id="17" w:name="_Toc4216"/>
                  <w:r>
                    <w:rPr>
                      <w:rFonts w:hint="eastAsia"/>
                      <w:color w:val="auto"/>
                      <w:szCs w:val="21"/>
                    </w:rPr>
                    <w:t>2</w:t>
                  </w:r>
                  <w:bookmarkEnd w:id="17"/>
                </w:p>
              </w:tc>
              <w:tc>
                <w:tcPr>
                  <w:tcW w:w="902" w:type="dxa"/>
                  <w:vAlign w:val="center"/>
                </w:tcPr>
                <w:p w14:paraId="5C599374">
                  <w:pPr>
                    <w:jc w:val="center"/>
                    <w:rPr>
                      <w:rFonts w:ascii="Times New Roman" w:hAnsi="Times New Roman" w:eastAsia="宋体" w:cs="Times New Roman"/>
                      <w:color w:val="auto"/>
                      <w:kern w:val="2"/>
                      <w:sz w:val="21"/>
                      <w:szCs w:val="21"/>
                      <w:lang w:val="en-US" w:eastAsia="zh-CN" w:bidi="ar-SA"/>
                    </w:rPr>
                  </w:pPr>
                  <w:r>
                    <w:rPr>
                      <w:color w:val="auto"/>
                      <w:szCs w:val="21"/>
                    </w:rPr>
                    <w:t>尿素</w:t>
                  </w:r>
                </w:p>
              </w:tc>
              <w:tc>
                <w:tcPr>
                  <w:tcW w:w="3718" w:type="dxa"/>
                  <w:vAlign w:val="center"/>
                </w:tcPr>
                <w:p w14:paraId="3561334B">
                  <w:pPr>
                    <w:jc w:val="center"/>
                    <w:rPr>
                      <w:rFonts w:ascii="Times New Roman" w:hAnsi="Times New Roman" w:eastAsia="宋体" w:cs="Times New Roman"/>
                      <w:bCs/>
                      <w:color w:val="auto"/>
                      <w:kern w:val="2"/>
                      <w:sz w:val="21"/>
                      <w:szCs w:val="21"/>
                      <w:lang w:val="en-US" w:eastAsia="zh-CN" w:bidi="ar-SA"/>
                    </w:rPr>
                  </w:pPr>
                  <w:r>
                    <w:rPr>
                      <w:color w:val="auto"/>
                      <w:szCs w:val="21"/>
                    </w:rPr>
                    <w:t>又称碳酰胺，其化学式是CH</w:t>
                  </w:r>
                  <w:r>
                    <w:rPr>
                      <w:color w:val="auto"/>
                      <w:szCs w:val="21"/>
                      <w:vertAlign w:val="subscript"/>
                    </w:rPr>
                    <w:t>4</w:t>
                  </w:r>
                  <w:r>
                    <w:rPr>
                      <w:color w:val="auto"/>
                      <w:szCs w:val="21"/>
                    </w:rPr>
                    <w:t>N</w:t>
                  </w:r>
                  <w:r>
                    <w:rPr>
                      <w:color w:val="auto"/>
                      <w:szCs w:val="21"/>
                      <w:vertAlign w:val="subscript"/>
                    </w:rPr>
                    <w:t>2</w:t>
                  </w:r>
                  <w:r>
                    <w:rPr>
                      <w:color w:val="auto"/>
                      <w:szCs w:val="21"/>
                    </w:rPr>
                    <w:t>O,无色或白色针状或棒状结晶体，工业或农业品为白色略带微红色固体颗粒，无臭无味。溶于水、甲醇、甲醛、乙醇、液氨和醇，微溶于乙醚、氯仿、苯。弱碱性。尿素在酸、碱、酶作用下(酸、碱需加热)能水解生成氨和二氧化碳。</w:t>
                  </w:r>
                </w:p>
              </w:tc>
              <w:tc>
                <w:tcPr>
                  <w:tcW w:w="1364" w:type="dxa"/>
                  <w:vAlign w:val="center"/>
                </w:tcPr>
                <w:p w14:paraId="1989CBB7">
                  <w:pPr>
                    <w:jc w:val="center"/>
                    <w:rPr>
                      <w:rFonts w:ascii="Times New Roman" w:hAnsi="Times New Roman" w:eastAsia="宋体" w:cs="Times New Roman"/>
                      <w:bCs/>
                      <w:color w:val="auto"/>
                      <w:kern w:val="2"/>
                      <w:sz w:val="21"/>
                      <w:szCs w:val="21"/>
                      <w:lang w:val="en-US" w:eastAsia="zh-CN" w:bidi="ar-SA"/>
                    </w:rPr>
                  </w:pPr>
                  <w:r>
                    <w:rPr>
                      <w:color w:val="auto"/>
                      <w:szCs w:val="21"/>
                    </w:rPr>
                    <w:t>遇明火、高热可燃。与次氯酸钠、次氯酸钙反应生成有爆炸|性的三氯化氮。受高热分解，放出有毒的烟气</w:t>
                  </w:r>
                </w:p>
              </w:tc>
              <w:tc>
                <w:tcPr>
                  <w:tcW w:w="1906" w:type="dxa"/>
                  <w:vAlign w:val="center"/>
                </w:tcPr>
                <w:p w14:paraId="1F547B99">
                  <w:pPr>
                    <w:jc w:val="center"/>
                    <w:rPr>
                      <w:rFonts w:ascii="Times New Roman" w:hAnsi="Times New Roman" w:eastAsia="宋体" w:cs="Times New Roman"/>
                      <w:bCs/>
                      <w:color w:val="auto"/>
                      <w:kern w:val="2"/>
                      <w:sz w:val="21"/>
                      <w:szCs w:val="21"/>
                      <w:lang w:val="en-US" w:eastAsia="zh-CN" w:bidi="ar-SA"/>
                    </w:rPr>
                  </w:pPr>
                  <w:r>
                    <w:rPr>
                      <w:color w:val="auto"/>
                      <w:szCs w:val="21"/>
                    </w:rPr>
                    <w:t>/</w:t>
                  </w:r>
                </w:p>
              </w:tc>
            </w:tr>
            <w:tr w14:paraId="43977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71CEE243">
                  <w:pPr>
                    <w:adjustRightInd w:val="0"/>
                    <w:snapToGrid w:val="0"/>
                    <w:jc w:val="center"/>
                    <w:outlineLvl w:val="0"/>
                    <w:rPr>
                      <w:rFonts w:ascii="Times New Roman" w:hAnsi="Times New Roman" w:eastAsia="宋体" w:cs="Times New Roman"/>
                      <w:color w:val="auto"/>
                      <w:kern w:val="2"/>
                      <w:sz w:val="21"/>
                      <w:szCs w:val="21"/>
                      <w:lang w:val="en-US" w:eastAsia="zh-CN" w:bidi="ar-SA"/>
                    </w:rPr>
                  </w:pPr>
                  <w:bookmarkStart w:id="18" w:name="_Toc21942"/>
                  <w:r>
                    <w:rPr>
                      <w:rFonts w:hint="eastAsia"/>
                      <w:color w:val="auto"/>
                      <w:szCs w:val="21"/>
                    </w:rPr>
                    <w:t>3</w:t>
                  </w:r>
                  <w:bookmarkEnd w:id="18"/>
                </w:p>
              </w:tc>
              <w:tc>
                <w:tcPr>
                  <w:tcW w:w="902" w:type="dxa"/>
                  <w:vAlign w:val="center"/>
                </w:tcPr>
                <w:p w14:paraId="00BEAAD0">
                  <w:pPr>
                    <w:spacing w:line="320" w:lineRule="exact"/>
                    <w:jc w:val="center"/>
                    <w:rPr>
                      <w:bCs/>
                      <w:color w:val="auto"/>
                      <w:szCs w:val="21"/>
                    </w:rPr>
                  </w:pPr>
                  <w:r>
                    <w:rPr>
                      <w:bCs/>
                      <w:color w:val="auto"/>
                      <w:szCs w:val="21"/>
                    </w:rPr>
                    <w:t>甲醛</w:t>
                  </w:r>
                </w:p>
              </w:tc>
              <w:tc>
                <w:tcPr>
                  <w:tcW w:w="3718" w:type="dxa"/>
                  <w:vAlign w:val="center"/>
                </w:tcPr>
                <w:p w14:paraId="7D965513">
                  <w:pPr>
                    <w:widowControl/>
                    <w:jc w:val="center"/>
                    <w:rPr>
                      <w:bCs/>
                      <w:color w:val="auto"/>
                      <w:szCs w:val="21"/>
                    </w:rPr>
                  </w:pPr>
                  <w:r>
                    <w:rPr>
                      <w:color w:val="auto"/>
                      <w:kern w:val="0"/>
                      <w:szCs w:val="21"/>
                    </w:rPr>
                    <w:t>为无色水溶液或气体，有刺激性气味。易溶于水和乙醚，水溶液浓度最高可达55%，pH值：2.8~4.0.，能与水、乙醇、丙酮等有机溶剂按任意比例混溶。气体相对密度1.067（空气=1）。</w:t>
                  </w:r>
                </w:p>
              </w:tc>
              <w:tc>
                <w:tcPr>
                  <w:tcW w:w="1364" w:type="dxa"/>
                  <w:vAlign w:val="center"/>
                </w:tcPr>
                <w:p w14:paraId="3E6B8587">
                  <w:pPr>
                    <w:spacing w:line="320" w:lineRule="exact"/>
                    <w:jc w:val="center"/>
                    <w:rPr>
                      <w:bCs/>
                      <w:color w:val="auto"/>
                      <w:szCs w:val="21"/>
                    </w:rPr>
                  </w:pPr>
                  <w:r>
                    <w:rPr>
                      <w:color w:val="auto"/>
                      <w:kern w:val="0"/>
                      <w:szCs w:val="21"/>
                    </w:rPr>
                    <w:t>遇明火、高热可燃，引燃温度300℃</w:t>
                  </w:r>
                </w:p>
              </w:tc>
              <w:tc>
                <w:tcPr>
                  <w:tcW w:w="1906" w:type="dxa"/>
                  <w:vAlign w:val="center"/>
                </w:tcPr>
                <w:p w14:paraId="49DC2B35">
                  <w:pPr>
                    <w:spacing w:line="320" w:lineRule="exact"/>
                    <w:jc w:val="center"/>
                    <w:rPr>
                      <w:bCs/>
                      <w:color w:val="auto"/>
                      <w:szCs w:val="21"/>
                    </w:rPr>
                  </w:pPr>
                  <w:r>
                    <w:rPr>
                      <w:color w:val="auto"/>
                      <w:kern w:val="0"/>
                      <w:szCs w:val="21"/>
                    </w:rPr>
                    <w:t>LD</w:t>
                  </w:r>
                  <w:r>
                    <w:rPr>
                      <w:color w:val="auto"/>
                      <w:kern w:val="0"/>
                      <w:szCs w:val="21"/>
                      <w:vertAlign w:val="subscript"/>
                    </w:rPr>
                    <w:t>50</w:t>
                  </w:r>
                  <w:r>
                    <w:rPr>
                      <w:color w:val="auto"/>
                      <w:kern w:val="0"/>
                      <w:szCs w:val="21"/>
                    </w:rPr>
                    <w:t>：800mg/kg（大鼠经口）；LC</w:t>
                  </w:r>
                  <w:r>
                    <w:rPr>
                      <w:color w:val="auto"/>
                      <w:kern w:val="0"/>
                      <w:szCs w:val="21"/>
                      <w:vertAlign w:val="subscript"/>
                    </w:rPr>
                    <w:t>50</w:t>
                  </w:r>
                  <w:r>
                    <w:rPr>
                      <w:color w:val="auto"/>
                      <w:kern w:val="0"/>
                      <w:szCs w:val="21"/>
                    </w:rPr>
                    <w:t>：590mg/m</w:t>
                  </w:r>
                  <w:r>
                    <w:rPr>
                      <w:color w:val="auto"/>
                      <w:kern w:val="0"/>
                      <w:szCs w:val="21"/>
                      <w:vertAlign w:val="superscript"/>
                    </w:rPr>
                    <w:t>3</w:t>
                  </w:r>
                  <w:r>
                    <w:rPr>
                      <w:color w:val="auto"/>
                      <w:kern w:val="0"/>
                      <w:szCs w:val="21"/>
                    </w:rPr>
                    <w:t>（大鼠吸入）</w:t>
                  </w:r>
                </w:p>
              </w:tc>
            </w:tr>
            <w:tr w14:paraId="6D15A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3C7597C9">
                  <w:pPr>
                    <w:adjustRightInd w:val="0"/>
                    <w:snapToGrid w:val="0"/>
                    <w:jc w:val="center"/>
                    <w:outlineLvl w:val="0"/>
                    <w:rPr>
                      <w:rFonts w:ascii="Times New Roman" w:hAnsi="Times New Roman" w:eastAsia="宋体" w:cs="Times New Roman"/>
                      <w:color w:val="auto"/>
                      <w:kern w:val="2"/>
                      <w:sz w:val="21"/>
                      <w:szCs w:val="21"/>
                      <w:lang w:val="en-US" w:eastAsia="zh-CN" w:bidi="ar-SA"/>
                    </w:rPr>
                  </w:pPr>
                  <w:bookmarkStart w:id="19" w:name="_Toc7402"/>
                  <w:r>
                    <w:rPr>
                      <w:rFonts w:hint="eastAsia"/>
                      <w:color w:val="auto"/>
                      <w:szCs w:val="21"/>
                    </w:rPr>
                    <w:t>4</w:t>
                  </w:r>
                  <w:bookmarkEnd w:id="19"/>
                </w:p>
              </w:tc>
              <w:tc>
                <w:tcPr>
                  <w:tcW w:w="902" w:type="dxa"/>
                  <w:vAlign w:val="center"/>
                </w:tcPr>
                <w:p w14:paraId="52BAE4AD">
                  <w:pPr>
                    <w:widowControl/>
                    <w:jc w:val="center"/>
                    <w:rPr>
                      <w:rFonts w:eastAsiaTheme="minorEastAsia"/>
                      <w:color w:val="auto"/>
                      <w:szCs w:val="21"/>
                    </w:rPr>
                  </w:pPr>
                  <w:r>
                    <w:rPr>
                      <w:rFonts w:hint="eastAsia" w:eastAsiaTheme="minorEastAsia"/>
                      <w:color w:val="auto"/>
                      <w:szCs w:val="21"/>
                    </w:rPr>
                    <w:t>三聚氰胺</w:t>
                  </w:r>
                </w:p>
              </w:tc>
              <w:tc>
                <w:tcPr>
                  <w:tcW w:w="3718" w:type="dxa"/>
                  <w:vAlign w:val="center"/>
                </w:tcPr>
                <w:p w14:paraId="1D7C3B75">
                  <w:pPr>
                    <w:widowControl/>
                    <w:jc w:val="center"/>
                    <w:rPr>
                      <w:rFonts w:eastAsiaTheme="minorEastAsia"/>
                      <w:color w:val="auto"/>
                      <w:szCs w:val="21"/>
                    </w:rPr>
                  </w:pPr>
                  <w:r>
                    <w:rPr>
                      <w:rFonts w:eastAsiaTheme="minorEastAsia"/>
                      <w:color w:val="auto"/>
                      <w:szCs w:val="21"/>
                    </w:rPr>
                    <w:t>俗称密胺、蛋白精，IUPAC命名为“1,3,5-三嗪-2,4,6-三氨基”，是一种三嗪类含氮杂环有机化合物，被用作</w:t>
                  </w:r>
                  <w:r>
                    <w:rPr>
                      <w:color w:val="auto"/>
                    </w:rPr>
                    <w:fldChar w:fldCharType="begin"/>
                  </w:r>
                  <w:r>
                    <w:rPr>
                      <w:color w:val="auto"/>
                    </w:rPr>
                    <w:instrText xml:space="preserve"> HYPERLINK "https://baike.so.com/doc/5391734-5628479.html" \t "https://baike.so.com/doc/_blank" </w:instrText>
                  </w:r>
                  <w:r>
                    <w:rPr>
                      <w:color w:val="auto"/>
                    </w:rPr>
                    <w:fldChar w:fldCharType="separate"/>
                  </w:r>
                  <w:r>
                    <w:rPr>
                      <w:rFonts w:eastAsiaTheme="minorEastAsia"/>
                      <w:color w:val="auto"/>
                      <w:szCs w:val="21"/>
                    </w:rPr>
                    <w:t>化工原料</w:t>
                  </w:r>
                  <w:r>
                    <w:rPr>
                      <w:rFonts w:eastAsiaTheme="minorEastAsia"/>
                      <w:color w:val="auto"/>
                      <w:szCs w:val="21"/>
                    </w:rPr>
                    <w:fldChar w:fldCharType="end"/>
                  </w:r>
                  <w:r>
                    <w:rPr>
                      <w:rFonts w:eastAsiaTheme="minorEastAsia"/>
                      <w:color w:val="auto"/>
                      <w:szCs w:val="21"/>
                    </w:rPr>
                    <w:t>。它是白色单斜晶体，几乎无味，微溶于水（3.1g/L常温），可溶于甲醇、甲醛、乙酸</w:t>
                  </w:r>
                  <w:r>
                    <w:rPr>
                      <w:rFonts w:hint="eastAsia" w:eastAsiaTheme="minorEastAsia"/>
                      <w:color w:val="auto"/>
                      <w:szCs w:val="21"/>
                      <w:lang w:eastAsia="zh-CN"/>
                    </w:rPr>
                    <w:t>、</w:t>
                  </w:r>
                  <w:r>
                    <w:rPr>
                      <w:rFonts w:eastAsiaTheme="minorEastAsia"/>
                      <w:color w:val="auto"/>
                      <w:szCs w:val="21"/>
                    </w:rPr>
                    <w:t>乙二醇、甘油、吡啶等，不溶于丙酮、醚类、对身体有害，不可用于食品加工或食品添加物。三聚氰胺是氨基氰的三聚体，由它制成的树脂加热分解时会释放出大量氮气，因此可用作阻燃剂。它也是杀虫剂环丙氨嗪在动物和植物[体内的代谢产物</w:t>
                  </w:r>
                </w:p>
              </w:tc>
              <w:tc>
                <w:tcPr>
                  <w:tcW w:w="1364" w:type="dxa"/>
                  <w:vAlign w:val="center"/>
                </w:tcPr>
                <w:p w14:paraId="6BDA288B">
                  <w:pPr>
                    <w:widowControl/>
                    <w:jc w:val="center"/>
                    <w:rPr>
                      <w:rFonts w:eastAsiaTheme="minorEastAsia"/>
                      <w:color w:val="auto"/>
                      <w:szCs w:val="21"/>
                    </w:rPr>
                  </w:pPr>
                  <w:r>
                    <w:rPr>
                      <w:rFonts w:eastAsiaTheme="minorEastAsia"/>
                      <w:color w:val="auto"/>
                      <w:szCs w:val="21"/>
                    </w:rPr>
                    <w:t>不可燃，在常温下性质稳定。</w:t>
                  </w:r>
                </w:p>
              </w:tc>
              <w:tc>
                <w:tcPr>
                  <w:tcW w:w="1906" w:type="dxa"/>
                  <w:vAlign w:val="center"/>
                </w:tcPr>
                <w:p w14:paraId="4ED32570">
                  <w:pPr>
                    <w:widowControl/>
                    <w:jc w:val="center"/>
                    <w:rPr>
                      <w:rFonts w:eastAsiaTheme="minorEastAsia"/>
                      <w:color w:val="auto"/>
                      <w:szCs w:val="21"/>
                    </w:rPr>
                  </w:pPr>
                  <w:r>
                    <w:rPr>
                      <w:rFonts w:eastAsiaTheme="minorEastAsia"/>
                      <w:color w:val="auto"/>
                      <w:szCs w:val="21"/>
                    </w:rPr>
                    <w:t>毒性轻微，大鼠口服的半数致死量大于3克</w:t>
                  </w:r>
                  <w:r>
                    <w:rPr>
                      <w:rFonts w:hint="eastAsia" w:eastAsiaTheme="minorEastAsia"/>
                      <w:color w:val="auto"/>
                      <w:szCs w:val="21"/>
                    </w:rPr>
                    <w:t>/</w:t>
                  </w:r>
                  <w:r>
                    <w:rPr>
                      <w:rFonts w:eastAsiaTheme="minorEastAsia"/>
                      <w:color w:val="auto"/>
                      <w:szCs w:val="21"/>
                    </w:rPr>
                    <w:t>千克体重</w:t>
                  </w:r>
                </w:p>
              </w:tc>
            </w:tr>
            <w:tr w14:paraId="110CC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27536DFA">
                  <w:pPr>
                    <w:adjustRightInd w:val="0"/>
                    <w:snapToGrid w:val="0"/>
                    <w:jc w:val="center"/>
                    <w:outlineLvl w:val="0"/>
                    <w:rPr>
                      <w:rFonts w:ascii="Times New Roman" w:hAnsi="Times New Roman" w:eastAsia="宋体" w:cs="Times New Roman"/>
                      <w:color w:val="auto"/>
                      <w:kern w:val="2"/>
                      <w:sz w:val="21"/>
                      <w:szCs w:val="21"/>
                      <w:lang w:val="en-US" w:eastAsia="zh-CN" w:bidi="ar-SA"/>
                    </w:rPr>
                  </w:pPr>
                  <w:bookmarkStart w:id="20" w:name="_Toc6963"/>
                  <w:r>
                    <w:rPr>
                      <w:rFonts w:hint="eastAsia"/>
                      <w:color w:val="auto"/>
                      <w:szCs w:val="21"/>
                    </w:rPr>
                    <w:t>5</w:t>
                  </w:r>
                  <w:bookmarkEnd w:id="20"/>
                </w:p>
              </w:tc>
              <w:tc>
                <w:tcPr>
                  <w:tcW w:w="902" w:type="dxa"/>
                  <w:vAlign w:val="center"/>
                </w:tcPr>
                <w:p w14:paraId="1C2A9774">
                  <w:pPr>
                    <w:widowControl/>
                    <w:jc w:val="center"/>
                    <w:rPr>
                      <w:rFonts w:eastAsiaTheme="minorEastAsia"/>
                      <w:color w:val="auto"/>
                      <w:szCs w:val="21"/>
                    </w:rPr>
                  </w:pPr>
                  <w:r>
                    <w:rPr>
                      <w:rFonts w:hint="eastAsia" w:eastAsiaTheme="minorEastAsia"/>
                      <w:color w:val="auto"/>
                      <w:szCs w:val="21"/>
                    </w:rPr>
                    <w:t>聚乙烯醇</w:t>
                  </w:r>
                </w:p>
              </w:tc>
              <w:tc>
                <w:tcPr>
                  <w:tcW w:w="3718" w:type="dxa"/>
                  <w:vAlign w:val="center"/>
                </w:tcPr>
                <w:p w14:paraId="4C22C128">
                  <w:pPr>
                    <w:widowControl/>
                    <w:jc w:val="center"/>
                    <w:rPr>
                      <w:rFonts w:eastAsiaTheme="minorEastAsia"/>
                      <w:color w:val="auto"/>
                      <w:szCs w:val="21"/>
                    </w:rPr>
                  </w:pPr>
                  <w:r>
                    <w:rPr>
                      <w:rFonts w:eastAsiaTheme="minorEastAsia"/>
                      <w:color w:val="auto"/>
                      <w:szCs w:val="21"/>
                    </w:rPr>
                    <w:t>有机化合物，白色片状、絮状或粉末状固体，无味。溶于水，不溶于汽油、</w:t>
                  </w:r>
                  <w:r>
                    <w:rPr>
                      <w:color w:val="auto"/>
                    </w:rPr>
                    <w:fldChar w:fldCharType="begin"/>
                  </w:r>
                  <w:r>
                    <w:rPr>
                      <w:color w:val="auto"/>
                    </w:rPr>
                    <w:instrText xml:space="preserve"> HYPERLINK "https://baike.so.com/doc/200861-7116744.html" \t "https://baike.so.com/doc/_blank" </w:instrText>
                  </w:r>
                  <w:r>
                    <w:rPr>
                      <w:color w:val="auto"/>
                    </w:rPr>
                    <w:fldChar w:fldCharType="separate"/>
                  </w:r>
                  <w:r>
                    <w:rPr>
                      <w:rFonts w:eastAsiaTheme="minorEastAsia"/>
                      <w:color w:val="auto"/>
                      <w:szCs w:val="21"/>
                    </w:rPr>
                    <w:t>煤油</w:t>
                  </w:r>
                  <w:r>
                    <w:rPr>
                      <w:rFonts w:eastAsiaTheme="minorEastAsia"/>
                      <w:color w:val="auto"/>
                      <w:szCs w:val="21"/>
                    </w:rPr>
                    <w:fldChar w:fldCharType="end"/>
                  </w:r>
                  <w:r>
                    <w:rPr>
                      <w:rFonts w:eastAsiaTheme="minorEastAsia"/>
                      <w:color w:val="auto"/>
                      <w:szCs w:val="21"/>
                    </w:rPr>
                    <w:t>、植物油、苯、甲苯、二氯乙烷、</w:t>
                  </w:r>
                  <w:r>
                    <w:rPr>
                      <w:color w:val="auto"/>
                    </w:rPr>
                    <w:fldChar w:fldCharType="begin"/>
                  </w:r>
                  <w:r>
                    <w:rPr>
                      <w:color w:val="auto"/>
                    </w:rPr>
                    <w:instrText xml:space="preserve"> HYPERLINK "https://baike.so.com/doc/131852-139263.html" \t "https://baike.so.com/doc/_blank" </w:instrText>
                  </w:r>
                  <w:r>
                    <w:rPr>
                      <w:color w:val="auto"/>
                    </w:rPr>
                    <w:fldChar w:fldCharType="separate"/>
                  </w:r>
                  <w:r>
                    <w:rPr>
                      <w:rFonts w:eastAsiaTheme="minorEastAsia"/>
                      <w:color w:val="auto"/>
                      <w:szCs w:val="21"/>
                    </w:rPr>
                    <w:t>四氯化碳</w:t>
                  </w:r>
                  <w:r>
                    <w:rPr>
                      <w:rFonts w:eastAsiaTheme="minorEastAsia"/>
                      <w:color w:val="auto"/>
                      <w:szCs w:val="21"/>
                    </w:rPr>
                    <w:fldChar w:fldCharType="end"/>
                  </w:r>
                  <w:r>
                    <w:rPr>
                      <w:rFonts w:eastAsiaTheme="minorEastAsia"/>
                      <w:color w:val="auto"/>
                      <w:szCs w:val="21"/>
                    </w:rPr>
                    <w:t>、丙酮、醋酸乙酯、</w:t>
                  </w:r>
                  <w:r>
                    <w:rPr>
                      <w:color w:val="auto"/>
                    </w:rPr>
                    <w:fldChar w:fldCharType="begin"/>
                  </w:r>
                  <w:r>
                    <w:rPr>
                      <w:color w:val="auto"/>
                    </w:rPr>
                    <w:instrText xml:space="preserve"> HYPERLINK "https://baike.so.com/doc/7021262-7244165.html" \t "https://baike.so.com/doc/_blank" </w:instrText>
                  </w:r>
                  <w:r>
                    <w:rPr>
                      <w:color w:val="auto"/>
                    </w:rPr>
                    <w:fldChar w:fldCharType="separate"/>
                  </w:r>
                  <w:r>
                    <w:rPr>
                      <w:rFonts w:eastAsiaTheme="minorEastAsia"/>
                      <w:color w:val="auto"/>
                      <w:szCs w:val="21"/>
                    </w:rPr>
                    <w:t>甲醇</w:t>
                  </w:r>
                  <w:r>
                    <w:rPr>
                      <w:rFonts w:eastAsiaTheme="minorEastAsia"/>
                      <w:color w:val="auto"/>
                      <w:szCs w:val="21"/>
                    </w:rPr>
                    <w:fldChar w:fldCharType="end"/>
                  </w:r>
                  <w:r>
                    <w:rPr>
                      <w:rFonts w:eastAsiaTheme="minorEastAsia"/>
                      <w:color w:val="auto"/>
                      <w:szCs w:val="21"/>
                    </w:rPr>
                    <w:t>、</w:t>
                  </w:r>
                  <w:r>
                    <w:rPr>
                      <w:color w:val="auto"/>
                    </w:rPr>
                    <w:fldChar w:fldCharType="begin"/>
                  </w:r>
                  <w:r>
                    <w:rPr>
                      <w:color w:val="auto"/>
                    </w:rPr>
                    <w:instrText xml:space="preserve"> HYPERLINK "https://baike.so.com/doc/3767521-3957688.html" \t "https://baike.so.com/doc/_blank" </w:instrText>
                  </w:r>
                  <w:r>
                    <w:rPr>
                      <w:color w:val="auto"/>
                    </w:rPr>
                    <w:fldChar w:fldCharType="separate"/>
                  </w:r>
                  <w:r>
                    <w:rPr>
                      <w:rFonts w:eastAsiaTheme="minorEastAsia"/>
                      <w:color w:val="auto"/>
                      <w:szCs w:val="21"/>
                    </w:rPr>
                    <w:t>乙二醇</w:t>
                  </w:r>
                  <w:r>
                    <w:rPr>
                      <w:rFonts w:eastAsiaTheme="minorEastAsia"/>
                      <w:color w:val="auto"/>
                      <w:szCs w:val="21"/>
                    </w:rPr>
                    <w:fldChar w:fldCharType="end"/>
                  </w:r>
                  <w:r>
                    <w:rPr>
                      <w:rFonts w:eastAsiaTheme="minorEastAsia"/>
                      <w:color w:val="auto"/>
                      <w:szCs w:val="21"/>
                    </w:rPr>
                    <w:t>等。微溶于二甲基亚砜。聚乙烯醇是重要的化工原料，用于制造</w:t>
                  </w:r>
                  <w:r>
                    <w:rPr>
                      <w:color w:val="auto"/>
                    </w:rPr>
                    <w:fldChar w:fldCharType="begin"/>
                  </w:r>
                  <w:r>
                    <w:rPr>
                      <w:color w:val="auto"/>
                    </w:rPr>
                    <w:instrText xml:space="preserve"> HYPERLINK "https://baike.so.com/doc/5919567-6132484.html" \t "https://baike.so.com/doc/_blank" </w:instrText>
                  </w:r>
                  <w:r>
                    <w:rPr>
                      <w:color w:val="auto"/>
                    </w:rPr>
                    <w:fldChar w:fldCharType="separate"/>
                  </w:r>
                  <w:r>
                    <w:rPr>
                      <w:rFonts w:eastAsiaTheme="minorEastAsia"/>
                      <w:color w:val="auto"/>
                      <w:szCs w:val="21"/>
                    </w:rPr>
                    <w:t>聚乙烯醇缩醛</w:t>
                  </w:r>
                  <w:r>
                    <w:rPr>
                      <w:rFonts w:eastAsiaTheme="minorEastAsia"/>
                      <w:color w:val="auto"/>
                      <w:szCs w:val="21"/>
                    </w:rPr>
                    <w:fldChar w:fldCharType="end"/>
                  </w:r>
                  <w:r>
                    <w:rPr>
                      <w:rFonts w:eastAsiaTheme="minorEastAsia"/>
                      <w:color w:val="auto"/>
                      <w:szCs w:val="21"/>
                    </w:rPr>
                    <w:t>、耐汽油管道和维尼纶合成纤维、织物处理剂、乳化剂、纸张涂层、</w:t>
                  </w:r>
                  <w:r>
                    <w:rPr>
                      <w:color w:val="auto"/>
                    </w:rPr>
                    <w:fldChar w:fldCharType="begin"/>
                  </w:r>
                  <w:r>
                    <w:rPr>
                      <w:color w:val="auto"/>
                    </w:rPr>
                    <w:instrText xml:space="preserve"> HYPERLINK "https://baike.so.com/doc/1701360-1798859.html" \t "https://baike.so.com/doc/_blank" </w:instrText>
                  </w:r>
                  <w:r>
                    <w:rPr>
                      <w:color w:val="auto"/>
                    </w:rPr>
                    <w:fldChar w:fldCharType="separate"/>
                  </w:r>
                  <w:r>
                    <w:rPr>
                      <w:rFonts w:eastAsiaTheme="minorEastAsia"/>
                      <w:color w:val="auto"/>
                      <w:szCs w:val="21"/>
                    </w:rPr>
                    <w:t>粘合剂</w:t>
                  </w:r>
                  <w:r>
                    <w:rPr>
                      <w:rFonts w:eastAsiaTheme="minorEastAsia"/>
                      <w:color w:val="auto"/>
                      <w:szCs w:val="21"/>
                    </w:rPr>
                    <w:fldChar w:fldCharType="end"/>
                  </w:r>
                  <w:r>
                    <w:rPr>
                      <w:rFonts w:eastAsiaTheme="minorEastAsia"/>
                      <w:color w:val="auto"/>
                      <w:szCs w:val="21"/>
                    </w:rPr>
                    <w:t>、胶水等。</w:t>
                  </w:r>
                </w:p>
              </w:tc>
              <w:tc>
                <w:tcPr>
                  <w:tcW w:w="1364" w:type="dxa"/>
                  <w:vAlign w:val="center"/>
                </w:tcPr>
                <w:p w14:paraId="68A62A68">
                  <w:pPr>
                    <w:widowControl/>
                    <w:jc w:val="center"/>
                    <w:rPr>
                      <w:rFonts w:eastAsiaTheme="minorEastAsia"/>
                      <w:color w:val="auto"/>
                      <w:szCs w:val="21"/>
                    </w:rPr>
                  </w:pPr>
                  <w:r>
                    <w:rPr>
                      <w:rFonts w:eastAsiaTheme="minorEastAsia"/>
                      <w:color w:val="auto"/>
                      <w:szCs w:val="21"/>
                    </w:rPr>
                    <w:t>通明火时可燃烧，有特殊气味</w:t>
                  </w:r>
                </w:p>
              </w:tc>
              <w:tc>
                <w:tcPr>
                  <w:tcW w:w="1906" w:type="dxa"/>
                  <w:vAlign w:val="center"/>
                </w:tcPr>
                <w:p w14:paraId="510CED8C">
                  <w:pPr>
                    <w:widowControl/>
                    <w:jc w:val="center"/>
                    <w:rPr>
                      <w:rFonts w:eastAsiaTheme="minorEastAsia"/>
                      <w:color w:val="auto"/>
                      <w:szCs w:val="21"/>
                    </w:rPr>
                  </w:pPr>
                  <w:r>
                    <w:rPr>
                      <w:rFonts w:eastAsiaTheme="minorEastAsia"/>
                      <w:color w:val="auto"/>
                      <w:szCs w:val="21"/>
                    </w:rPr>
                    <w:t>无毒，对人体</w:t>
                  </w:r>
                  <w:r>
                    <w:rPr>
                      <w:color w:val="auto"/>
                    </w:rPr>
                    <w:fldChar w:fldCharType="begin"/>
                  </w:r>
                  <w:r>
                    <w:rPr>
                      <w:color w:val="auto"/>
                    </w:rPr>
                    <w:instrText xml:space="preserve"> HYPERLINK "https://baike.so.com/doc/2467180-2607701.html" \t "https://baike.so.com/doc/_blank" </w:instrText>
                  </w:r>
                  <w:r>
                    <w:rPr>
                      <w:color w:val="auto"/>
                    </w:rPr>
                    <w:fldChar w:fldCharType="separate"/>
                  </w:r>
                  <w:r>
                    <w:rPr>
                      <w:rFonts w:eastAsiaTheme="minorEastAsia"/>
                      <w:color w:val="auto"/>
                      <w:szCs w:val="21"/>
                    </w:rPr>
                    <w:t>皮肤</w:t>
                  </w:r>
                  <w:r>
                    <w:rPr>
                      <w:rFonts w:eastAsiaTheme="minorEastAsia"/>
                      <w:color w:val="auto"/>
                      <w:szCs w:val="21"/>
                    </w:rPr>
                    <w:fldChar w:fldCharType="end"/>
                  </w:r>
                  <w:r>
                    <w:rPr>
                      <w:rFonts w:eastAsiaTheme="minorEastAsia"/>
                      <w:color w:val="auto"/>
                      <w:szCs w:val="21"/>
                    </w:rPr>
                    <w:t>无</w:t>
                  </w:r>
                  <w:r>
                    <w:rPr>
                      <w:color w:val="auto"/>
                    </w:rPr>
                    <w:fldChar w:fldCharType="begin"/>
                  </w:r>
                  <w:r>
                    <w:rPr>
                      <w:color w:val="auto"/>
                    </w:rPr>
                    <w:instrText xml:space="preserve"> HYPERLINK "https://baike.so.com/doc/3105569-3273338.html" \t "https://baike.so.com/doc/_blank" </w:instrText>
                  </w:r>
                  <w:r>
                    <w:rPr>
                      <w:color w:val="auto"/>
                    </w:rPr>
                    <w:fldChar w:fldCharType="separate"/>
                  </w:r>
                  <w:r>
                    <w:rPr>
                      <w:rFonts w:eastAsiaTheme="minorEastAsia"/>
                      <w:color w:val="auto"/>
                      <w:szCs w:val="21"/>
                    </w:rPr>
                    <w:t>刺激性</w:t>
                  </w:r>
                  <w:r>
                    <w:rPr>
                      <w:rFonts w:eastAsiaTheme="minorEastAsia"/>
                      <w:color w:val="auto"/>
                      <w:szCs w:val="21"/>
                    </w:rPr>
                    <w:fldChar w:fldCharType="end"/>
                  </w:r>
                </w:p>
              </w:tc>
            </w:tr>
            <w:tr w14:paraId="55AF3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70D0279D">
                  <w:pPr>
                    <w:adjustRightInd w:val="0"/>
                    <w:snapToGrid w:val="0"/>
                    <w:jc w:val="center"/>
                    <w:outlineLvl w:val="0"/>
                    <w:rPr>
                      <w:rFonts w:ascii="Times New Roman" w:hAnsi="Times New Roman" w:eastAsia="宋体" w:cs="Times New Roman"/>
                      <w:color w:val="auto"/>
                      <w:kern w:val="2"/>
                      <w:sz w:val="21"/>
                      <w:szCs w:val="21"/>
                      <w:lang w:val="en-US" w:eastAsia="zh-CN" w:bidi="ar-SA"/>
                    </w:rPr>
                  </w:pPr>
                  <w:bookmarkStart w:id="21" w:name="_Toc6809"/>
                  <w:r>
                    <w:rPr>
                      <w:rFonts w:hint="eastAsia"/>
                      <w:color w:val="auto"/>
                      <w:szCs w:val="21"/>
                    </w:rPr>
                    <w:t>6</w:t>
                  </w:r>
                  <w:bookmarkEnd w:id="21"/>
                </w:p>
              </w:tc>
              <w:tc>
                <w:tcPr>
                  <w:tcW w:w="902" w:type="dxa"/>
                  <w:vAlign w:val="center"/>
                </w:tcPr>
                <w:p w14:paraId="7FD86ADE">
                  <w:pPr>
                    <w:widowControl/>
                    <w:jc w:val="center"/>
                    <w:rPr>
                      <w:rFonts w:eastAsiaTheme="minorEastAsia"/>
                      <w:color w:val="auto"/>
                      <w:szCs w:val="21"/>
                    </w:rPr>
                  </w:pPr>
                  <w:r>
                    <w:rPr>
                      <w:rFonts w:hint="eastAsia" w:eastAsiaTheme="minorEastAsia"/>
                      <w:color w:val="auto"/>
                      <w:szCs w:val="21"/>
                    </w:rPr>
                    <w:t>氢氧化钠</w:t>
                  </w:r>
                </w:p>
              </w:tc>
              <w:tc>
                <w:tcPr>
                  <w:tcW w:w="3718" w:type="dxa"/>
                  <w:vAlign w:val="center"/>
                </w:tcPr>
                <w:p w14:paraId="5EEC1716">
                  <w:pPr>
                    <w:widowControl/>
                    <w:jc w:val="center"/>
                    <w:rPr>
                      <w:rFonts w:eastAsiaTheme="minorEastAsia"/>
                      <w:color w:val="auto"/>
                      <w:szCs w:val="21"/>
                    </w:rPr>
                  </w:pPr>
                  <w:r>
                    <w:rPr>
                      <w:rFonts w:eastAsiaTheme="minorEastAsia"/>
                      <w:color w:val="auto"/>
                      <w:szCs w:val="21"/>
                    </w:rPr>
                    <w:t>俗称烧碱、火碱、苛性钠，为一种具有强腐蚀性的</w:t>
                  </w:r>
                  <w:r>
                    <w:rPr>
                      <w:color w:val="auto"/>
                    </w:rPr>
                    <w:fldChar w:fldCharType="begin"/>
                  </w:r>
                  <w:r>
                    <w:rPr>
                      <w:color w:val="auto"/>
                    </w:rPr>
                    <w:instrText xml:space="preserve"> HYPERLINK "https://baike.so.com/doc/81217-85715.html" \t "https://baike.so.com/doc/_blank" </w:instrText>
                  </w:r>
                  <w:r>
                    <w:rPr>
                      <w:color w:val="auto"/>
                    </w:rPr>
                    <w:fldChar w:fldCharType="separate"/>
                  </w:r>
                  <w:r>
                    <w:rPr>
                      <w:rFonts w:eastAsiaTheme="minorEastAsia"/>
                      <w:color w:val="auto"/>
                      <w:szCs w:val="21"/>
                    </w:rPr>
                    <w:t>强碱</w:t>
                  </w:r>
                  <w:r>
                    <w:rPr>
                      <w:rFonts w:eastAsiaTheme="minorEastAsia"/>
                      <w:color w:val="auto"/>
                      <w:szCs w:val="21"/>
                    </w:rPr>
                    <w:fldChar w:fldCharType="end"/>
                  </w:r>
                  <w:r>
                    <w:rPr>
                      <w:rFonts w:eastAsiaTheme="minorEastAsia"/>
                      <w:color w:val="auto"/>
                      <w:szCs w:val="21"/>
                    </w:rPr>
                    <w:t>，一般为片状或颗粒形态，易溶于水(溶于水时放热)并形成碱性溶液，另有</w:t>
                  </w:r>
                  <w:r>
                    <w:rPr>
                      <w:color w:val="auto"/>
                    </w:rPr>
                    <w:fldChar w:fldCharType="begin"/>
                  </w:r>
                  <w:r>
                    <w:rPr>
                      <w:color w:val="auto"/>
                    </w:rPr>
                    <w:instrText xml:space="preserve"> HYPERLINK "https://baike.so.com/doc/2628817-2775779.html" \t "https://baike.so.com/doc/_blank" </w:instrText>
                  </w:r>
                  <w:r>
                    <w:rPr>
                      <w:color w:val="auto"/>
                    </w:rPr>
                    <w:fldChar w:fldCharType="separate"/>
                  </w:r>
                  <w:r>
                    <w:rPr>
                      <w:rFonts w:eastAsiaTheme="minorEastAsia"/>
                      <w:color w:val="auto"/>
                      <w:szCs w:val="21"/>
                    </w:rPr>
                    <w:t>潮解性</w:t>
                  </w:r>
                  <w:r>
                    <w:rPr>
                      <w:rFonts w:eastAsiaTheme="minorEastAsia"/>
                      <w:color w:val="auto"/>
                      <w:szCs w:val="21"/>
                    </w:rPr>
                    <w:fldChar w:fldCharType="end"/>
                  </w:r>
                  <w:r>
                    <w:rPr>
                      <w:rFonts w:eastAsiaTheme="minorEastAsia"/>
                      <w:color w:val="auto"/>
                      <w:szCs w:val="21"/>
                    </w:rPr>
                    <w:t>，易吸取空气中的水蒸气(潮解)和二氧化碳(变质)。</w:t>
                  </w:r>
                </w:p>
              </w:tc>
              <w:tc>
                <w:tcPr>
                  <w:tcW w:w="1364" w:type="dxa"/>
                  <w:vAlign w:val="center"/>
                </w:tcPr>
                <w:p w14:paraId="2D557F78">
                  <w:pPr>
                    <w:widowControl/>
                    <w:jc w:val="center"/>
                    <w:rPr>
                      <w:rFonts w:eastAsiaTheme="minorEastAsia"/>
                      <w:color w:val="auto"/>
                      <w:szCs w:val="21"/>
                    </w:rPr>
                  </w:pPr>
                  <w:r>
                    <w:rPr>
                      <w:rFonts w:hint="eastAsia" w:eastAsiaTheme="minorEastAsia"/>
                      <w:color w:val="auto"/>
                      <w:szCs w:val="21"/>
                      <w:lang w:eastAsia="zh-CN"/>
                    </w:rPr>
                    <w:t>该产</w:t>
                  </w:r>
                  <w:r>
                    <w:rPr>
                      <w:rFonts w:eastAsiaTheme="minorEastAsia"/>
                      <w:color w:val="auto"/>
                      <w:szCs w:val="21"/>
                    </w:rPr>
                    <w:t>品不会燃烧，遇水和水蒸气大量放热</w:t>
                  </w:r>
                </w:p>
              </w:tc>
              <w:tc>
                <w:tcPr>
                  <w:tcW w:w="1906" w:type="dxa"/>
                  <w:vAlign w:val="center"/>
                </w:tcPr>
                <w:p w14:paraId="2F600096">
                  <w:pPr>
                    <w:widowControl/>
                    <w:jc w:val="center"/>
                    <w:rPr>
                      <w:rFonts w:eastAsiaTheme="minorEastAsia"/>
                      <w:color w:val="auto"/>
                      <w:szCs w:val="21"/>
                    </w:rPr>
                  </w:pPr>
                  <w:r>
                    <w:rPr>
                      <w:rFonts w:eastAsiaTheme="minorEastAsia"/>
                      <w:color w:val="auto"/>
                      <w:szCs w:val="21"/>
                    </w:rPr>
                    <w:t>无毒</w:t>
                  </w:r>
                </w:p>
              </w:tc>
            </w:tr>
            <w:tr w14:paraId="78159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5B5B3BE3">
                  <w:pPr>
                    <w:adjustRightInd w:val="0"/>
                    <w:snapToGrid w:val="0"/>
                    <w:jc w:val="center"/>
                    <w:outlineLvl w:val="0"/>
                    <w:rPr>
                      <w:rFonts w:hint="eastAsia" w:ascii="Times New Roman" w:hAnsi="Times New Roman" w:eastAsia="宋体" w:cs="Times New Roman"/>
                      <w:color w:val="auto"/>
                      <w:kern w:val="2"/>
                      <w:sz w:val="21"/>
                      <w:szCs w:val="21"/>
                      <w:lang w:val="en-US" w:eastAsia="zh-CN" w:bidi="ar-SA"/>
                    </w:rPr>
                  </w:pPr>
                  <w:bookmarkStart w:id="22" w:name="_Toc3025"/>
                  <w:r>
                    <w:rPr>
                      <w:rFonts w:hint="eastAsia"/>
                      <w:color w:val="auto"/>
                      <w:szCs w:val="21"/>
                      <w:lang w:val="en-US" w:eastAsia="zh-CN"/>
                    </w:rPr>
                    <w:t>7</w:t>
                  </w:r>
                  <w:bookmarkEnd w:id="22"/>
                </w:p>
              </w:tc>
              <w:tc>
                <w:tcPr>
                  <w:tcW w:w="902" w:type="dxa"/>
                  <w:vAlign w:val="center"/>
                </w:tcPr>
                <w:p w14:paraId="011B49A4">
                  <w:pPr>
                    <w:widowControl/>
                    <w:jc w:val="center"/>
                    <w:rPr>
                      <w:rFonts w:eastAsiaTheme="minorEastAsia"/>
                      <w:color w:val="auto"/>
                      <w:szCs w:val="21"/>
                    </w:rPr>
                  </w:pPr>
                  <w:r>
                    <w:rPr>
                      <w:rFonts w:hint="eastAsia" w:eastAsiaTheme="minorEastAsia"/>
                      <w:color w:val="auto"/>
                      <w:szCs w:val="21"/>
                    </w:rPr>
                    <w:t>甲酸</w:t>
                  </w:r>
                </w:p>
              </w:tc>
              <w:tc>
                <w:tcPr>
                  <w:tcW w:w="3718" w:type="dxa"/>
                  <w:vAlign w:val="center"/>
                </w:tcPr>
                <w:p w14:paraId="2AE7702E">
                  <w:pPr>
                    <w:widowControl/>
                    <w:jc w:val="center"/>
                    <w:rPr>
                      <w:rFonts w:eastAsiaTheme="minorEastAsia"/>
                      <w:color w:val="auto"/>
                      <w:szCs w:val="21"/>
                    </w:rPr>
                  </w:pPr>
                  <w:r>
                    <w:rPr>
                      <w:rFonts w:eastAsiaTheme="minorEastAsia"/>
                      <w:color w:val="auto"/>
                      <w:szCs w:val="21"/>
                    </w:rPr>
                    <w:t>又称作蚁酸，分子式为HCOOH。甲酸无色而有刺激气味，且有腐蚀性</w:t>
                  </w:r>
                  <w:r>
                    <w:rPr>
                      <w:rFonts w:hint="eastAsia" w:eastAsiaTheme="minorEastAsia"/>
                      <w:color w:val="auto"/>
                      <w:szCs w:val="21"/>
                    </w:rPr>
                    <w:t>.</w:t>
                  </w:r>
                  <w:r>
                    <w:rPr>
                      <w:rFonts w:eastAsiaTheme="minorEastAsia"/>
                      <w:color w:val="auto"/>
                      <w:szCs w:val="21"/>
                    </w:rPr>
                    <w:t>溶解性：与水</w:t>
                  </w:r>
                  <w:r>
                    <w:rPr>
                      <w:color w:val="auto"/>
                    </w:rPr>
                    <w:fldChar w:fldCharType="begin"/>
                  </w:r>
                  <w:r>
                    <w:rPr>
                      <w:color w:val="auto"/>
                    </w:rPr>
                    <w:instrText xml:space="preserve"> HYPERLINK "https://baike.so.com/doc/3983144-4179264.html" \t "https://baike.so.com/doc/_blank" </w:instrText>
                  </w:r>
                  <w:r>
                    <w:rPr>
                      <w:color w:val="auto"/>
                    </w:rPr>
                    <w:fldChar w:fldCharType="separate"/>
                  </w:r>
                  <w:r>
                    <w:rPr>
                      <w:rFonts w:eastAsiaTheme="minorEastAsia"/>
                      <w:color w:val="auto"/>
                      <w:szCs w:val="21"/>
                    </w:rPr>
                    <w:t>混溶</w:t>
                  </w:r>
                  <w:r>
                    <w:rPr>
                      <w:rFonts w:eastAsiaTheme="minorEastAsia"/>
                      <w:color w:val="auto"/>
                      <w:szCs w:val="21"/>
                    </w:rPr>
                    <w:fldChar w:fldCharType="end"/>
                  </w:r>
                  <w:r>
                    <w:rPr>
                      <w:rFonts w:eastAsiaTheme="minorEastAsia"/>
                      <w:color w:val="auto"/>
                      <w:szCs w:val="21"/>
                    </w:rPr>
                    <w:t>，不溶于烃类，可混溶于醇。</w:t>
                  </w:r>
                </w:p>
              </w:tc>
              <w:tc>
                <w:tcPr>
                  <w:tcW w:w="1364" w:type="dxa"/>
                  <w:vAlign w:val="center"/>
                </w:tcPr>
                <w:p w14:paraId="4C02A021">
                  <w:pPr>
                    <w:widowControl/>
                    <w:jc w:val="center"/>
                    <w:rPr>
                      <w:rFonts w:eastAsiaTheme="minorEastAsia"/>
                      <w:color w:val="auto"/>
                      <w:szCs w:val="21"/>
                    </w:rPr>
                  </w:pPr>
                  <w:r>
                    <w:rPr>
                      <w:rFonts w:eastAsiaTheme="minorEastAsia"/>
                      <w:color w:val="auto"/>
                      <w:szCs w:val="21"/>
                    </w:rPr>
                    <w:t>易燃</w:t>
                  </w:r>
                </w:p>
              </w:tc>
              <w:tc>
                <w:tcPr>
                  <w:tcW w:w="1906" w:type="dxa"/>
                  <w:vAlign w:val="center"/>
                </w:tcPr>
                <w:p w14:paraId="6282FF1E">
                  <w:pPr>
                    <w:widowControl/>
                    <w:jc w:val="center"/>
                    <w:rPr>
                      <w:rFonts w:eastAsiaTheme="minorEastAsia"/>
                      <w:color w:val="auto"/>
                      <w:szCs w:val="21"/>
                    </w:rPr>
                  </w:pPr>
                  <w:r>
                    <w:rPr>
                      <w:rFonts w:eastAsiaTheme="minorEastAsia"/>
                      <w:color w:val="auto"/>
                      <w:szCs w:val="21"/>
                    </w:rPr>
                    <w:t>LD501100mg/kg（大鼠经口），LC5015000mg/m</w:t>
                  </w:r>
                  <w:r>
                    <w:rPr>
                      <w:rFonts w:eastAsiaTheme="minorEastAsia"/>
                      <w:color w:val="auto"/>
                      <w:szCs w:val="21"/>
                      <w:vertAlign w:val="superscript"/>
                    </w:rPr>
                    <w:t>3</w:t>
                  </w:r>
                  <w:r>
                    <w:rPr>
                      <w:rFonts w:eastAsiaTheme="minorEastAsia"/>
                      <w:color w:val="auto"/>
                      <w:szCs w:val="21"/>
                    </w:rPr>
                    <w:t>（大鼠吸入，15min）</w:t>
                  </w:r>
                </w:p>
              </w:tc>
            </w:tr>
            <w:tr w14:paraId="52EC2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37" w:type="dxa"/>
                  <w:vAlign w:val="center"/>
                </w:tcPr>
                <w:p w14:paraId="0073779B">
                  <w:pPr>
                    <w:adjustRightInd w:val="0"/>
                    <w:snapToGrid w:val="0"/>
                    <w:jc w:val="center"/>
                    <w:outlineLvl w:val="0"/>
                    <w:rPr>
                      <w:rFonts w:hint="eastAsia" w:ascii="Times New Roman" w:hAnsi="Times New Roman" w:eastAsia="宋体" w:cs="Times New Roman"/>
                      <w:color w:val="auto"/>
                      <w:kern w:val="2"/>
                      <w:sz w:val="21"/>
                      <w:szCs w:val="21"/>
                      <w:lang w:val="en-US" w:eastAsia="zh-CN" w:bidi="ar-SA"/>
                    </w:rPr>
                  </w:pPr>
                  <w:bookmarkStart w:id="23" w:name="_Toc3930"/>
                  <w:r>
                    <w:rPr>
                      <w:rFonts w:hint="eastAsia"/>
                      <w:color w:val="auto"/>
                      <w:szCs w:val="21"/>
                      <w:lang w:val="en-US" w:eastAsia="zh-CN"/>
                    </w:rPr>
                    <w:t>8</w:t>
                  </w:r>
                  <w:bookmarkEnd w:id="23"/>
                </w:p>
              </w:tc>
              <w:tc>
                <w:tcPr>
                  <w:tcW w:w="902" w:type="dxa"/>
                  <w:vAlign w:val="center"/>
                </w:tcPr>
                <w:p w14:paraId="78C05B35">
                  <w:pPr>
                    <w:widowControl/>
                    <w:jc w:val="center"/>
                    <w:rPr>
                      <w:rFonts w:eastAsiaTheme="minorEastAsia"/>
                      <w:color w:val="auto"/>
                      <w:szCs w:val="21"/>
                    </w:rPr>
                  </w:pPr>
                  <w:r>
                    <w:rPr>
                      <w:rFonts w:eastAsiaTheme="minorEastAsia"/>
                      <w:color w:val="auto"/>
                      <w:szCs w:val="21"/>
                    </w:rPr>
                    <w:t>液压油</w:t>
                  </w:r>
                </w:p>
              </w:tc>
              <w:tc>
                <w:tcPr>
                  <w:tcW w:w="3718" w:type="dxa"/>
                  <w:vAlign w:val="center"/>
                </w:tcPr>
                <w:p w14:paraId="27CD1E58">
                  <w:pPr>
                    <w:rPr>
                      <w:rFonts w:eastAsiaTheme="minorEastAsia"/>
                      <w:color w:val="auto"/>
                      <w:szCs w:val="21"/>
                    </w:rPr>
                  </w:pPr>
                  <w:r>
                    <w:rPr>
                      <w:rFonts w:eastAsiaTheme="minorEastAsia"/>
                      <w:color w:val="auto"/>
                      <w:szCs w:val="21"/>
                    </w:rPr>
                    <w:t>外观性状</w:t>
                  </w:r>
                  <w:r>
                    <w:rPr>
                      <w:rFonts w:hint="eastAsia" w:eastAsiaTheme="minorEastAsia"/>
                      <w:color w:val="auto"/>
                      <w:szCs w:val="21"/>
                    </w:rPr>
                    <w:t>:</w:t>
                  </w:r>
                  <w:r>
                    <w:rPr>
                      <w:rFonts w:eastAsiaTheme="minorEastAsia"/>
                      <w:color w:val="auto"/>
                      <w:szCs w:val="21"/>
                    </w:rPr>
                    <w:t>油状液体、淡黄色至褐色，无气味或略带异味。</w:t>
                  </w:r>
                </w:p>
              </w:tc>
              <w:tc>
                <w:tcPr>
                  <w:tcW w:w="1364" w:type="dxa"/>
                  <w:vAlign w:val="center"/>
                </w:tcPr>
                <w:p w14:paraId="213E3DBD">
                  <w:pPr>
                    <w:widowControl/>
                    <w:jc w:val="center"/>
                    <w:rPr>
                      <w:rFonts w:eastAsiaTheme="minorEastAsia"/>
                      <w:color w:val="auto"/>
                      <w:szCs w:val="21"/>
                    </w:rPr>
                  </w:pPr>
                  <w:r>
                    <w:rPr>
                      <w:rFonts w:eastAsiaTheme="minorEastAsia"/>
                      <w:color w:val="auto"/>
                      <w:szCs w:val="21"/>
                    </w:rPr>
                    <w:t>可燃</w:t>
                  </w:r>
                </w:p>
                <w:p w14:paraId="32484A5B">
                  <w:pPr>
                    <w:jc w:val="center"/>
                    <w:rPr>
                      <w:rFonts w:eastAsiaTheme="minorEastAsia"/>
                      <w:color w:val="auto"/>
                      <w:szCs w:val="21"/>
                    </w:rPr>
                  </w:pPr>
                  <w:r>
                    <w:rPr>
                      <w:rFonts w:eastAsiaTheme="minorEastAsia"/>
                      <w:color w:val="auto"/>
                      <w:szCs w:val="21"/>
                    </w:rPr>
                    <w:t>闪点（℃）</w:t>
                  </w:r>
                  <w:r>
                    <w:rPr>
                      <w:rFonts w:hint="eastAsia" w:eastAsiaTheme="minorEastAsia"/>
                      <w:color w:val="auto"/>
                      <w:szCs w:val="21"/>
                    </w:rPr>
                    <w:t>:</w:t>
                  </w:r>
                  <w:r>
                    <w:rPr>
                      <w:rFonts w:eastAsiaTheme="minorEastAsia"/>
                      <w:color w:val="auto"/>
                      <w:szCs w:val="21"/>
                    </w:rPr>
                    <w:t>76；</w:t>
                  </w:r>
                </w:p>
                <w:p w14:paraId="5AF88FE6">
                  <w:pPr>
                    <w:widowControl/>
                    <w:jc w:val="center"/>
                    <w:rPr>
                      <w:rFonts w:eastAsiaTheme="minorEastAsia"/>
                      <w:color w:val="auto"/>
                      <w:szCs w:val="21"/>
                    </w:rPr>
                  </w:pPr>
                  <w:r>
                    <w:rPr>
                      <w:rFonts w:eastAsiaTheme="minorEastAsia"/>
                      <w:color w:val="auto"/>
                      <w:szCs w:val="21"/>
                    </w:rPr>
                    <w:t>引燃温度（℃）:248</w:t>
                  </w:r>
                </w:p>
              </w:tc>
              <w:tc>
                <w:tcPr>
                  <w:tcW w:w="1906" w:type="dxa"/>
                  <w:vAlign w:val="center"/>
                </w:tcPr>
                <w:p w14:paraId="1D525283">
                  <w:pPr>
                    <w:widowControl/>
                    <w:jc w:val="left"/>
                    <w:rPr>
                      <w:rFonts w:eastAsiaTheme="minorEastAsia"/>
                      <w:color w:val="auto"/>
                      <w:szCs w:val="21"/>
                    </w:rPr>
                  </w:pPr>
                  <w:r>
                    <w:rPr>
                      <w:bCs/>
                      <w:color w:val="auto"/>
                      <w:szCs w:val="21"/>
                    </w:rPr>
                    <w:t>未见相关文献报道</w:t>
                  </w:r>
                </w:p>
              </w:tc>
            </w:tr>
            <w:tr w14:paraId="0F8F7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 w:type="dxa"/>
                  <w:vAlign w:val="center"/>
                </w:tcPr>
                <w:p w14:paraId="099695EA">
                  <w:pPr>
                    <w:adjustRightInd w:val="0"/>
                    <w:snapToGrid w:val="0"/>
                    <w:jc w:val="center"/>
                    <w:outlineLvl w:val="0"/>
                    <w:rPr>
                      <w:rFonts w:hint="default" w:eastAsia="宋体"/>
                      <w:color w:val="auto"/>
                      <w:szCs w:val="21"/>
                      <w:lang w:val="en-US" w:eastAsia="zh-CN"/>
                    </w:rPr>
                  </w:pPr>
                  <w:bookmarkStart w:id="24" w:name="_Toc20191"/>
                  <w:r>
                    <w:rPr>
                      <w:rFonts w:hint="eastAsia"/>
                      <w:color w:val="auto"/>
                      <w:szCs w:val="21"/>
                      <w:lang w:val="en-US" w:eastAsia="zh-CN"/>
                    </w:rPr>
                    <w:t>9</w:t>
                  </w:r>
                  <w:bookmarkEnd w:id="24"/>
                </w:p>
              </w:tc>
              <w:tc>
                <w:tcPr>
                  <w:tcW w:w="902" w:type="dxa"/>
                  <w:vAlign w:val="center"/>
                </w:tcPr>
                <w:p w14:paraId="673646EA">
                  <w:pPr>
                    <w:spacing w:line="320" w:lineRule="exact"/>
                    <w:jc w:val="center"/>
                    <w:rPr>
                      <w:bCs/>
                      <w:color w:val="auto"/>
                      <w:szCs w:val="21"/>
                    </w:rPr>
                  </w:pPr>
                  <w:r>
                    <w:rPr>
                      <w:bCs/>
                      <w:color w:val="auto"/>
                      <w:szCs w:val="21"/>
                    </w:rPr>
                    <w:t>面粉</w:t>
                  </w:r>
                </w:p>
              </w:tc>
              <w:tc>
                <w:tcPr>
                  <w:tcW w:w="3718" w:type="dxa"/>
                  <w:vAlign w:val="center"/>
                </w:tcPr>
                <w:p w14:paraId="4A3F58E0">
                  <w:pPr>
                    <w:spacing w:line="320" w:lineRule="exact"/>
                    <w:jc w:val="center"/>
                    <w:rPr>
                      <w:bCs/>
                      <w:color w:val="auto"/>
                      <w:szCs w:val="21"/>
                    </w:rPr>
                  </w:pPr>
                  <w:r>
                    <w:rPr>
                      <w:bCs/>
                      <w:color w:val="auto"/>
                      <w:szCs w:val="21"/>
                    </w:rPr>
                    <w:t>面粉的化学成分有蛋白质、碳水化合物、灰分、酶、水分、脂肪和维生素等。</w:t>
                  </w:r>
                </w:p>
              </w:tc>
              <w:tc>
                <w:tcPr>
                  <w:tcW w:w="1364" w:type="dxa"/>
                  <w:vAlign w:val="center"/>
                </w:tcPr>
                <w:p w14:paraId="0C8F70D7">
                  <w:pPr>
                    <w:spacing w:line="320" w:lineRule="exact"/>
                    <w:jc w:val="center"/>
                    <w:rPr>
                      <w:bCs/>
                      <w:color w:val="auto"/>
                      <w:szCs w:val="21"/>
                    </w:rPr>
                  </w:pPr>
                  <w:r>
                    <w:rPr>
                      <w:bCs/>
                      <w:color w:val="auto"/>
                      <w:szCs w:val="21"/>
                    </w:rPr>
                    <w:t>可燃</w:t>
                  </w:r>
                </w:p>
              </w:tc>
              <w:tc>
                <w:tcPr>
                  <w:tcW w:w="1906" w:type="dxa"/>
                  <w:vAlign w:val="center"/>
                </w:tcPr>
                <w:p w14:paraId="71720F85">
                  <w:pPr>
                    <w:spacing w:line="320" w:lineRule="exact"/>
                    <w:jc w:val="center"/>
                    <w:rPr>
                      <w:bCs/>
                      <w:color w:val="auto"/>
                      <w:szCs w:val="21"/>
                    </w:rPr>
                  </w:pPr>
                  <w:r>
                    <w:rPr>
                      <w:bCs/>
                      <w:color w:val="auto"/>
                      <w:szCs w:val="21"/>
                    </w:rPr>
                    <w:t>无毒</w:t>
                  </w:r>
                </w:p>
              </w:tc>
            </w:tr>
          </w:tbl>
          <w:p w14:paraId="49FC746C">
            <w:pPr>
              <w:widowControl/>
              <w:autoSpaceDE w:val="0"/>
              <w:autoSpaceDN w:val="0"/>
              <w:adjustRightInd w:val="0"/>
              <w:snapToGrid w:val="0"/>
              <w:spacing w:before="120" w:beforeLines="50" w:line="360" w:lineRule="auto"/>
              <w:ind w:firstLine="480" w:firstLineChars="200"/>
              <w:jc w:val="left"/>
              <w:rPr>
                <w:rFonts w:eastAsiaTheme="minorEastAsia"/>
                <w:color w:val="auto"/>
                <w:szCs w:val="21"/>
              </w:rPr>
            </w:pPr>
            <w:r>
              <w:rPr>
                <w:color w:val="auto"/>
                <w:sz w:val="24"/>
              </w:rPr>
              <w:t>（2）</w:t>
            </w:r>
            <w:r>
              <w:rPr>
                <w:rFonts w:eastAsiaTheme="minorEastAsia"/>
                <w:color w:val="auto"/>
                <w:sz w:val="24"/>
              </w:rPr>
              <w:t>胶粘剂</w:t>
            </w:r>
            <w:r>
              <w:rPr>
                <w:color w:val="auto"/>
                <w:sz w:val="24"/>
              </w:rPr>
              <w:t>VOC含量的限值核算</w:t>
            </w:r>
          </w:p>
          <w:p w14:paraId="2F691708">
            <w:pPr>
              <w:autoSpaceDE w:val="0"/>
              <w:autoSpaceDN w:val="0"/>
              <w:adjustRightInd w:val="0"/>
              <w:snapToGrid w:val="0"/>
              <w:spacing w:line="360" w:lineRule="auto"/>
              <w:ind w:firstLine="480" w:firstLineChars="200"/>
              <w:jc w:val="left"/>
              <w:rPr>
                <w:color w:val="auto"/>
                <w:kern w:val="0"/>
                <w:sz w:val="24"/>
                <w:szCs w:val="20"/>
              </w:rPr>
            </w:pPr>
            <w:r>
              <w:rPr>
                <w:color w:val="auto"/>
                <w:kern w:val="0"/>
                <w:sz w:val="24"/>
                <w:szCs w:val="20"/>
              </w:rPr>
              <w:t>本项目使用的</w:t>
            </w:r>
            <w:r>
              <w:rPr>
                <w:rFonts w:hint="eastAsia"/>
                <w:color w:val="auto"/>
                <w:kern w:val="0"/>
                <w:sz w:val="24"/>
                <w:szCs w:val="20"/>
              </w:rPr>
              <w:t>脲醛胶</w:t>
            </w:r>
            <w:r>
              <w:rPr>
                <w:color w:val="auto"/>
                <w:kern w:val="0"/>
                <w:sz w:val="24"/>
                <w:szCs w:val="20"/>
              </w:rPr>
              <w:t>属于</w:t>
            </w:r>
            <w:r>
              <w:rPr>
                <w:rFonts w:hint="eastAsia"/>
                <w:color w:val="auto"/>
                <w:kern w:val="0"/>
                <w:sz w:val="24"/>
                <w:szCs w:val="20"/>
              </w:rPr>
              <w:t>水基</w:t>
            </w:r>
            <w:r>
              <w:rPr>
                <w:color w:val="auto"/>
                <w:kern w:val="0"/>
                <w:sz w:val="24"/>
                <w:szCs w:val="20"/>
              </w:rPr>
              <w:t>型胶粘剂，不含有机溶剂，本身不属于高VOCs含量物料。根据</w:t>
            </w:r>
            <w:r>
              <w:rPr>
                <w:rFonts w:hint="eastAsia"/>
                <w:color w:val="auto"/>
                <w:kern w:val="0"/>
                <w:sz w:val="24"/>
                <w:szCs w:val="20"/>
              </w:rPr>
              <w:t>企业提供的相关检测报告显示，脲醛胶</w:t>
            </w:r>
            <w:r>
              <w:rPr>
                <w:color w:val="auto"/>
                <w:kern w:val="0"/>
                <w:sz w:val="24"/>
                <w:szCs w:val="20"/>
              </w:rPr>
              <w:t>（</w:t>
            </w:r>
            <w:r>
              <w:rPr>
                <w:rFonts w:hint="eastAsia"/>
                <w:color w:val="auto"/>
                <w:kern w:val="0"/>
                <w:sz w:val="24"/>
                <w:szCs w:val="20"/>
              </w:rPr>
              <w:t>见附件8</w:t>
            </w:r>
            <w:r>
              <w:rPr>
                <w:color w:val="auto"/>
                <w:kern w:val="0"/>
                <w:sz w:val="24"/>
                <w:szCs w:val="20"/>
              </w:rPr>
              <w:t>）</w:t>
            </w:r>
            <w:r>
              <w:rPr>
                <w:rFonts w:hint="eastAsia"/>
                <w:color w:val="auto"/>
                <w:kern w:val="0"/>
                <w:sz w:val="24"/>
                <w:szCs w:val="20"/>
              </w:rPr>
              <w:t>的</w:t>
            </w:r>
            <w:r>
              <w:rPr>
                <w:color w:val="auto"/>
                <w:kern w:val="0"/>
                <w:sz w:val="24"/>
                <w:szCs w:val="20"/>
              </w:rPr>
              <w:t>VOCs含量</w:t>
            </w:r>
            <w:r>
              <w:rPr>
                <w:rFonts w:hint="eastAsia"/>
                <w:color w:val="auto"/>
                <w:kern w:val="0"/>
                <w:sz w:val="24"/>
                <w:szCs w:val="20"/>
              </w:rPr>
              <w:t>35g/L，脲醛胶的VOC</w:t>
            </w:r>
            <w:r>
              <w:rPr>
                <w:rFonts w:hint="eastAsia"/>
                <w:color w:val="auto"/>
                <w:kern w:val="0"/>
                <w:sz w:val="24"/>
                <w:szCs w:val="20"/>
                <w:vertAlign w:val="subscript"/>
              </w:rPr>
              <w:t>S</w:t>
            </w:r>
            <w:r>
              <w:rPr>
                <w:rFonts w:hint="eastAsia"/>
                <w:color w:val="auto"/>
                <w:kern w:val="0"/>
                <w:sz w:val="24"/>
                <w:szCs w:val="20"/>
              </w:rPr>
              <w:t>含量限值50</w:t>
            </w:r>
            <w:r>
              <w:rPr>
                <w:color w:val="auto"/>
                <w:kern w:val="0"/>
                <w:sz w:val="24"/>
                <w:szCs w:val="20"/>
              </w:rPr>
              <w:t>g/L</w:t>
            </w:r>
            <w:r>
              <w:rPr>
                <w:rFonts w:hint="eastAsia"/>
                <w:color w:val="auto"/>
                <w:kern w:val="0"/>
                <w:sz w:val="24"/>
                <w:szCs w:val="20"/>
              </w:rPr>
              <w:t>，符合《木材工业胶粘剂用脲醛、酚醛、三聚氰胺甲醛树脂》</w:t>
            </w:r>
            <w:r>
              <w:rPr>
                <w:color w:val="auto"/>
                <w:kern w:val="0"/>
                <w:sz w:val="24"/>
                <w:szCs w:val="20"/>
              </w:rPr>
              <w:t>（GB</w:t>
            </w:r>
            <w:r>
              <w:rPr>
                <w:rFonts w:hint="eastAsia"/>
                <w:color w:val="auto"/>
                <w:kern w:val="0"/>
                <w:sz w:val="24"/>
                <w:szCs w:val="20"/>
              </w:rPr>
              <w:t xml:space="preserve">-T </w:t>
            </w:r>
            <w:r>
              <w:rPr>
                <w:color w:val="auto"/>
                <w:kern w:val="0"/>
                <w:sz w:val="24"/>
                <w:szCs w:val="20"/>
              </w:rPr>
              <w:t>1</w:t>
            </w:r>
            <w:r>
              <w:rPr>
                <w:rFonts w:hint="eastAsia"/>
                <w:color w:val="auto"/>
                <w:kern w:val="0"/>
                <w:sz w:val="24"/>
                <w:szCs w:val="20"/>
              </w:rPr>
              <w:t>4732</w:t>
            </w:r>
            <w:r>
              <w:rPr>
                <w:color w:val="auto"/>
                <w:kern w:val="0"/>
                <w:sz w:val="24"/>
                <w:szCs w:val="20"/>
              </w:rPr>
              <w:t>-20</w:t>
            </w:r>
            <w:r>
              <w:rPr>
                <w:rFonts w:hint="eastAsia"/>
                <w:color w:val="auto"/>
                <w:kern w:val="0"/>
                <w:sz w:val="24"/>
                <w:szCs w:val="20"/>
              </w:rPr>
              <w:t>17</w:t>
            </w:r>
            <w:r>
              <w:rPr>
                <w:color w:val="auto"/>
                <w:kern w:val="0"/>
                <w:sz w:val="24"/>
                <w:szCs w:val="20"/>
              </w:rPr>
              <w:t>）</w:t>
            </w:r>
            <w:r>
              <w:rPr>
                <w:rFonts w:hint="eastAsia"/>
                <w:color w:val="auto"/>
                <w:kern w:val="0"/>
                <w:sz w:val="24"/>
                <w:szCs w:val="20"/>
              </w:rPr>
              <w:t>的限值要求；脲醛胶的甲醛释放限量值不超过0.3%，脲醛胶</w:t>
            </w:r>
            <w:r>
              <w:rPr>
                <w:color w:val="auto"/>
                <w:kern w:val="0"/>
                <w:sz w:val="24"/>
                <w:szCs w:val="20"/>
              </w:rPr>
              <w:t>（</w:t>
            </w:r>
            <w:r>
              <w:rPr>
                <w:rFonts w:hint="eastAsia"/>
                <w:color w:val="auto"/>
                <w:kern w:val="0"/>
                <w:sz w:val="24"/>
                <w:szCs w:val="20"/>
              </w:rPr>
              <w:t>见附件8</w:t>
            </w:r>
            <w:r>
              <w:rPr>
                <w:color w:val="auto"/>
                <w:kern w:val="0"/>
                <w:sz w:val="24"/>
                <w:szCs w:val="20"/>
              </w:rPr>
              <w:t>）</w:t>
            </w:r>
            <w:r>
              <w:rPr>
                <w:rFonts w:hint="eastAsia"/>
                <w:color w:val="auto"/>
                <w:kern w:val="0"/>
                <w:sz w:val="24"/>
                <w:szCs w:val="20"/>
              </w:rPr>
              <w:t>的游离甲醛含量为0.01%，符合《木材工业胶粘剂用脲醛、酚醛、三聚氰胺甲醛树脂》</w:t>
            </w:r>
            <w:r>
              <w:rPr>
                <w:color w:val="auto"/>
                <w:kern w:val="0"/>
                <w:sz w:val="24"/>
                <w:szCs w:val="20"/>
              </w:rPr>
              <w:t>（GB</w:t>
            </w:r>
            <w:r>
              <w:rPr>
                <w:rFonts w:hint="eastAsia"/>
                <w:color w:val="auto"/>
                <w:kern w:val="0"/>
                <w:sz w:val="24"/>
                <w:szCs w:val="20"/>
              </w:rPr>
              <w:t xml:space="preserve">-T </w:t>
            </w:r>
            <w:r>
              <w:rPr>
                <w:color w:val="auto"/>
                <w:kern w:val="0"/>
                <w:sz w:val="24"/>
                <w:szCs w:val="20"/>
              </w:rPr>
              <w:t>1</w:t>
            </w:r>
            <w:r>
              <w:rPr>
                <w:rFonts w:hint="eastAsia"/>
                <w:color w:val="auto"/>
                <w:kern w:val="0"/>
                <w:sz w:val="24"/>
                <w:szCs w:val="20"/>
              </w:rPr>
              <w:t>4732</w:t>
            </w:r>
            <w:r>
              <w:rPr>
                <w:color w:val="auto"/>
                <w:kern w:val="0"/>
                <w:sz w:val="24"/>
                <w:szCs w:val="20"/>
              </w:rPr>
              <w:t>-20</w:t>
            </w:r>
            <w:r>
              <w:rPr>
                <w:rFonts w:hint="eastAsia"/>
                <w:color w:val="auto"/>
                <w:kern w:val="0"/>
                <w:sz w:val="24"/>
                <w:szCs w:val="20"/>
              </w:rPr>
              <w:t>17</w:t>
            </w:r>
            <w:r>
              <w:rPr>
                <w:color w:val="auto"/>
                <w:kern w:val="0"/>
                <w:sz w:val="24"/>
                <w:szCs w:val="20"/>
              </w:rPr>
              <w:t>）</w:t>
            </w:r>
            <w:r>
              <w:rPr>
                <w:rFonts w:hint="eastAsia"/>
                <w:color w:val="auto"/>
                <w:kern w:val="0"/>
                <w:sz w:val="24"/>
                <w:szCs w:val="20"/>
              </w:rPr>
              <w:t>的限值要求，</w:t>
            </w:r>
            <w:r>
              <w:rPr>
                <w:color w:val="auto"/>
                <w:kern w:val="0"/>
                <w:sz w:val="24"/>
                <w:szCs w:val="20"/>
              </w:rPr>
              <w:t>属于低VOCs含量的胶粘剂。相符性分析详见表2</w:t>
            </w:r>
            <w:r>
              <w:rPr>
                <w:rFonts w:hint="eastAsia"/>
                <w:color w:val="auto"/>
                <w:kern w:val="0"/>
                <w:sz w:val="24"/>
                <w:szCs w:val="20"/>
              </w:rPr>
              <w:t>.1-6</w:t>
            </w:r>
            <w:r>
              <w:rPr>
                <w:color w:val="auto"/>
                <w:kern w:val="0"/>
                <w:sz w:val="24"/>
                <w:szCs w:val="20"/>
              </w:rPr>
              <w:t>。</w:t>
            </w:r>
          </w:p>
          <w:p w14:paraId="54649FF0">
            <w:pPr>
              <w:widowControl/>
              <w:adjustRightInd w:val="0"/>
              <w:snapToGrid w:val="0"/>
              <w:jc w:val="center"/>
              <w:rPr>
                <w:rFonts w:eastAsiaTheme="minorEastAsia"/>
                <w:b/>
                <w:color w:val="auto"/>
                <w:kern w:val="0"/>
                <w:sz w:val="24"/>
              </w:rPr>
            </w:pPr>
            <w:r>
              <w:rPr>
                <w:rFonts w:hAnsiTheme="minorEastAsia" w:eastAsiaTheme="minorEastAsia"/>
                <w:b/>
                <w:color w:val="auto"/>
                <w:kern w:val="0"/>
                <w:sz w:val="24"/>
              </w:rPr>
              <w:t>表</w:t>
            </w:r>
            <w:r>
              <w:rPr>
                <w:rFonts w:eastAsiaTheme="minorEastAsia"/>
                <w:b/>
                <w:color w:val="auto"/>
                <w:kern w:val="0"/>
                <w:sz w:val="24"/>
              </w:rPr>
              <w:t>2</w:t>
            </w:r>
            <w:r>
              <w:rPr>
                <w:rFonts w:hint="eastAsia" w:eastAsiaTheme="minorEastAsia"/>
                <w:b/>
                <w:color w:val="auto"/>
                <w:kern w:val="0"/>
                <w:sz w:val="24"/>
              </w:rPr>
              <w:t>.1-6</w:t>
            </w:r>
            <w:r>
              <w:rPr>
                <w:rFonts w:hAnsiTheme="minorEastAsia" w:eastAsiaTheme="minorEastAsia"/>
                <w:b/>
                <w:color w:val="auto"/>
                <w:kern w:val="0"/>
                <w:sz w:val="24"/>
              </w:rPr>
              <w:t>胶粘剂</w:t>
            </w:r>
            <w:r>
              <w:rPr>
                <w:rFonts w:eastAsiaTheme="minorEastAsia"/>
                <w:b/>
                <w:color w:val="auto"/>
                <w:kern w:val="0"/>
                <w:sz w:val="24"/>
                <w:lang w:val="zh-CN"/>
              </w:rPr>
              <w:t>VOC</w:t>
            </w:r>
            <w:r>
              <w:rPr>
                <w:rFonts w:hint="eastAsia" w:eastAsiaTheme="minorEastAsia"/>
                <w:b/>
                <w:color w:val="auto"/>
                <w:kern w:val="0"/>
                <w:sz w:val="24"/>
                <w:lang w:val="zh-CN"/>
              </w:rPr>
              <w:t>、游离甲醛</w:t>
            </w:r>
            <w:r>
              <w:rPr>
                <w:rFonts w:hAnsiTheme="minorEastAsia" w:eastAsiaTheme="minorEastAsia"/>
                <w:b/>
                <w:color w:val="auto"/>
                <w:kern w:val="0"/>
                <w:sz w:val="24"/>
                <w:lang w:val="zh-CN"/>
              </w:rPr>
              <w:t>含量限值</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11"/>
              <w:gridCol w:w="1153"/>
              <w:gridCol w:w="1141"/>
              <w:gridCol w:w="1271"/>
              <w:gridCol w:w="2291"/>
              <w:gridCol w:w="721"/>
            </w:tblGrid>
            <w:tr w14:paraId="46F2B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79" w:type="pct"/>
                  <w:vAlign w:val="center"/>
                </w:tcPr>
                <w:p w14:paraId="45C41A64">
                  <w:pPr>
                    <w:autoSpaceDE w:val="0"/>
                    <w:autoSpaceDN w:val="0"/>
                    <w:adjustRightInd w:val="0"/>
                    <w:snapToGrid w:val="0"/>
                    <w:jc w:val="center"/>
                    <w:rPr>
                      <w:rFonts w:eastAsiaTheme="minorEastAsia"/>
                      <w:b/>
                      <w:color w:val="auto"/>
                      <w:kern w:val="0"/>
                      <w:szCs w:val="21"/>
                      <w:lang w:val="zh-CN"/>
                    </w:rPr>
                  </w:pPr>
                  <w:r>
                    <w:rPr>
                      <w:rFonts w:hAnsiTheme="minorEastAsia" w:eastAsiaTheme="minorEastAsia"/>
                      <w:b/>
                      <w:color w:val="auto"/>
                      <w:kern w:val="0"/>
                      <w:szCs w:val="21"/>
                      <w:lang w:val="zh-CN"/>
                    </w:rPr>
                    <w:t>文件</w:t>
                  </w:r>
                </w:p>
              </w:tc>
              <w:tc>
                <w:tcPr>
                  <w:tcW w:w="687" w:type="pct"/>
                  <w:vAlign w:val="center"/>
                </w:tcPr>
                <w:p w14:paraId="12AE6F9E">
                  <w:pPr>
                    <w:autoSpaceDE w:val="0"/>
                    <w:autoSpaceDN w:val="0"/>
                    <w:adjustRightInd w:val="0"/>
                    <w:snapToGrid w:val="0"/>
                    <w:jc w:val="center"/>
                    <w:rPr>
                      <w:rFonts w:eastAsiaTheme="minorEastAsia"/>
                      <w:b/>
                      <w:color w:val="auto"/>
                      <w:kern w:val="0"/>
                      <w:szCs w:val="21"/>
                      <w:lang w:val="zh-CN"/>
                    </w:rPr>
                  </w:pPr>
                  <w:r>
                    <w:rPr>
                      <w:rFonts w:hint="eastAsia" w:eastAsiaTheme="minorEastAsia"/>
                      <w:b/>
                      <w:color w:val="auto"/>
                      <w:kern w:val="0"/>
                      <w:szCs w:val="21"/>
                      <w:lang w:val="zh-CN"/>
                    </w:rPr>
                    <w:t>名称</w:t>
                  </w:r>
                </w:p>
              </w:tc>
              <w:tc>
                <w:tcPr>
                  <w:tcW w:w="680" w:type="pct"/>
                  <w:vAlign w:val="center"/>
                </w:tcPr>
                <w:p w14:paraId="13638A53">
                  <w:pPr>
                    <w:autoSpaceDE w:val="0"/>
                    <w:autoSpaceDN w:val="0"/>
                    <w:adjustRightInd w:val="0"/>
                    <w:snapToGrid w:val="0"/>
                    <w:jc w:val="center"/>
                    <w:rPr>
                      <w:rFonts w:eastAsiaTheme="minorEastAsia"/>
                      <w:b/>
                      <w:color w:val="auto"/>
                      <w:kern w:val="0"/>
                      <w:szCs w:val="21"/>
                      <w:lang w:val="zh-CN"/>
                    </w:rPr>
                  </w:pPr>
                  <w:r>
                    <w:rPr>
                      <w:rFonts w:hAnsiTheme="minorEastAsia" w:eastAsiaTheme="minorEastAsia"/>
                      <w:b/>
                      <w:color w:val="auto"/>
                      <w:kern w:val="0"/>
                      <w:szCs w:val="21"/>
                      <w:lang w:val="zh-CN"/>
                    </w:rPr>
                    <w:t>工序</w:t>
                  </w:r>
                </w:p>
              </w:tc>
              <w:tc>
                <w:tcPr>
                  <w:tcW w:w="757" w:type="pct"/>
                  <w:vAlign w:val="center"/>
                </w:tcPr>
                <w:p w14:paraId="524062F1">
                  <w:pPr>
                    <w:autoSpaceDE w:val="0"/>
                    <w:autoSpaceDN w:val="0"/>
                    <w:adjustRightInd w:val="0"/>
                    <w:snapToGrid w:val="0"/>
                    <w:jc w:val="center"/>
                    <w:rPr>
                      <w:rFonts w:eastAsiaTheme="minorEastAsia"/>
                      <w:b/>
                      <w:color w:val="auto"/>
                      <w:kern w:val="0"/>
                      <w:szCs w:val="21"/>
                      <w:lang w:val="zh-CN"/>
                    </w:rPr>
                  </w:pPr>
                  <w:r>
                    <w:rPr>
                      <w:rFonts w:hAnsiTheme="minorEastAsia" w:eastAsiaTheme="minorEastAsia"/>
                      <w:b/>
                      <w:color w:val="auto"/>
                      <w:kern w:val="0"/>
                      <w:szCs w:val="21"/>
                      <w:lang w:val="zh-CN"/>
                    </w:rPr>
                    <w:t>限量值</w:t>
                  </w:r>
                </w:p>
              </w:tc>
              <w:tc>
                <w:tcPr>
                  <w:tcW w:w="1365" w:type="pct"/>
                  <w:vAlign w:val="center"/>
                </w:tcPr>
                <w:p w14:paraId="38F292C5">
                  <w:pPr>
                    <w:autoSpaceDE w:val="0"/>
                    <w:autoSpaceDN w:val="0"/>
                    <w:adjustRightInd w:val="0"/>
                    <w:snapToGrid w:val="0"/>
                    <w:jc w:val="center"/>
                    <w:rPr>
                      <w:rFonts w:eastAsiaTheme="minorEastAsia"/>
                      <w:b/>
                      <w:color w:val="auto"/>
                      <w:kern w:val="0"/>
                      <w:szCs w:val="21"/>
                      <w:lang w:val="zh-CN"/>
                    </w:rPr>
                  </w:pPr>
                  <w:r>
                    <w:rPr>
                      <w:rFonts w:hAnsiTheme="minorEastAsia" w:eastAsiaTheme="minorEastAsia"/>
                      <w:b/>
                      <w:color w:val="auto"/>
                      <w:kern w:val="0"/>
                      <w:szCs w:val="21"/>
                      <w:lang w:val="zh-CN"/>
                    </w:rPr>
                    <w:t>含量</w:t>
                  </w:r>
                </w:p>
              </w:tc>
              <w:tc>
                <w:tcPr>
                  <w:tcW w:w="429" w:type="pct"/>
                  <w:vAlign w:val="center"/>
                </w:tcPr>
                <w:p w14:paraId="79B09DA1">
                  <w:pPr>
                    <w:autoSpaceDE w:val="0"/>
                    <w:autoSpaceDN w:val="0"/>
                    <w:adjustRightInd w:val="0"/>
                    <w:snapToGrid w:val="0"/>
                    <w:jc w:val="center"/>
                    <w:rPr>
                      <w:rFonts w:eastAsiaTheme="minorEastAsia"/>
                      <w:b/>
                      <w:color w:val="auto"/>
                      <w:kern w:val="0"/>
                      <w:szCs w:val="21"/>
                      <w:lang w:val="zh-CN"/>
                    </w:rPr>
                  </w:pPr>
                  <w:r>
                    <w:rPr>
                      <w:rFonts w:hAnsiTheme="minorEastAsia" w:eastAsiaTheme="minorEastAsia"/>
                      <w:b/>
                      <w:color w:val="auto"/>
                      <w:kern w:val="0"/>
                      <w:szCs w:val="21"/>
                      <w:lang w:val="zh-CN"/>
                    </w:rPr>
                    <w:t>符合性</w:t>
                  </w:r>
                </w:p>
              </w:tc>
            </w:tr>
            <w:tr w14:paraId="3F134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079" w:type="pct"/>
                  <w:vAlign w:val="center"/>
                </w:tcPr>
                <w:p w14:paraId="30C69F7D">
                  <w:pPr>
                    <w:widowControl/>
                    <w:adjustRightInd w:val="0"/>
                    <w:snapToGrid w:val="0"/>
                    <w:jc w:val="center"/>
                    <w:rPr>
                      <w:rFonts w:eastAsiaTheme="minorEastAsia"/>
                      <w:color w:val="auto"/>
                      <w:kern w:val="0"/>
                      <w:szCs w:val="21"/>
                    </w:rPr>
                  </w:pPr>
                  <w:r>
                    <w:rPr>
                      <w:rFonts w:hint="eastAsia" w:hAnsiTheme="minorEastAsia" w:eastAsiaTheme="minorEastAsia"/>
                      <w:color w:val="auto"/>
                      <w:szCs w:val="21"/>
                    </w:rPr>
                    <w:t>《木材工业胶粘剂用脲醛、酚醛、三聚氰胺甲醛树脂》</w:t>
                  </w:r>
                  <w:r>
                    <w:rPr>
                      <w:rFonts w:hAnsiTheme="minorEastAsia" w:eastAsiaTheme="minorEastAsia"/>
                      <w:color w:val="auto"/>
                      <w:szCs w:val="21"/>
                    </w:rPr>
                    <w:t>（GB</w:t>
                  </w:r>
                  <w:r>
                    <w:rPr>
                      <w:rFonts w:hint="eastAsia" w:hAnsiTheme="minorEastAsia" w:eastAsiaTheme="minorEastAsia"/>
                      <w:color w:val="auto"/>
                      <w:szCs w:val="21"/>
                    </w:rPr>
                    <w:t xml:space="preserve">-T </w:t>
                  </w:r>
                  <w:r>
                    <w:rPr>
                      <w:rFonts w:hAnsiTheme="minorEastAsia" w:eastAsiaTheme="minorEastAsia"/>
                      <w:color w:val="auto"/>
                      <w:szCs w:val="21"/>
                    </w:rPr>
                    <w:t>1</w:t>
                  </w:r>
                  <w:r>
                    <w:rPr>
                      <w:rFonts w:hint="eastAsia" w:hAnsiTheme="minorEastAsia" w:eastAsiaTheme="minorEastAsia"/>
                      <w:color w:val="auto"/>
                      <w:szCs w:val="21"/>
                    </w:rPr>
                    <w:t>4732</w:t>
                  </w:r>
                  <w:r>
                    <w:rPr>
                      <w:rFonts w:hAnsiTheme="minorEastAsia" w:eastAsiaTheme="minorEastAsia"/>
                      <w:color w:val="auto"/>
                      <w:szCs w:val="21"/>
                    </w:rPr>
                    <w:t>-20</w:t>
                  </w:r>
                  <w:r>
                    <w:rPr>
                      <w:rFonts w:hint="eastAsia" w:hAnsiTheme="minorEastAsia" w:eastAsiaTheme="minorEastAsia"/>
                      <w:color w:val="auto"/>
                      <w:szCs w:val="21"/>
                    </w:rPr>
                    <w:t>17</w:t>
                  </w:r>
                  <w:r>
                    <w:rPr>
                      <w:rFonts w:hAnsiTheme="minorEastAsia" w:eastAsiaTheme="minorEastAsia"/>
                      <w:color w:val="auto"/>
                      <w:szCs w:val="21"/>
                    </w:rPr>
                    <w:t>）</w:t>
                  </w:r>
                </w:p>
              </w:tc>
              <w:tc>
                <w:tcPr>
                  <w:tcW w:w="687" w:type="pct"/>
                  <w:vAlign w:val="center"/>
                </w:tcPr>
                <w:p w14:paraId="59B779F8">
                  <w:pPr>
                    <w:autoSpaceDE w:val="0"/>
                    <w:autoSpaceDN w:val="0"/>
                    <w:adjustRightInd w:val="0"/>
                    <w:snapToGrid w:val="0"/>
                    <w:jc w:val="center"/>
                    <w:rPr>
                      <w:rFonts w:eastAsiaTheme="minorEastAsia"/>
                      <w:color w:val="auto"/>
                      <w:kern w:val="0"/>
                      <w:szCs w:val="21"/>
                    </w:rPr>
                  </w:pPr>
                  <w:r>
                    <w:rPr>
                      <w:rFonts w:hint="eastAsia" w:eastAsiaTheme="minorEastAsia"/>
                      <w:color w:val="auto"/>
                      <w:kern w:val="0"/>
                      <w:szCs w:val="21"/>
                    </w:rPr>
                    <w:t>脲醛胶</w:t>
                  </w:r>
                </w:p>
              </w:tc>
              <w:tc>
                <w:tcPr>
                  <w:tcW w:w="680" w:type="pct"/>
                  <w:vAlign w:val="center"/>
                </w:tcPr>
                <w:p w14:paraId="0AEC80E4">
                  <w:pPr>
                    <w:autoSpaceDE w:val="0"/>
                    <w:autoSpaceDN w:val="0"/>
                    <w:adjustRightInd w:val="0"/>
                    <w:snapToGrid w:val="0"/>
                    <w:jc w:val="center"/>
                    <w:rPr>
                      <w:rFonts w:eastAsiaTheme="minorEastAsia"/>
                      <w:color w:val="auto"/>
                      <w:kern w:val="0"/>
                      <w:szCs w:val="21"/>
                    </w:rPr>
                  </w:pPr>
                  <w:r>
                    <w:rPr>
                      <w:rFonts w:hint="eastAsia" w:eastAsiaTheme="minorEastAsia"/>
                      <w:color w:val="auto"/>
                      <w:kern w:val="0"/>
                      <w:szCs w:val="21"/>
                    </w:rPr>
                    <w:t>调胶、涂胶、</w:t>
                  </w:r>
                  <w:r>
                    <w:rPr>
                      <w:rFonts w:hint="eastAsia" w:eastAsiaTheme="minorEastAsia"/>
                      <w:color w:val="auto"/>
                      <w:kern w:val="0"/>
                      <w:szCs w:val="21"/>
                      <w:lang w:eastAsia="zh-CN"/>
                    </w:rPr>
                    <w:t>排版</w:t>
                  </w:r>
                  <w:r>
                    <w:rPr>
                      <w:rFonts w:hint="eastAsia" w:eastAsiaTheme="minorEastAsia"/>
                      <w:color w:val="auto"/>
                      <w:kern w:val="0"/>
                      <w:szCs w:val="21"/>
                    </w:rPr>
                    <w:t>、热压</w:t>
                  </w:r>
                </w:p>
              </w:tc>
              <w:tc>
                <w:tcPr>
                  <w:tcW w:w="757" w:type="pct"/>
                  <w:vAlign w:val="center"/>
                </w:tcPr>
                <w:p w14:paraId="61AC057B">
                  <w:pPr>
                    <w:widowControl/>
                    <w:adjustRightInd w:val="0"/>
                    <w:snapToGrid w:val="0"/>
                    <w:jc w:val="center"/>
                    <w:rPr>
                      <w:rFonts w:eastAsiaTheme="minorEastAsia"/>
                      <w:color w:val="auto"/>
                      <w:kern w:val="0"/>
                      <w:szCs w:val="21"/>
                    </w:rPr>
                  </w:pPr>
                  <w:r>
                    <w:rPr>
                      <w:rFonts w:eastAsiaTheme="minorEastAsia"/>
                      <w:color w:val="auto"/>
                      <w:szCs w:val="21"/>
                    </w:rPr>
                    <w:t>≤</w:t>
                  </w:r>
                  <w:r>
                    <w:rPr>
                      <w:rFonts w:hint="eastAsia" w:eastAsiaTheme="minorEastAsia"/>
                      <w:color w:val="auto"/>
                      <w:kern w:val="0"/>
                      <w:szCs w:val="21"/>
                    </w:rPr>
                    <w:t>0.3%</w:t>
                  </w:r>
                </w:p>
              </w:tc>
              <w:tc>
                <w:tcPr>
                  <w:tcW w:w="1365" w:type="pct"/>
                  <w:vAlign w:val="center"/>
                </w:tcPr>
                <w:p w14:paraId="6AE0A62A">
                  <w:pPr>
                    <w:widowControl/>
                    <w:adjustRightInd w:val="0"/>
                    <w:snapToGrid w:val="0"/>
                    <w:jc w:val="center"/>
                    <w:rPr>
                      <w:rFonts w:eastAsiaTheme="minorEastAsia"/>
                      <w:color w:val="auto"/>
                      <w:kern w:val="0"/>
                      <w:szCs w:val="21"/>
                    </w:rPr>
                  </w:pPr>
                  <w:r>
                    <w:rPr>
                      <w:rFonts w:hint="eastAsia" w:eastAsiaTheme="minorEastAsia"/>
                      <w:color w:val="auto"/>
                      <w:kern w:val="0"/>
                      <w:szCs w:val="21"/>
                    </w:rPr>
                    <w:t>游离甲醛含量为0.01%</w:t>
                  </w:r>
                </w:p>
              </w:tc>
              <w:tc>
                <w:tcPr>
                  <w:tcW w:w="429" w:type="pct"/>
                  <w:vAlign w:val="center"/>
                </w:tcPr>
                <w:p w14:paraId="2A5D1273">
                  <w:pPr>
                    <w:widowControl/>
                    <w:adjustRightInd w:val="0"/>
                    <w:snapToGrid w:val="0"/>
                    <w:jc w:val="center"/>
                    <w:rPr>
                      <w:rFonts w:eastAsiaTheme="minorEastAsia"/>
                      <w:color w:val="auto"/>
                      <w:szCs w:val="21"/>
                    </w:rPr>
                  </w:pPr>
                  <w:r>
                    <w:rPr>
                      <w:rFonts w:hAnsiTheme="minorEastAsia" w:eastAsiaTheme="minorEastAsia"/>
                      <w:color w:val="auto"/>
                      <w:kern w:val="0"/>
                      <w:szCs w:val="21"/>
                    </w:rPr>
                    <w:t>相符</w:t>
                  </w:r>
                </w:p>
              </w:tc>
            </w:tr>
            <w:tr w14:paraId="5275D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079" w:type="pct"/>
                  <w:vAlign w:val="center"/>
                </w:tcPr>
                <w:p w14:paraId="18A912CD">
                  <w:pPr>
                    <w:widowControl/>
                    <w:adjustRightInd w:val="0"/>
                    <w:snapToGrid w:val="0"/>
                    <w:jc w:val="center"/>
                    <w:rPr>
                      <w:rFonts w:hint="eastAsia" w:hAnsiTheme="minorEastAsia" w:eastAsiaTheme="minorEastAsia"/>
                      <w:color w:val="auto"/>
                      <w:szCs w:val="21"/>
                    </w:rPr>
                  </w:pPr>
                  <w:r>
                    <w:rPr>
                      <w:color w:val="auto"/>
                      <w:kern w:val="0"/>
                      <w:szCs w:val="21"/>
                    </w:rPr>
                    <w:t>《胶粘剂挥发性有机化合物限量》（GB 33372-2020）</w:t>
                  </w:r>
                </w:p>
              </w:tc>
              <w:tc>
                <w:tcPr>
                  <w:tcW w:w="687" w:type="pct"/>
                  <w:vAlign w:val="center"/>
                </w:tcPr>
                <w:p w14:paraId="284370E8">
                  <w:pPr>
                    <w:autoSpaceDE w:val="0"/>
                    <w:autoSpaceDN w:val="0"/>
                    <w:adjustRightInd w:val="0"/>
                    <w:snapToGrid w:val="0"/>
                    <w:jc w:val="center"/>
                    <w:rPr>
                      <w:rFonts w:eastAsiaTheme="minorEastAsia"/>
                      <w:color w:val="auto"/>
                      <w:kern w:val="0"/>
                      <w:szCs w:val="21"/>
                    </w:rPr>
                  </w:pPr>
                  <w:r>
                    <w:rPr>
                      <w:rFonts w:hint="eastAsia" w:eastAsiaTheme="minorEastAsia"/>
                      <w:color w:val="auto"/>
                      <w:kern w:val="0"/>
                      <w:szCs w:val="21"/>
                    </w:rPr>
                    <w:t>脲醛胶</w:t>
                  </w:r>
                </w:p>
              </w:tc>
              <w:tc>
                <w:tcPr>
                  <w:tcW w:w="680" w:type="pct"/>
                  <w:vAlign w:val="center"/>
                </w:tcPr>
                <w:p w14:paraId="1E6D72D8">
                  <w:pPr>
                    <w:autoSpaceDE w:val="0"/>
                    <w:autoSpaceDN w:val="0"/>
                    <w:adjustRightInd w:val="0"/>
                    <w:snapToGrid w:val="0"/>
                    <w:jc w:val="center"/>
                    <w:rPr>
                      <w:rFonts w:eastAsiaTheme="minorEastAsia"/>
                      <w:color w:val="auto"/>
                      <w:kern w:val="0"/>
                      <w:szCs w:val="21"/>
                    </w:rPr>
                  </w:pPr>
                  <w:r>
                    <w:rPr>
                      <w:rFonts w:hint="eastAsia" w:eastAsiaTheme="minorEastAsia"/>
                      <w:color w:val="auto"/>
                      <w:kern w:val="0"/>
                      <w:szCs w:val="21"/>
                    </w:rPr>
                    <w:t>调胶、涂胶、</w:t>
                  </w:r>
                  <w:r>
                    <w:rPr>
                      <w:rFonts w:hint="eastAsia" w:eastAsiaTheme="minorEastAsia"/>
                      <w:color w:val="auto"/>
                      <w:kern w:val="0"/>
                      <w:szCs w:val="21"/>
                      <w:lang w:eastAsia="zh-CN"/>
                    </w:rPr>
                    <w:t>排版</w:t>
                  </w:r>
                  <w:r>
                    <w:rPr>
                      <w:rFonts w:hint="eastAsia" w:eastAsiaTheme="minorEastAsia"/>
                      <w:color w:val="auto"/>
                      <w:kern w:val="0"/>
                      <w:szCs w:val="21"/>
                    </w:rPr>
                    <w:t>、热压</w:t>
                  </w:r>
                </w:p>
              </w:tc>
              <w:tc>
                <w:tcPr>
                  <w:tcW w:w="757" w:type="pct"/>
                  <w:vAlign w:val="center"/>
                </w:tcPr>
                <w:p w14:paraId="53DB36A7">
                  <w:pPr>
                    <w:widowControl/>
                    <w:adjustRightInd w:val="0"/>
                    <w:snapToGrid w:val="0"/>
                    <w:jc w:val="center"/>
                    <w:rPr>
                      <w:rFonts w:eastAsiaTheme="minorEastAsia"/>
                      <w:color w:val="auto"/>
                      <w:szCs w:val="21"/>
                    </w:rPr>
                  </w:pPr>
                  <w:r>
                    <w:rPr>
                      <w:rFonts w:eastAsiaTheme="minorEastAsia"/>
                      <w:color w:val="auto"/>
                      <w:szCs w:val="21"/>
                    </w:rPr>
                    <w:t>≤</w:t>
                  </w:r>
                  <w:r>
                    <w:rPr>
                      <w:rFonts w:hint="eastAsia" w:eastAsiaTheme="minorEastAsia"/>
                      <w:color w:val="auto"/>
                      <w:kern w:val="0"/>
                      <w:szCs w:val="21"/>
                    </w:rPr>
                    <w:t>50</w:t>
                  </w:r>
                  <w:r>
                    <w:rPr>
                      <w:rFonts w:eastAsiaTheme="minorEastAsia"/>
                      <w:color w:val="auto"/>
                      <w:kern w:val="0"/>
                      <w:szCs w:val="21"/>
                    </w:rPr>
                    <w:t>g/L</w:t>
                  </w:r>
                </w:p>
              </w:tc>
              <w:tc>
                <w:tcPr>
                  <w:tcW w:w="1365" w:type="pct"/>
                  <w:vAlign w:val="center"/>
                </w:tcPr>
                <w:p w14:paraId="245D78EF">
                  <w:pPr>
                    <w:widowControl/>
                    <w:adjustRightInd w:val="0"/>
                    <w:snapToGrid w:val="0"/>
                    <w:jc w:val="center"/>
                    <w:rPr>
                      <w:rFonts w:eastAsiaTheme="minorEastAsia"/>
                      <w:color w:val="auto"/>
                      <w:kern w:val="0"/>
                      <w:szCs w:val="21"/>
                    </w:rPr>
                  </w:pPr>
                  <w:r>
                    <w:rPr>
                      <w:rFonts w:hint="eastAsia" w:eastAsiaTheme="minorEastAsia"/>
                      <w:color w:val="auto"/>
                      <w:kern w:val="0"/>
                      <w:szCs w:val="21"/>
                    </w:rPr>
                    <w:t>检测报告35g/L检出</w:t>
                  </w:r>
                </w:p>
              </w:tc>
              <w:tc>
                <w:tcPr>
                  <w:tcW w:w="429" w:type="pct"/>
                  <w:vAlign w:val="center"/>
                </w:tcPr>
                <w:p w14:paraId="5C931028">
                  <w:pPr>
                    <w:widowControl/>
                    <w:adjustRightInd w:val="0"/>
                    <w:snapToGrid w:val="0"/>
                    <w:jc w:val="center"/>
                    <w:rPr>
                      <w:rFonts w:hint="eastAsia" w:hAnsiTheme="minorEastAsia" w:eastAsiaTheme="minorEastAsia"/>
                      <w:color w:val="auto"/>
                      <w:kern w:val="0"/>
                      <w:szCs w:val="21"/>
                    </w:rPr>
                  </w:pPr>
                  <w:r>
                    <w:rPr>
                      <w:rFonts w:hAnsiTheme="minorEastAsia" w:eastAsiaTheme="minorEastAsia"/>
                      <w:color w:val="auto"/>
                      <w:kern w:val="0"/>
                      <w:szCs w:val="21"/>
                    </w:rPr>
                    <w:t>相符</w:t>
                  </w:r>
                </w:p>
              </w:tc>
            </w:tr>
          </w:tbl>
          <w:p w14:paraId="0F35F5A8">
            <w:pPr>
              <w:widowControl/>
              <w:adjustRightInd w:val="0"/>
              <w:snapToGrid w:val="0"/>
              <w:spacing w:line="360" w:lineRule="auto"/>
              <w:ind w:firstLine="482" w:firstLineChars="200"/>
              <w:jc w:val="left"/>
              <w:rPr>
                <w:rFonts w:eastAsiaTheme="minorEastAsia"/>
                <w:b/>
                <w:color w:val="auto"/>
                <w:kern w:val="0"/>
                <w:sz w:val="24"/>
              </w:rPr>
            </w:pPr>
            <w:r>
              <w:rPr>
                <w:rFonts w:eastAsiaTheme="minorEastAsia"/>
                <w:b/>
                <w:color w:val="auto"/>
                <w:kern w:val="0"/>
                <w:sz w:val="24"/>
              </w:rPr>
              <w:t>5.公用及辅助工程</w:t>
            </w:r>
          </w:p>
          <w:p w14:paraId="12A300FF">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本项目主体工程、公用工程及辅助工程见表2</w:t>
            </w:r>
            <w:r>
              <w:rPr>
                <w:rFonts w:hint="eastAsia" w:eastAsiaTheme="minorEastAsia"/>
                <w:color w:val="auto"/>
                <w:kern w:val="0"/>
                <w:sz w:val="24"/>
              </w:rPr>
              <w:t>.1</w:t>
            </w:r>
            <w:r>
              <w:rPr>
                <w:rFonts w:eastAsiaTheme="minorEastAsia"/>
                <w:color w:val="auto"/>
                <w:kern w:val="0"/>
                <w:sz w:val="24"/>
              </w:rPr>
              <w:t>-</w:t>
            </w:r>
            <w:r>
              <w:rPr>
                <w:rFonts w:hint="eastAsia" w:eastAsiaTheme="minorEastAsia"/>
                <w:color w:val="auto"/>
                <w:kern w:val="0"/>
                <w:sz w:val="24"/>
              </w:rPr>
              <w:t>7</w:t>
            </w:r>
            <w:r>
              <w:rPr>
                <w:rFonts w:eastAsiaTheme="minorEastAsia"/>
                <w:color w:val="auto"/>
                <w:kern w:val="0"/>
                <w:sz w:val="24"/>
              </w:rPr>
              <w:t>。</w:t>
            </w:r>
          </w:p>
          <w:p w14:paraId="4A03A374">
            <w:pPr>
              <w:widowControl/>
              <w:autoSpaceDE w:val="0"/>
              <w:autoSpaceDN w:val="0"/>
              <w:adjustRightInd w:val="0"/>
              <w:snapToGrid w:val="0"/>
              <w:jc w:val="center"/>
              <w:rPr>
                <w:rFonts w:eastAsiaTheme="minorEastAsia"/>
                <w:b/>
                <w:color w:val="auto"/>
                <w:kern w:val="0"/>
                <w:sz w:val="24"/>
              </w:rPr>
            </w:pPr>
            <w:r>
              <w:rPr>
                <w:rFonts w:eastAsiaTheme="minorEastAsia"/>
                <w:b/>
                <w:color w:val="auto"/>
                <w:kern w:val="0"/>
                <w:sz w:val="24"/>
              </w:rPr>
              <w:t>表2.1-</w:t>
            </w:r>
            <w:r>
              <w:rPr>
                <w:rFonts w:hint="eastAsia" w:eastAsiaTheme="minorEastAsia"/>
                <w:b/>
                <w:color w:val="auto"/>
                <w:kern w:val="0"/>
                <w:sz w:val="24"/>
              </w:rPr>
              <w:t>7建设项目</w:t>
            </w:r>
            <w:r>
              <w:rPr>
                <w:rFonts w:eastAsiaTheme="minorEastAsia"/>
                <w:b/>
                <w:color w:val="auto"/>
                <w:kern w:val="0"/>
                <w:sz w:val="24"/>
              </w:rPr>
              <w:t>公用与辅助工程一览表</w:t>
            </w:r>
          </w:p>
          <w:tbl>
            <w:tblPr>
              <w:tblStyle w:val="42"/>
              <w:tblW w:w="47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7"/>
              <w:gridCol w:w="464"/>
              <w:gridCol w:w="2123"/>
              <w:gridCol w:w="2790"/>
              <w:gridCol w:w="2012"/>
            </w:tblGrid>
            <w:tr w14:paraId="242FF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Align w:val="center"/>
                </w:tcPr>
                <w:p w14:paraId="3F19B7AB">
                  <w:pPr>
                    <w:autoSpaceDE w:val="0"/>
                    <w:autoSpaceDN w:val="0"/>
                    <w:adjustRightInd w:val="0"/>
                    <w:snapToGrid w:val="0"/>
                    <w:jc w:val="center"/>
                    <w:rPr>
                      <w:rFonts w:eastAsiaTheme="minorEastAsia"/>
                      <w:b/>
                      <w:bCs/>
                      <w:color w:val="auto"/>
                      <w:szCs w:val="21"/>
                    </w:rPr>
                  </w:pPr>
                  <w:r>
                    <w:rPr>
                      <w:rFonts w:eastAsiaTheme="minorEastAsia"/>
                      <w:b/>
                      <w:bCs/>
                      <w:color w:val="auto"/>
                      <w:szCs w:val="21"/>
                    </w:rPr>
                    <w:t>工程</w:t>
                  </w:r>
                </w:p>
                <w:p w14:paraId="0748AC44">
                  <w:pPr>
                    <w:autoSpaceDE w:val="0"/>
                    <w:autoSpaceDN w:val="0"/>
                    <w:adjustRightInd w:val="0"/>
                    <w:snapToGrid w:val="0"/>
                    <w:jc w:val="center"/>
                    <w:rPr>
                      <w:rFonts w:eastAsiaTheme="minorEastAsia"/>
                      <w:b/>
                      <w:bCs/>
                      <w:color w:val="auto"/>
                      <w:szCs w:val="21"/>
                    </w:rPr>
                  </w:pPr>
                  <w:r>
                    <w:rPr>
                      <w:rFonts w:eastAsiaTheme="minorEastAsia"/>
                      <w:b/>
                      <w:bCs/>
                      <w:color w:val="auto"/>
                      <w:szCs w:val="21"/>
                    </w:rPr>
                    <w:t>类别</w:t>
                  </w:r>
                </w:p>
              </w:tc>
              <w:tc>
                <w:tcPr>
                  <w:tcW w:w="1607" w:type="pct"/>
                  <w:gridSpan w:val="2"/>
                  <w:vAlign w:val="center"/>
                </w:tcPr>
                <w:p w14:paraId="6348AE5A">
                  <w:pPr>
                    <w:autoSpaceDE w:val="0"/>
                    <w:autoSpaceDN w:val="0"/>
                    <w:adjustRightInd w:val="0"/>
                    <w:snapToGrid w:val="0"/>
                    <w:jc w:val="center"/>
                    <w:rPr>
                      <w:rFonts w:eastAsiaTheme="minorEastAsia"/>
                      <w:b/>
                      <w:bCs/>
                      <w:color w:val="auto"/>
                      <w:szCs w:val="21"/>
                    </w:rPr>
                  </w:pPr>
                  <w:r>
                    <w:rPr>
                      <w:rFonts w:eastAsiaTheme="minorEastAsia"/>
                      <w:b/>
                      <w:bCs/>
                      <w:color w:val="auto"/>
                      <w:szCs w:val="21"/>
                    </w:rPr>
                    <w:t>建设名称</w:t>
                  </w:r>
                </w:p>
              </w:tc>
              <w:tc>
                <w:tcPr>
                  <w:tcW w:w="1733" w:type="pct"/>
                  <w:vAlign w:val="center"/>
                </w:tcPr>
                <w:p w14:paraId="036E4153">
                  <w:pPr>
                    <w:autoSpaceDE w:val="0"/>
                    <w:autoSpaceDN w:val="0"/>
                    <w:adjustRightInd w:val="0"/>
                    <w:snapToGrid w:val="0"/>
                    <w:jc w:val="center"/>
                    <w:rPr>
                      <w:rFonts w:eastAsiaTheme="minorEastAsia"/>
                      <w:b/>
                      <w:bCs/>
                      <w:color w:val="auto"/>
                      <w:szCs w:val="21"/>
                    </w:rPr>
                  </w:pPr>
                  <w:r>
                    <w:rPr>
                      <w:rFonts w:eastAsiaTheme="minorEastAsia"/>
                      <w:b/>
                      <w:bCs/>
                      <w:color w:val="auto"/>
                      <w:szCs w:val="21"/>
                    </w:rPr>
                    <w:t>工程内容及规模</w:t>
                  </w:r>
                </w:p>
              </w:tc>
              <w:tc>
                <w:tcPr>
                  <w:tcW w:w="1250" w:type="pct"/>
                  <w:vAlign w:val="center"/>
                </w:tcPr>
                <w:p w14:paraId="1CC07B14">
                  <w:pPr>
                    <w:autoSpaceDE w:val="0"/>
                    <w:autoSpaceDN w:val="0"/>
                    <w:adjustRightInd w:val="0"/>
                    <w:snapToGrid w:val="0"/>
                    <w:jc w:val="center"/>
                    <w:rPr>
                      <w:rFonts w:eastAsiaTheme="minorEastAsia"/>
                      <w:b/>
                      <w:bCs/>
                      <w:color w:val="auto"/>
                      <w:szCs w:val="21"/>
                    </w:rPr>
                  </w:pPr>
                  <w:r>
                    <w:rPr>
                      <w:rFonts w:eastAsiaTheme="minorEastAsia"/>
                      <w:b/>
                      <w:bCs/>
                      <w:color w:val="auto"/>
                      <w:szCs w:val="21"/>
                    </w:rPr>
                    <w:t>备注</w:t>
                  </w:r>
                </w:p>
              </w:tc>
            </w:tr>
            <w:tr w14:paraId="207E0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Align w:val="center"/>
                </w:tcPr>
                <w:p w14:paraId="3184F0A1">
                  <w:pPr>
                    <w:autoSpaceDE w:val="0"/>
                    <w:autoSpaceDN w:val="0"/>
                    <w:adjustRightInd w:val="0"/>
                    <w:snapToGrid w:val="0"/>
                    <w:jc w:val="center"/>
                    <w:rPr>
                      <w:rFonts w:eastAsiaTheme="minorEastAsia"/>
                      <w:color w:val="auto"/>
                      <w:szCs w:val="21"/>
                    </w:rPr>
                  </w:pPr>
                  <w:r>
                    <w:rPr>
                      <w:rFonts w:eastAsiaTheme="minorEastAsia"/>
                      <w:color w:val="auto"/>
                      <w:szCs w:val="21"/>
                    </w:rPr>
                    <w:t>主体</w:t>
                  </w:r>
                </w:p>
                <w:p w14:paraId="323636F2">
                  <w:pPr>
                    <w:autoSpaceDE w:val="0"/>
                    <w:autoSpaceDN w:val="0"/>
                    <w:adjustRightInd w:val="0"/>
                    <w:snapToGrid w:val="0"/>
                    <w:jc w:val="center"/>
                    <w:rPr>
                      <w:rFonts w:eastAsiaTheme="minorEastAsia"/>
                      <w:color w:val="auto"/>
                      <w:szCs w:val="21"/>
                    </w:rPr>
                  </w:pPr>
                  <w:r>
                    <w:rPr>
                      <w:rFonts w:eastAsiaTheme="minorEastAsia"/>
                      <w:color w:val="auto"/>
                      <w:szCs w:val="21"/>
                    </w:rPr>
                    <w:t>工程</w:t>
                  </w:r>
                </w:p>
              </w:tc>
              <w:tc>
                <w:tcPr>
                  <w:tcW w:w="1607" w:type="pct"/>
                  <w:gridSpan w:val="2"/>
                  <w:vAlign w:val="center"/>
                </w:tcPr>
                <w:p w14:paraId="67381F9B">
                  <w:pPr>
                    <w:autoSpaceDE w:val="0"/>
                    <w:autoSpaceDN w:val="0"/>
                    <w:adjustRightInd w:val="0"/>
                    <w:snapToGrid w:val="0"/>
                    <w:jc w:val="center"/>
                    <w:rPr>
                      <w:rFonts w:eastAsiaTheme="minorEastAsia"/>
                      <w:color w:val="auto"/>
                      <w:szCs w:val="21"/>
                    </w:rPr>
                  </w:pPr>
                  <w:r>
                    <w:rPr>
                      <w:rFonts w:hint="eastAsia" w:eastAsiaTheme="minorEastAsia"/>
                      <w:color w:val="auto"/>
                      <w:szCs w:val="21"/>
                    </w:rPr>
                    <w:t>生产车间</w:t>
                  </w:r>
                </w:p>
              </w:tc>
              <w:tc>
                <w:tcPr>
                  <w:tcW w:w="1733" w:type="pct"/>
                  <w:vAlign w:val="center"/>
                </w:tcPr>
                <w:p w14:paraId="2F114DF9">
                  <w:pPr>
                    <w:adjustRightInd w:val="0"/>
                    <w:snapToGrid w:val="0"/>
                    <w:jc w:val="center"/>
                    <w:rPr>
                      <w:rFonts w:eastAsiaTheme="minorEastAsia"/>
                      <w:color w:val="auto"/>
                      <w:szCs w:val="21"/>
                    </w:rPr>
                  </w:pPr>
                  <w:r>
                    <w:rPr>
                      <w:rFonts w:eastAsiaTheme="minorEastAsia"/>
                      <w:color w:val="auto"/>
                      <w:szCs w:val="21"/>
                    </w:rPr>
                    <w:t>建筑面积</w:t>
                  </w:r>
                  <w:r>
                    <w:rPr>
                      <w:rFonts w:hint="eastAsia" w:eastAsiaTheme="minorEastAsia"/>
                      <w:color w:val="auto"/>
                      <w:szCs w:val="21"/>
                    </w:rPr>
                    <w:t>2772</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，生产区内布置</w:t>
                  </w:r>
                  <w:r>
                    <w:rPr>
                      <w:rFonts w:hint="eastAsia" w:eastAsiaTheme="minorEastAsia"/>
                      <w:color w:val="auto"/>
                      <w:szCs w:val="21"/>
                    </w:rPr>
                    <w:t>胶合板</w:t>
                  </w:r>
                  <w:r>
                    <w:rPr>
                      <w:rFonts w:eastAsiaTheme="minorEastAsia"/>
                      <w:color w:val="auto"/>
                      <w:szCs w:val="21"/>
                    </w:rPr>
                    <w:t>生产线</w:t>
                  </w:r>
                  <w:r>
                    <w:rPr>
                      <w:rFonts w:hint="eastAsia" w:eastAsiaTheme="minorEastAsia"/>
                      <w:color w:val="auto"/>
                      <w:szCs w:val="21"/>
                    </w:rPr>
                    <w:t>，主要包括调胶、涂胶、排板、拼缝、热压、锯边、砂光等</w:t>
                  </w:r>
                </w:p>
              </w:tc>
              <w:tc>
                <w:tcPr>
                  <w:tcW w:w="1250" w:type="pct"/>
                  <w:vAlign w:val="center"/>
                </w:tcPr>
                <w:p w14:paraId="324244FD">
                  <w:pPr>
                    <w:adjustRightInd w:val="0"/>
                    <w:snapToGrid w:val="0"/>
                    <w:jc w:val="center"/>
                    <w:rPr>
                      <w:rFonts w:eastAsiaTheme="minorEastAsia"/>
                      <w:color w:val="auto"/>
                      <w:szCs w:val="21"/>
                    </w:rPr>
                  </w:pPr>
                  <w:r>
                    <w:rPr>
                      <w:rFonts w:eastAsiaTheme="minorEastAsia"/>
                      <w:color w:val="auto"/>
                      <w:szCs w:val="21"/>
                    </w:rPr>
                    <w:t>依托</w:t>
                  </w:r>
                  <w:r>
                    <w:rPr>
                      <w:rFonts w:hint="eastAsia" w:eastAsiaTheme="minorEastAsia"/>
                      <w:color w:val="auto"/>
                      <w:szCs w:val="21"/>
                    </w:rPr>
                    <w:t>出租</w:t>
                  </w:r>
                  <w:r>
                    <w:rPr>
                      <w:rFonts w:eastAsiaTheme="minorEastAsia"/>
                      <w:color w:val="auto"/>
                      <w:szCs w:val="21"/>
                    </w:rPr>
                    <w:t>方</w:t>
                  </w:r>
                  <w:r>
                    <w:rPr>
                      <w:rFonts w:hint="eastAsia" w:eastAsiaTheme="minorEastAsia"/>
                      <w:color w:val="auto"/>
                      <w:szCs w:val="21"/>
                    </w:rPr>
                    <w:t>厂房做适应性改造</w:t>
                  </w:r>
                </w:p>
              </w:tc>
            </w:tr>
            <w:tr w14:paraId="442C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8" w:hRule="atLeast"/>
              </w:trPr>
              <w:tc>
                <w:tcPr>
                  <w:tcW w:w="408" w:type="pct"/>
                  <w:vMerge w:val="restart"/>
                  <w:vAlign w:val="center"/>
                </w:tcPr>
                <w:p w14:paraId="1B019DFE">
                  <w:pPr>
                    <w:autoSpaceDE w:val="0"/>
                    <w:autoSpaceDN w:val="0"/>
                    <w:adjustRightInd w:val="0"/>
                    <w:snapToGrid w:val="0"/>
                    <w:jc w:val="center"/>
                    <w:rPr>
                      <w:rFonts w:eastAsiaTheme="minorEastAsia"/>
                      <w:color w:val="auto"/>
                      <w:szCs w:val="21"/>
                    </w:rPr>
                  </w:pPr>
                  <w:r>
                    <w:rPr>
                      <w:rFonts w:eastAsiaTheme="minorEastAsia"/>
                      <w:color w:val="auto"/>
                      <w:szCs w:val="21"/>
                    </w:rPr>
                    <w:t>辅助</w:t>
                  </w:r>
                </w:p>
                <w:p w14:paraId="11CB7EC9">
                  <w:pPr>
                    <w:autoSpaceDE w:val="0"/>
                    <w:autoSpaceDN w:val="0"/>
                    <w:adjustRightInd w:val="0"/>
                    <w:snapToGrid w:val="0"/>
                    <w:jc w:val="center"/>
                    <w:rPr>
                      <w:rFonts w:eastAsiaTheme="minorEastAsia"/>
                      <w:color w:val="auto"/>
                      <w:szCs w:val="21"/>
                    </w:rPr>
                  </w:pPr>
                  <w:r>
                    <w:rPr>
                      <w:rFonts w:eastAsiaTheme="minorEastAsia"/>
                      <w:color w:val="auto"/>
                      <w:szCs w:val="21"/>
                    </w:rPr>
                    <w:t>工程</w:t>
                  </w:r>
                </w:p>
              </w:tc>
              <w:tc>
                <w:tcPr>
                  <w:tcW w:w="1607" w:type="pct"/>
                  <w:gridSpan w:val="2"/>
                  <w:vAlign w:val="center"/>
                </w:tcPr>
                <w:p w14:paraId="6F7A6594">
                  <w:pPr>
                    <w:autoSpaceDE w:val="0"/>
                    <w:autoSpaceDN w:val="0"/>
                    <w:adjustRightInd w:val="0"/>
                    <w:snapToGrid w:val="0"/>
                    <w:jc w:val="center"/>
                    <w:rPr>
                      <w:rFonts w:eastAsiaTheme="minorEastAsia"/>
                      <w:color w:val="auto"/>
                      <w:szCs w:val="21"/>
                    </w:rPr>
                  </w:pPr>
                  <w:r>
                    <w:rPr>
                      <w:rFonts w:eastAsiaTheme="minorEastAsia"/>
                      <w:color w:val="auto"/>
                      <w:szCs w:val="21"/>
                    </w:rPr>
                    <w:t>办公区</w:t>
                  </w:r>
                </w:p>
              </w:tc>
              <w:tc>
                <w:tcPr>
                  <w:tcW w:w="1733" w:type="pct"/>
                  <w:vAlign w:val="center"/>
                </w:tcPr>
                <w:p w14:paraId="40C1CD69">
                  <w:pPr>
                    <w:adjustRightInd w:val="0"/>
                    <w:snapToGrid w:val="0"/>
                    <w:jc w:val="center"/>
                    <w:rPr>
                      <w:rFonts w:eastAsiaTheme="minorEastAsia"/>
                      <w:color w:val="auto"/>
                      <w:szCs w:val="21"/>
                    </w:rPr>
                  </w:pPr>
                  <w:r>
                    <w:rPr>
                      <w:rFonts w:hint="eastAsia" w:eastAsiaTheme="minorEastAsia"/>
                      <w:color w:val="auto"/>
                      <w:szCs w:val="21"/>
                    </w:rPr>
                    <w:t>150</w:t>
                  </w:r>
                  <w:r>
                    <w:rPr>
                      <w:rFonts w:eastAsiaTheme="minorEastAsia"/>
                      <w:color w:val="auto"/>
                      <w:szCs w:val="21"/>
                    </w:rPr>
                    <w:t>m</w:t>
                  </w:r>
                  <w:r>
                    <w:rPr>
                      <w:rFonts w:eastAsiaTheme="minorEastAsia"/>
                      <w:color w:val="auto"/>
                      <w:szCs w:val="21"/>
                      <w:vertAlign w:val="superscript"/>
                    </w:rPr>
                    <w:t>2</w:t>
                  </w:r>
                </w:p>
              </w:tc>
              <w:tc>
                <w:tcPr>
                  <w:tcW w:w="1250" w:type="pct"/>
                  <w:vAlign w:val="center"/>
                </w:tcPr>
                <w:p w14:paraId="2818AF6E">
                  <w:pPr>
                    <w:adjustRightInd w:val="0"/>
                    <w:snapToGrid w:val="0"/>
                    <w:jc w:val="center"/>
                    <w:rPr>
                      <w:rFonts w:eastAsiaTheme="minorEastAsia"/>
                      <w:color w:val="auto"/>
                      <w:szCs w:val="21"/>
                    </w:rPr>
                  </w:pPr>
                  <w:r>
                    <w:rPr>
                      <w:rFonts w:eastAsiaTheme="minorEastAsia"/>
                      <w:color w:val="auto"/>
                      <w:szCs w:val="21"/>
                    </w:rPr>
                    <w:t>依托</w:t>
                  </w:r>
                  <w:r>
                    <w:rPr>
                      <w:rFonts w:hint="eastAsia" w:eastAsiaTheme="minorEastAsia"/>
                      <w:color w:val="auto"/>
                      <w:szCs w:val="21"/>
                    </w:rPr>
                    <w:t>出租</w:t>
                  </w:r>
                  <w:r>
                    <w:rPr>
                      <w:rFonts w:eastAsiaTheme="minorEastAsia"/>
                      <w:color w:val="auto"/>
                      <w:szCs w:val="21"/>
                    </w:rPr>
                    <w:t>方</w:t>
                  </w:r>
                  <w:r>
                    <w:rPr>
                      <w:rFonts w:hint="eastAsia" w:eastAsiaTheme="minorEastAsia"/>
                      <w:color w:val="auto"/>
                      <w:szCs w:val="21"/>
                    </w:rPr>
                    <w:t>厂房做适应性改造</w:t>
                  </w:r>
                </w:p>
              </w:tc>
            </w:tr>
            <w:tr w14:paraId="25A20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408" w:type="pct"/>
                  <w:vMerge w:val="continue"/>
                  <w:vAlign w:val="center"/>
                </w:tcPr>
                <w:p w14:paraId="6E2C47C6">
                  <w:pPr>
                    <w:autoSpaceDE w:val="0"/>
                    <w:autoSpaceDN w:val="0"/>
                    <w:adjustRightInd w:val="0"/>
                    <w:snapToGrid w:val="0"/>
                    <w:jc w:val="center"/>
                    <w:rPr>
                      <w:rFonts w:eastAsiaTheme="minorEastAsia"/>
                      <w:color w:val="auto"/>
                      <w:szCs w:val="21"/>
                    </w:rPr>
                  </w:pPr>
                </w:p>
              </w:tc>
              <w:tc>
                <w:tcPr>
                  <w:tcW w:w="1607" w:type="pct"/>
                  <w:gridSpan w:val="2"/>
                  <w:vAlign w:val="center"/>
                </w:tcPr>
                <w:p w14:paraId="5055782A">
                  <w:pPr>
                    <w:autoSpaceDE w:val="0"/>
                    <w:autoSpaceDN w:val="0"/>
                    <w:adjustRightInd w:val="0"/>
                    <w:snapToGrid w:val="0"/>
                    <w:jc w:val="center"/>
                    <w:rPr>
                      <w:rFonts w:eastAsiaTheme="minorEastAsia"/>
                      <w:color w:val="auto"/>
                      <w:szCs w:val="21"/>
                    </w:rPr>
                  </w:pPr>
                  <w:r>
                    <w:rPr>
                      <w:rFonts w:hint="eastAsia" w:eastAsiaTheme="minorEastAsia"/>
                      <w:color w:val="auto"/>
                      <w:szCs w:val="21"/>
                    </w:rPr>
                    <w:t>门卫室</w:t>
                  </w:r>
                </w:p>
              </w:tc>
              <w:tc>
                <w:tcPr>
                  <w:tcW w:w="1733" w:type="pct"/>
                  <w:vAlign w:val="center"/>
                </w:tcPr>
                <w:p w14:paraId="7F87ED84">
                  <w:pPr>
                    <w:adjustRightInd w:val="0"/>
                    <w:snapToGrid w:val="0"/>
                    <w:jc w:val="center"/>
                    <w:rPr>
                      <w:rFonts w:eastAsiaTheme="minorEastAsia"/>
                      <w:color w:val="auto"/>
                      <w:szCs w:val="21"/>
                    </w:rPr>
                  </w:pPr>
                  <w:r>
                    <w:rPr>
                      <w:rFonts w:hint="eastAsia" w:eastAsiaTheme="minorEastAsia"/>
                      <w:color w:val="auto"/>
                      <w:szCs w:val="21"/>
                    </w:rPr>
                    <w:t>10</w:t>
                  </w:r>
                  <w:r>
                    <w:rPr>
                      <w:rFonts w:eastAsiaTheme="minorEastAsia"/>
                      <w:color w:val="auto"/>
                      <w:szCs w:val="21"/>
                    </w:rPr>
                    <w:t>m</w:t>
                  </w:r>
                  <w:r>
                    <w:rPr>
                      <w:rFonts w:eastAsiaTheme="minorEastAsia"/>
                      <w:color w:val="auto"/>
                      <w:szCs w:val="21"/>
                      <w:vertAlign w:val="superscript"/>
                    </w:rPr>
                    <w:t>2</w:t>
                  </w:r>
                </w:p>
              </w:tc>
              <w:tc>
                <w:tcPr>
                  <w:tcW w:w="1250" w:type="pct"/>
                  <w:vAlign w:val="center"/>
                </w:tcPr>
                <w:p w14:paraId="1DA13C40">
                  <w:pPr>
                    <w:adjustRightInd w:val="0"/>
                    <w:snapToGrid w:val="0"/>
                    <w:jc w:val="center"/>
                    <w:rPr>
                      <w:color w:val="auto"/>
                      <w:szCs w:val="21"/>
                    </w:rPr>
                  </w:pPr>
                  <w:r>
                    <w:rPr>
                      <w:rFonts w:eastAsiaTheme="minorEastAsia"/>
                      <w:color w:val="auto"/>
                      <w:szCs w:val="21"/>
                    </w:rPr>
                    <w:t>依托</w:t>
                  </w:r>
                  <w:r>
                    <w:rPr>
                      <w:rFonts w:hint="eastAsia" w:eastAsiaTheme="minorEastAsia"/>
                      <w:color w:val="auto"/>
                      <w:szCs w:val="21"/>
                    </w:rPr>
                    <w:t>出租</w:t>
                  </w:r>
                  <w:r>
                    <w:rPr>
                      <w:rFonts w:eastAsiaTheme="minorEastAsia"/>
                      <w:color w:val="auto"/>
                      <w:szCs w:val="21"/>
                    </w:rPr>
                    <w:t>方</w:t>
                  </w:r>
                  <w:r>
                    <w:rPr>
                      <w:rFonts w:hint="eastAsia" w:eastAsiaTheme="minorEastAsia"/>
                      <w:color w:val="auto"/>
                      <w:szCs w:val="21"/>
                    </w:rPr>
                    <w:t>厂房</w:t>
                  </w:r>
                </w:p>
              </w:tc>
            </w:tr>
            <w:tr w14:paraId="40849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restart"/>
                  <w:vAlign w:val="center"/>
                </w:tcPr>
                <w:p w14:paraId="16D3B4D3">
                  <w:pPr>
                    <w:autoSpaceDE w:val="0"/>
                    <w:autoSpaceDN w:val="0"/>
                    <w:adjustRightInd w:val="0"/>
                    <w:snapToGrid w:val="0"/>
                    <w:jc w:val="center"/>
                    <w:rPr>
                      <w:rFonts w:eastAsiaTheme="minorEastAsia"/>
                      <w:color w:val="auto"/>
                      <w:szCs w:val="21"/>
                    </w:rPr>
                  </w:pPr>
                  <w:r>
                    <w:rPr>
                      <w:rFonts w:eastAsiaTheme="minorEastAsia"/>
                      <w:color w:val="auto"/>
                      <w:szCs w:val="21"/>
                    </w:rPr>
                    <w:t>公用</w:t>
                  </w:r>
                </w:p>
                <w:p w14:paraId="794FF0FF">
                  <w:pPr>
                    <w:autoSpaceDE w:val="0"/>
                    <w:autoSpaceDN w:val="0"/>
                    <w:adjustRightInd w:val="0"/>
                    <w:snapToGrid w:val="0"/>
                    <w:jc w:val="center"/>
                    <w:rPr>
                      <w:rFonts w:eastAsiaTheme="minorEastAsia"/>
                      <w:color w:val="auto"/>
                      <w:szCs w:val="21"/>
                    </w:rPr>
                  </w:pPr>
                  <w:r>
                    <w:rPr>
                      <w:rFonts w:eastAsiaTheme="minorEastAsia"/>
                      <w:color w:val="auto"/>
                      <w:szCs w:val="21"/>
                    </w:rPr>
                    <w:t>工程</w:t>
                  </w:r>
                </w:p>
              </w:tc>
              <w:tc>
                <w:tcPr>
                  <w:tcW w:w="1607" w:type="pct"/>
                  <w:gridSpan w:val="2"/>
                  <w:vAlign w:val="center"/>
                </w:tcPr>
                <w:p w14:paraId="5B137E50">
                  <w:pPr>
                    <w:autoSpaceDE w:val="0"/>
                    <w:autoSpaceDN w:val="0"/>
                    <w:adjustRightInd w:val="0"/>
                    <w:snapToGrid w:val="0"/>
                    <w:jc w:val="center"/>
                    <w:rPr>
                      <w:rFonts w:eastAsiaTheme="minorEastAsia"/>
                      <w:color w:val="auto"/>
                      <w:szCs w:val="21"/>
                    </w:rPr>
                  </w:pPr>
                  <w:r>
                    <w:rPr>
                      <w:rFonts w:eastAsiaTheme="minorEastAsia"/>
                      <w:color w:val="auto"/>
                      <w:szCs w:val="21"/>
                    </w:rPr>
                    <w:t>给水系统</w:t>
                  </w:r>
                </w:p>
              </w:tc>
              <w:tc>
                <w:tcPr>
                  <w:tcW w:w="1733" w:type="pct"/>
                  <w:vAlign w:val="center"/>
                </w:tcPr>
                <w:p w14:paraId="3BF50814">
                  <w:pPr>
                    <w:adjustRightInd w:val="0"/>
                    <w:snapToGrid w:val="0"/>
                    <w:jc w:val="center"/>
                    <w:rPr>
                      <w:rFonts w:eastAsiaTheme="minorEastAsia"/>
                      <w:color w:val="auto"/>
                      <w:szCs w:val="21"/>
                    </w:rPr>
                  </w:pPr>
                  <w:r>
                    <w:rPr>
                      <w:rFonts w:hint="eastAsia" w:eastAsiaTheme="minorEastAsia"/>
                      <w:color w:val="auto"/>
                      <w:szCs w:val="21"/>
                      <w:lang w:val="en-US" w:eastAsia="zh-CN"/>
                    </w:rPr>
                    <w:t>3427</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/a</w:t>
                  </w:r>
                </w:p>
              </w:tc>
              <w:tc>
                <w:tcPr>
                  <w:tcW w:w="1250" w:type="pct"/>
                  <w:vAlign w:val="center"/>
                </w:tcPr>
                <w:p w14:paraId="558E77A7">
                  <w:pPr>
                    <w:adjustRightInd w:val="0"/>
                    <w:snapToGrid w:val="0"/>
                    <w:jc w:val="center"/>
                    <w:rPr>
                      <w:rFonts w:eastAsiaTheme="minorEastAsia"/>
                      <w:color w:val="auto"/>
                      <w:szCs w:val="21"/>
                    </w:rPr>
                  </w:pPr>
                  <w:r>
                    <w:rPr>
                      <w:rFonts w:eastAsiaTheme="minorEastAsia"/>
                      <w:color w:val="auto"/>
                      <w:szCs w:val="21"/>
                    </w:rPr>
                    <w:t>市政供水管网</w:t>
                  </w:r>
                </w:p>
              </w:tc>
            </w:tr>
            <w:tr w14:paraId="4395C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2AE95304">
                  <w:pPr>
                    <w:adjustRightInd w:val="0"/>
                    <w:snapToGrid w:val="0"/>
                    <w:jc w:val="center"/>
                    <w:rPr>
                      <w:rFonts w:eastAsiaTheme="minorEastAsia"/>
                      <w:color w:val="auto"/>
                      <w:szCs w:val="21"/>
                    </w:rPr>
                  </w:pPr>
                </w:p>
              </w:tc>
              <w:tc>
                <w:tcPr>
                  <w:tcW w:w="1607" w:type="pct"/>
                  <w:gridSpan w:val="2"/>
                  <w:vAlign w:val="center"/>
                </w:tcPr>
                <w:p w14:paraId="73BC2B48">
                  <w:pPr>
                    <w:autoSpaceDE w:val="0"/>
                    <w:autoSpaceDN w:val="0"/>
                    <w:adjustRightInd w:val="0"/>
                    <w:snapToGrid w:val="0"/>
                    <w:jc w:val="center"/>
                    <w:rPr>
                      <w:rFonts w:eastAsiaTheme="minorEastAsia"/>
                      <w:color w:val="auto"/>
                      <w:szCs w:val="21"/>
                    </w:rPr>
                  </w:pPr>
                  <w:r>
                    <w:rPr>
                      <w:rFonts w:eastAsiaTheme="minorEastAsia"/>
                      <w:color w:val="auto"/>
                      <w:szCs w:val="21"/>
                    </w:rPr>
                    <w:t>排水系统</w:t>
                  </w:r>
                </w:p>
              </w:tc>
              <w:tc>
                <w:tcPr>
                  <w:tcW w:w="1733" w:type="pct"/>
                  <w:vAlign w:val="center"/>
                </w:tcPr>
                <w:p w14:paraId="3A237B66">
                  <w:pPr>
                    <w:adjustRightInd w:val="0"/>
                    <w:snapToGrid w:val="0"/>
                    <w:jc w:val="center"/>
                    <w:rPr>
                      <w:rFonts w:eastAsiaTheme="minorEastAsia"/>
                      <w:color w:val="auto"/>
                      <w:szCs w:val="21"/>
                    </w:rPr>
                  </w:pPr>
                  <w:r>
                    <w:rPr>
                      <w:rFonts w:hint="eastAsia" w:eastAsiaTheme="minorEastAsia"/>
                      <w:color w:val="auto"/>
                      <w:szCs w:val="21"/>
                    </w:rPr>
                    <w:t>化粪池处理</w:t>
                  </w:r>
                </w:p>
              </w:tc>
              <w:tc>
                <w:tcPr>
                  <w:tcW w:w="1250" w:type="pct"/>
                  <w:vAlign w:val="center"/>
                </w:tcPr>
                <w:p w14:paraId="3A240F1C">
                  <w:pPr>
                    <w:pStyle w:val="16"/>
                    <w:jc w:val="center"/>
                    <w:rPr>
                      <w:rFonts w:eastAsiaTheme="minorEastAsia"/>
                      <w:color w:val="auto"/>
                      <w:sz w:val="21"/>
                      <w:szCs w:val="21"/>
                    </w:rPr>
                  </w:pPr>
                  <w:r>
                    <w:rPr>
                      <w:rFonts w:hint="eastAsia" w:eastAsiaTheme="minorEastAsia"/>
                      <w:color w:val="auto"/>
                      <w:sz w:val="21"/>
                      <w:szCs w:val="18"/>
                      <w:lang w:eastAsia="zh-CN"/>
                    </w:rPr>
                    <w:t>生活污水接管高沟镇污水处理厂</w:t>
                  </w:r>
                </w:p>
              </w:tc>
            </w:tr>
            <w:tr w14:paraId="36FB5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34760564">
                  <w:pPr>
                    <w:adjustRightInd w:val="0"/>
                    <w:snapToGrid w:val="0"/>
                    <w:jc w:val="center"/>
                    <w:rPr>
                      <w:rFonts w:eastAsiaTheme="minorEastAsia"/>
                      <w:color w:val="auto"/>
                      <w:szCs w:val="21"/>
                    </w:rPr>
                  </w:pPr>
                </w:p>
              </w:tc>
              <w:tc>
                <w:tcPr>
                  <w:tcW w:w="1607" w:type="pct"/>
                  <w:gridSpan w:val="2"/>
                  <w:vAlign w:val="center"/>
                </w:tcPr>
                <w:p w14:paraId="306A0D68">
                  <w:pPr>
                    <w:autoSpaceDE w:val="0"/>
                    <w:autoSpaceDN w:val="0"/>
                    <w:adjustRightInd w:val="0"/>
                    <w:snapToGrid w:val="0"/>
                    <w:jc w:val="center"/>
                    <w:rPr>
                      <w:rFonts w:eastAsiaTheme="minorEastAsia"/>
                      <w:color w:val="auto"/>
                      <w:szCs w:val="21"/>
                    </w:rPr>
                  </w:pPr>
                  <w:r>
                    <w:rPr>
                      <w:rFonts w:hint="eastAsia" w:eastAsiaTheme="minorEastAsia"/>
                      <w:color w:val="auto"/>
                      <w:szCs w:val="21"/>
                    </w:rPr>
                    <w:t>供热工程</w:t>
                  </w:r>
                </w:p>
              </w:tc>
              <w:tc>
                <w:tcPr>
                  <w:tcW w:w="1733" w:type="pct"/>
                  <w:vAlign w:val="center"/>
                </w:tcPr>
                <w:p w14:paraId="614A7111">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蒸汽管道</w:t>
                  </w:r>
                </w:p>
              </w:tc>
              <w:tc>
                <w:tcPr>
                  <w:tcW w:w="1250" w:type="pct"/>
                  <w:vAlign w:val="center"/>
                </w:tcPr>
                <w:p w14:paraId="18784006">
                  <w:pPr>
                    <w:pStyle w:val="16"/>
                    <w:jc w:val="center"/>
                    <w:rPr>
                      <w:rFonts w:hint="default" w:eastAsiaTheme="minorEastAsia"/>
                      <w:color w:val="auto"/>
                      <w:kern w:val="2"/>
                      <w:sz w:val="21"/>
                      <w:szCs w:val="21"/>
                      <w:lang w:val="en-US" w:eastAsia="zh-CN"/>
                    </w:rPr>
                  </w:pPr>
                  <w:r>
                    <w:rPr>
                      <w:rFonts w:hint="eastAsia" w:eastAsiaTheme="minorEastAsia"/>
                      <w:color w:val="auto"/>
                      <w:kern w:val="2"/>
                      <w:sz w:val="21"/>
                      <w:szCs w:val="21"/>
                      <w:lang w:val="en-US" w:eastAsia="zh-CN"/>
                    </w:rPr>
                    <w:t>依托光大生物能源（涟水）有限公司</w:t>
                  </w:r>
                </w:p>
              </w:tc>
            </w:tr>
            <w:tr w14:paraId="07A6A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42EBF55D">
                  <w:pPr>
                    <w:adjustRightInd w:val="0"/>
                    <w:snapToGrid w:val="0"/>
                    <w:jc w:val="center"/>
                    <w:rPr>
                      <w:rFonts w:eastAsiaTheme="minorEastAsia"/>
                      <w:color w:val="auto"/>
                      <w:szCs w:val="21"/>
                    </w:rPr>
                  </w:pPr>
                </w:p>
              </w:tc>
              <w:tc>
                <w:tcPr>
                  <w:tcW w:w="1607" w:type="pct"/>
                  <w:gridSpan w:val="2"/>
                  <w:vAlign w:val="center"/>
                </w:tcPr>
                <w:p w14:paraId="03D91228">
                  <w:pPr>
                    <w:autoSpaceDE w:val="0"/>
                    <w:autoSpaceDN w:val="0"/>
                    <w:adjustRightInd w:val="0"/>
                    <w:snapToGrid w:val="0"/>
                    <w:jc w:val="center"/>
                    <w:rPr>
                      <w:rFonts w:eastAsiaTheme="minorEastAsia"/>
                      <w:color w:val="auto"/>
                      <w:szCs w:val="21"/>
                    </w:rPr>
                  </w:pPr>
                  <w:r>
                    <w:rPr>
                      <w:rFonts w:eastAsiaTheme="minorEastAsia"/>
                      <w:color w:val="auto"/>
                      <w:szCs w:val="21"/>
                    </w:rPr>
                    <w:t>供电系统</w:t>
                  </w:r>
                </w:p>
              </w:tc>
              <w:tc>
                <w:tcPr>
                  <w:tcW w:w="1733" w:type="pct"/>
                  <w:vAlign w:val="center"/>
                </w:tcPr>
                <w:p w14:paraId="15C00FAA">
                  <w:pPr>
                    <w:adjustRightInd w:val="0"/>
                    <w:snapToGrid w:val="0"/>
                    <w:jc w:val="center"/>
                    <w:rPr>
                      <w:rFonts w:eastAsiaTheme="minorEastAsia"/>
                      <w:color w:val="auto"/>
                      <w:szCs w:val="21"/>
                    </w:rPr>
                  </w:pPr>
                  <w:r>
                    <w:rPr>
                      <w:rFonts w:hint="eastAsia" w:eastAsiaTheme="minorEastAsia"/>
                      <w:color w:val="auto"/>
                      <w:kern w:val="0"/>
                      <w:szCs w:val="21"/>
                    </w:rPr>
                    <w:t>50</w:t>
                  </w:r>
                  <w:r>
                    <w:rPr>
                      <w:rFonts w:eastAsiaTheme="minorEastAsia"/>
                      <w:color w:val="auto"/>
                      <w:kern w:val="0"/>
                      <w:szCs w:val="21"/>
                    </w:rPr>
                    <w:t>万kWh/a</w:t>
                  </w:r>
                </w:p>
              </w:tc>
              <w:tc>
                <w:tcPr>
                  <w:tcW w:w="1250" w:type="pct"/>
                  <w:vAlign w:val="center"/>
                </w:tcPr>
                <w:p w14:paraId="71D32933">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市政供电管网</w:t>
                  </w:r>
                </w:p>
              </w:tc>
            </w:tr>
            <w:tr w14:paraId="40383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270C7FCA">
                  <w:pPr>
                    <w:adjustRightInd w:val="0"/>
                    <w:snapToGrid w:val="0"/>
                    <w:jc w:val="center"/>
                    <w:rPr>
                      <w:rFonts w:eastAsiaTheme="minorEastAsia"/>
                      <w:color w:val="auto"/>
                      <w:szCs w:val="21"/>
                    </w:rPr>
                  </w:pPr>
                </w:p>
              </w:tc>
              <w:tc>
                <w:tcPr>
                  <w:tcW w:w="1607" w:type="pct"/>
                  <w:gridSpan w:val="2"/>
                  <w:vAlign w:val="center"/>
                </w:tcPr>
                <w:p w14:paraId="5C8D277F">
                  <w:pPr>
                    <w:autoSpaceDE w:val="0"/>
                    <w:autoSpaceDN w:val="0"/>
                    <w:adjustRightInd w:val="0"/>
                    <w:snapToGrid w:val="0"/>
                    <w:jc w:val="center"/>
                    <w:rPr>
                      <w:rFonts w:eastAsiaTheme="minorEastAsia"/>
                      <w:color w:val="auto"/>
                      <w:szCs w:val="21"/>
                    </w:rPr>
                  </w:pPr>
                  <w:r>
                    <w:rPr>
                      <w:rFonts w:hint="eastAsia" w:eastAsiaTheme="minorEastAsia"/>
                      <w:color w:val="auto"/>
                      <w:szCs w:val="21"/>
                    </w:rPr>
                    <w:t>压缩空气</w:t>
                  </w:r>
                </w:p>
              </w:tc>
              <w:tc>
                <w:tcPr>
                  <w:tcW w:w="1733" w:type="pct"/>
                  <w:vAlign w:val="center"/>
                </w:tcPr>
                <w:p w14:paraId="71C064A7">
                  <w:pPr>
                    <w:adjustRightInd w:val="0"/>
                    <w:snapToGrid w:val="0"/>
                    <w:jc w:val="center"/>
                    <w:rPr>
                      <w:rFonts w:eastAsiaTheme="minorEastAsia"/>
                      <w:color w:val="auto"/>
                      <w:szCs w:val="21"/>
                    </w:rPr>
                  </w:pPr>
                  <w:r>
                    <w:rPr>
                      <w:rFonts w:eastAsiaTheme="minorEastAsia"/>
                      <w:color w:val="auto"/>
                      <w:szCs w:val="21"/>
                    </w:rPr>
                    <w:t>YNF 15-8</w:t>
                  </w:r>
                  <w:r>
                    <w:rPr>
                      <w:rFonts w:hint="eastAsia" w:eastAsiaTheme="minorEastAsia"/>
                      <w:color w:val="auto"/>
                      <w:szCs w:val="21"/>
                    </w:rPr>
                    <w:t>，2</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/min</w:t>
                  </w:r>
                </w:p>
              </w:tc>
              <w:tc>
                <w:tcPr>
                  <w:tcW w:w="1250" w:type="pct"/>
                  <w:vAlign w:val="center"/>
                </w:tcPr>
                <w:p w14:paraId="48461E17">
                  <w:pPr>
                    <w:autoSpaceDE w:val="0"/>
                    <w:autoSpaceDN w:val="0"/>
                    <w:adjustRightInd w:val="0"/>
                    <w:snapToGrid w:val="0"/>
                    <w:jc w:val="center"/>
                    <w:rPr>
                      <w:rFonts w:eastAsiaTheme="minorEastAsia"/>
                      <w:color w:val="auto"/>
                      <w:kern w:val="0"/>
                      <w:szCs w:val="21"/>
                    </w:rPr>
                  </w:pPr>
                  <w:r>
                    <w:rPr>
                      <w:rFonts w:hint="eastAsia" w:eastAsiaTheme="minorEastAsia"/>
                      <w:color w:val="auto"/>
                      <w:szCs w:val="21"/>
                    </w:rPr>
                    <w:t>新建</w:t>
                  </w:r>
                </w:p>
              </w:tc>
            </w:tr>
            <w:tr w14:paraId="4ADAC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8" w:hRule="atLeast"/>
              </w:trPr>
              <w:tc>
                <w:tcPr>
                  <w:tcW w:w="408" w:type="pct"/>
                  <w:vMerge w:val="restart"/>
                  <w:vAlign w:val="center"/>
                </w:tcPr>
                <w:p w14:paraId="358F7019">
                  <w:pPr>
                    <w:autoSpaceDE w:val="0"/>
                    <w:autoSpaceDN w:val="0"/>
                    <w:adjustRightInd w:val="0"/>
                    <w:snapToGrid w:val="0"/>
                    <w:jc w:val="center"/>
                    <w:rPr>
                      <w:rFonts w:eastAsiaTheme="minorEastAsia"/>
                      <w:color w:val="auto"/>
                      <w:szCs w:val="21"/>
                    </w:rPr>
                  </w:pPr>
                  <w:r>
                    <w:rPr>
                      <w:rFonts w:eastAsiaTheme="minorEastAsia"/>
                      <w:color w:val="auto"/>
                      <w:szCs w:val="21"/>
                    </w:rPr>
                    <w:t>贮运</w:t>
                  </w:r>
                </w:p>
                <w:p w14:paraId="7A9B14D6">
                  <w:pPr>
                    <w:autoSpaceDE w:val="0"/>
                    <w:autoSpaceDN w:val="0"/>
                    <w:adjustRightInd w:val="0"/>
                    <w:snapToGrid w:val="0"/>
                    <w:jc w:val="center"/>
                    <w:rPr>
                      <w:rFonts w:eastAsiaTheme="minorEastAsia"/>
                      <w:color w:val="auto"/>
                      <w:szCs w:val="21"/>
                    </w:rPr>
                  </w:pPr>
                  <w:r>
                    <w:rPr>
                      <w:rFonts w:eastAsiaTheme="minorEastAsia"/>
                      <w:color w:val="auto"/>
                      <w:szCs w:val="21"/>
                    </w:rPr>
                    <w:t>工程</w:t>
                  </w:r>
                </w:p>
              </w:tc>
              <w:tc>
                <w:tcPr>
                  <w:tcW w:w="1607" w:type="pct"/>
                  <w:gridSpan w:val="2"/>
                  <w:vAlign w:val="center"/>
                </w:tcPr>
                <w:p w14:paraId="16563EEB">
                  <w:pPr>
                    <w:autoSpaceDE w:val="0"/>
                    <w:autoSpaceDN w:val="0"/>
                    <w:adjustRightInd w:val="0"/>
                    <w:snapToGrid w:val="0"/>
                    <w:jc w:val="center"/>
                    <w:rPr>
                      <w:rFonts w:eastAsiaTheme="minorEastAsia"/>
                      <w:color w:val="auto"/>
                      <w:szCs w:val="21"/>
                    </w:rPr>
                  </w:pPr>
                  <w:r>
                    <w:rPr>
                      <w:rFonts w:eastAsiaTheme="minorEastAsia"/>
                      <w:color w:val="auto"/>
                      <w:szCs w:val="21"/>
                    </w:rPr>
                    <w:t>原料仓库</w:t>
                  </w:r>
                </w:p>
              </w:tc>
              <w:tc>
                <w:tcPr>
                  <w:tcW w:w="1733" w:type="pct"/>
                  <w:vAlign w:val="center"/>
                </w:tcPr>
                <w:p w14:paraId="285158EE">
                  <w:pPr>
                    <w:adjustRightInd w:val="0"/>
                    <w:snapToGrid w:val="0"/>
                    <w:jc w:val="center"/>
                    <w:rPr>
                      <w:rFonts w:eastAsiaTheme="minorEastAsia"/>
                      <w:color w:val="auto"/>
                      <w:kern w:val="0"/>
                      <w:szCs w:val="21"/>
                    </w:rPr>
                  </w:pPr>
                  <w:r>
                    <w:rPr>
                      <w:rFonts w:hint="eastAsia" w:eastAsiaTheme="minorEastAsia"/>
                      <w:color w:val="auto"/>
                      <w:kern w:val="0"/>
                      <w:szCs w:val="21"/>
                    </w:rPr>
                    <w:t>位于生产车间内</w:t>
                  </w:r>
                </w:p>
              </w:tc>
              <w:tc>
                <w:tcPr>
                  <w:tcW w:w="1250" w:type="pct"/>
                  <w:vAlign w:val="center"/>
                </w:tcPr>
                <w:p w14:paraId="28A94DDE">
                  <w:pPr>
                    <w:adjustRightInd w:val="0"/>
                    <w:snapToGrid w:val="0"/>
                    <w:jc w:val="center"/>
                    <w:rPr>
                      <w:rFonts w:eastAsiaTheme="minorEastAsia"/>
                      <w:color w:val="auto"/>
                      <w:szCs w:val="21"/>
                    </w:rPr>
                  </w:pPr>
                  <w:r>
                    <w:rPr>
                      <w:rFonts w:eastAsiaTheme="minorEastAsia"/>
                      <w:color w:val="auto"/>
                      <w:szCs w:val="21"/>
                    </w:rPr>
                    <w:t>依托</w:t>
                  </w:r>
                  <w:r>
                    <w:rPr>
                      <w:rFonts w:hint="eastAsia" w:eastAsiaTheme="minorEastAsia"/>
                      <w:color w:val="auto"/>
                      <w:szCs w:val="21"/>
                    </w:rPr>
                    <w:t>出租</w:t>
                  </w:r>
                  <w:r>
                    <w:rPr>
                      <w:rFonts w:eastAsiaTheme="minorEastAsia"/>
                      <w:color w:val="auto"/>
                      <w:szCs w:val="21"/>
                    </w:rPr>
                    <w:t>方</w:t>
                  </w:r>
                  <w:r>
                    <w:rPr>
                      <w:rFonts w:hint="eastAsia" w:eastAsiaTheme="minorEastAsia"/>
                      <w:color w:val="auto"/>
                      <w:szCs w:val="21"/>
                    </w:rPr>
                    <w:t>厂房</w:t>
                  </w:r>
                </w:p>
              </w:tc>
            </w:tr>
            <w:tr w14:paraId="167AE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397CC085">
                  <w:pPr>
                    <w:autoSpaceDE w:val="0"/>
                    <w:autoSpaceDN w:val="0"/>
                    <w:adjustRightInd w:val="0"/>
                    <w:snapToGrid w:val="0"/>
                    <w:jc w:val="center"/>
                    <w:rPr>
                      <w:rFonts w:eastAsiaTheme="minorEastAsia"/>
                      <w:color w:val="auto"/>
                      <w:szCs w:val="21"/>
                    </w:rPr>
                  </w:pPr>
                </w:p>
              </w:tc>
              <w:tc>
                <w:tcPr>
                  <w:tcW w:w="1607" w:type="pct"/>
                  <w:gridSpan w:val="2"/>
                  <w:vAlign w:val="center"/>
                </w:tcPr>
                <w:p w14:paraId="0C0011EC">
                  <w:pPr>
                    <w:autoSpaceDE w:val="0"/>
                    <w:autoSpaceDN w:val="0"/>
                    <w:adjustRightInd w:val="0"/>
                    <w:snapToGrid w:val="0"/>
                    <w:jc w:val="center"/>
                    <w:rPr>
                      <w:rFonts w:eastAsiaTheme="minorEastAsia"/>
                      <w:color w:val="auto"/>
                      <w:szCs w:val="21"/>
                    </w:rPr>
                  </w:pPr>
                  <w:r>
                    <w:rPr>
                      <w:rFonts w:eastAsiaTheme="minorEastAsia"/>
                      <w:color w:val="auto"/>
                      <w:szCs w:val="21"/>
                    </w:rPr>
                    <w:t>成品仓库</w:t>
                  </w:r>
                </w:p>
              </w:tc>
              <w:tc>
                <w:tcPr>
                  <w:tcW w:w="1733" w:type="pct"/>
                  <w:tcBorders>
                    <w:bottom w:val="single" w:color="auto" w:sz="4" w:space="0"/>
                  </w:tcBorders>
                  <w:vAlign w:val="center"/>
                </w:tcPr>
                <w:p w14:paraId="5B04BB63">
                  <w:pPr>
                    <w:adjustRightInd w:val="0"/>
                    <w:snapToGrid w:val="0"/>
                    <w:jc w:val="center"/>
                    <w:rPr>
                      <w:rFonts w:eastAsiaTheme="minorEastAsia"/>
                      <w:color w:val="auto"/>
                      <w:kern w:val="0"/>
                      <w:szCs w:val="21"/>
                    </w:rPr>
                  </w:pPr>
                  <w:r>
                    <w:rPr>
                      <w:rFonts w:hint="eastAsia" w:eastAsiaTheme="minorEastAsia"/>
                      <w:color w:val="auto"/>
                      <w:kern w:val="0"/>
                      <w:szCs w:val="21"/>
                    </w:rPr>
                    <w:t>位于生产车间内</w:t>
                  </w:r>
                </w:p>
              </w:tc>
              <w:tc>
                <w:tcPr>
                  <w:tcW w:w="1250" w:type="pct"/>
                  <w:vAlign w:val="center"/>
                </w:tcPr>
                <w:p w14:paraId="5D45E043">
                  <w:pPr>
                    <w:adjustRightInd w:val="0"/>
                    <w:snapToGrid w:val="0"/>
                    <w:jc w:val="center"/>
                    <w:rPr>
                      <w:rFonts w:eastAsiaTheme="minorEastAsia"/>
                      <w:color w:val="auto"/>
                      <w:szCs w:val="21"/>
                    </w:rPr>
                  </w:pPr>
                  <w:r>
                    <w:rPr>
                      <w:rFonts w:eastAsiaTheme="minorEastAsia"/>
                      <w:color w:val="auto"/>
                      <w:szCs w:val="21"/>
                    </w:rPr>
                    <w:t>依托</w:t>
                  </w:r>
                  <w:r>
                    <w:rPr>
                      <w:rFonts w:hint="eastAsia" w:eastAsiaTheme="minorEastAsia"/>
                      <w:color w:val="auto"/>
                      <w:szCs w:val="21"/>
                    </w:rPr>
                    <w:t>出租</w:t>
                  </w:r>
                  <w:r>
                    <w:rPr>
                      <w:rFonts w:eastAsiaTheme="minorEastAsia"/>
                      <w:color w:val="auto"/>
                      <w:szCs w:val="21"/>
                    </w:rPr>
                    <w:t>方</w:t>
                  </w:r>
                  <w:r>
                    <w:rPr>
                      <w:rFonts w:hint="eastAsia" w:eastAsiaTheme="minorEastAsia"/>
                      <w:color w:val="auto"/>
                      <w:szCs w:val="21"/>
                    </w:rPr>
                    <w:t>厂房</w:t>
                  </w:r>
                </w:p>
              </w:tc>
            </w:tr>
            <w:tr w14:paraId="7F43F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08" w:type="pct"/>
                  <w:vMerge w:val="restart"/>
                  <w:vAlign w:val="center"/>
                </w:tcPr>
                <w:p w14:paraId="3C0C925B">
                  <w:pPr>
                    <w:autoSpaceDE w:val="0"/>
                    <w:autoSpaceDN w:val="0"/>
                    <w:adjustRightInd w:val="0"/>
                    <w:snapToGrid w:val="0"/>
                    <w:jc w:val="center"/>
                    <w:rPr>
                      <w:rFonts w:eastAsiaTheme="minorEastAsia"/>
                      <w:color w:val="auto"/>
                      <w:szCs w:val="21"/>
                    </w:rPr>
                  </w:pPr>
                  <w:r>
                    <w:rPr>
                      <w:rFonts w:eastAsiaTheme="minorEastAsia"/>
                      <w:color w:val="auto"/>
                      <w:szCs w:val="21"/>
                    </w:rPr>
                    <w:t>环保</w:t>
                  </w:r>
                </w:p>
                <w:p w14:paraId="5C33AAE3">
                  <w:pPr>
                    <w:autoSpaceDE w:val="0"/>
                    <w:autoSpaceDN w:val="0"/>
                    <w:adjustRightInd w:val="0"/>
                    <w:snapToGrid w:val="0"/>
                    <w:jc w:val="center"/>
                    <w:rPr>
                      <w:rFonts w:eastAsiaTheme="minorEastAsia"/>
                      <w:color w:val="auto"/>
                      <w:szCs w:val="21"/>
                    </w:rPr>
                  </w:pPr>
                  <w:r>
                    <w:rPr>
                      <w:rFonts w:eastAsiaTheme="minorEastAsia"/>
                      <w:color w:val="auto"/>
                      <w:szCs w:val="21"/>
                    </w:rPr>
                    <w:t>工程</w:t>
                  </w:r>
                </w:p>
              </w:tc>
              <w:tc>
                <w:tcPr>
                  <w:tcW w:w="288" w:type="pct"/>
                  <w:vMerge w:val="restart"/>
                  <w:vAlign w:val="center"/>
                </w:tcPr>
                <w:p w14:paraId="67A52040">
                  <w:pPr>
                    <w:autoSpaceDE w:val="0"/>
                    <w:autoSpaceDN w:val="0"/>
                    <w:adjustRightInd w:val="0"/>
                    <w:snapToGrid w:val="0"/>
                    <w:jc w:val="center"/>
                    <w:rPr>
                      <w:rFonts w:eastAsiaTheme="minorEastAsia"/>
                      <w:color w:val="auto"/>
                      <w:szCs w:val="21"/>
                    </w:rPr>
                  </w:pPr>
                  <w:r>
                    <w:rPr>
                      <w:rFonts w:eastAsiaTheme="minorEastAsia"/>
                      <w:color w:val="auto"/>
                      <w:szCs w:val="21"/>
                    </w:rPr>
                    <w:t>废气处理设施</w:t>
                  </w:r>
                </w:p>
              </w:tc>
              <w:tc>
                <w:tcPr>
                  <w:tcW w:w="1319" w:type="pct"/>
                  <w:vAlign w:val="center"/>
                </w:tcPr>
                <w:p w14:paraId="0BEDD54E">
                  <w:pPr>
                    <w:adjustRightInd w:val="0"/>
                    <w:snapToGrid w:val="0"/>
                    <w:jc w:val="center"/>
                    <w:rPr>
                      <w:rFonts w:eastAsiaTheme="minorEastAsia"/>
                      <w:color w:val="auto"/>
                      <w:szCs w:val="21"/>
                    </w:rPr>
                  </w:pPr>
                  <w:r>
                    <w:rPr>
                      <w:rFonts w:hint="eastAsia" w:eastAsiaTheme="minorEastAsia"/>
                      <w:color w:val="auto"/>
                      <w:szCs w:val="21"/>
                      <w:lang w:eastAsia="zh-CN"/>
                    </w:rPr>
                    <w:t>拼缝、</w:t>
                  </w:r>
                  <w:r>
                    <w:rPr>
                      <w:rFonts w:hint="eastAsia" w:eastAsiaTheme="minorEastAsia"/>
                      <w:color w:val="auto"/>
                      <w:szCs w:val="21"/>
                    </w:rPr>
                    <w:t>调胶、涂胶、热压废气</w:t>
                  </w:r>
                </w:p>
              </w:tc>
              <w:tc>
                <w:tcPr>
                  <w:tcW w:w="1733" w:type="pct"/>
                  <w:vAlign w:val="center"/>
                </w:tcPr>
                <w:p w14:paraId="2CD5BBA2">
                  <w:pPr>
                    <w:adjustRightInd w:val="0"/>
                    <w:snapToGrid w:val="0"/>
                    <w:jc w:val="center"/>
                    <w:rPr>
                      <w:rFonts w:eastAsiaTheme="minorEastAsia"/>
                      <w:color w:val="auto"/>
                      <w:szCs w:val="21"/>
                    </w:rPr>
                  </w:pPr>
                  <w:r>
                    <w:rPr>
                      <w:rFonts w:hint="eastAsia" w:eastAsiaTheme="minorEastAsia"/>
                      <w:color w:val="auto"/>
                      <w:szCs w:val="21"/>
                    </w:rPr>
                    <w:t>1套</w:t>
                  </w:r>
                  <w:r>
                    <w:rPr>
                      <w:rFonts w:hint="eastAsia" w:eastAsiaTheme="minorEastAsia"/>
                      <w:color w:val="auto"/>
                      <w:szCs w:val="21"/>
                      <w:lang w:eastAsia="zh-CN"/>
                    </w:rPr>
                    <w:t>布袋除尘</w:t>
                  </w:r>
                  <w:r>
                    <w:rPr>
                      <w:rFonts w:hint="eastAsia" w:eastAsiaTheme="minorEastAsia"/>
                      <w:color w:val="auto"/>
                      <w:szCs w:val="21"/>
                      <w:lang w:val="en-US" w:eastAsia="zh-CN"/>
                    </w:rPr>
                    <w:t>+水喷淋+</w:t>
                  </w:r>
                  <w:r>
                    <w:rPr>
                      <w:rFonts w:hint="eastAsia" w:eastAsiaTheme="minorEastAsia"/>
                      <w:color w:val="auto"/>
                      <w:szCs w:val="21"/>
                    </w:rPr>
                    <w:t>二级活性炭装置+15m高（DA001）排气筒</w:t>
                  </w:r>
                </w:p>
                <w:p w14:paraId="461CFE8A">
                  <w:pPr>
                    <w:adjustRightInd w:val="0"/>
                    <w:snapToGrid w:val="0"/>
                    <w:jc w:val="center"/>
                    <w:rPr>
                      <w:rFonts w:eastAsiaTheme="minorEastAsia"/>
                      <w:color w:val="auto"/>
                      <w:szCs w:val="21"/>
                    </w:rPr>
                  </w:pPr>
                  <w:r>
                    <w:rPr>
                      <w:rFonts w:hint="eastAsia" w:eastAsiaTheme="minorEastAsia"/>
                      <w:color w:val="auto"/>
                      <w:szCs w:val="21"/>
                    </w:rPr>
                    <w:t>风量5000m</w:t>
                  </w:r>
                  <w:r>
                    <w:rPr>
                      <w:rFonts w:hint="eastAsia" w:eastAsiaTheme="minorEastAsia"/>
                      <w:color w:val="auto"/>
                      <w:szCs w:val="21"/>
                      <w:vertAlign w:val="superscript"/>
                    </w:rPr>
                    <w:t>3</w:t>
                  </w:r>
                  <w:r>
                    <w:rPr>
                      <w:rFonts w:hint="eastAsia" w:eastAsiaTheme="minorEastAsia"/>
                      <w:color w:val="auto"/>
                      <w:szCs w:val="21"/>
                    </w:rPr>
                    <w:t>/h</w:t>
                  </w:r>
                </w:p>
              </w:tc>
              <w:tc>
                <w:tcPr>
                  <w:tcW w:w="1250" w:type="pct"/>
                  <w:vAlign w:val="center"/>
                </w:tcPr>
                <w:p w14:paraId="321CCF21">
                  <w:pPr>
                    <w:adjustRightInd w:val="0"/>
                    <w:snapToGrid w:val="0"/>
                    <w:jc w:val="center"/>
                    <w:rPr>
                      <w:color w:val="auto"/>
                      <w:szCs w:val="21"/>
                    </w:rPr>
                  </w:pPr>
                  <w:r>
                    <w:rPr>
                      <w:rFonts w:hint="eastAsia" w:eastAsiaTheme="minorEastAsia"/>
                      <w:color w:val="auto"/>
                      <w:szCs w:val="21"/>
                    </w:rPr>
                    <w:t>新建</w:t>
                  </w:r>
                </w:p>
              </w:tc>
            </w:tr>
            <w:tr w14:paraId="75C68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4" w:hRule="atLeast"/>
              </w:trPr>
              <w:tc>
                <w:tcPr>
                  <w:tcW w:w="408" w:type="pct"/>
                  <w:vMerge w:val="continue"/>
                  <w:vAlign w:val="center"/>
                </w:tcPr>
                <w:p w14:paraId="45E89703">
                  <w:pPr>
                    <w:jc w:val="center"/>
                    <w:rPr>
                      <w:rFonts w:hint="eastAsia" w:eastAsiaTheme="minorEastAsia"/>
                      <w:color w:val="auto"/>
                      <w:szCs w:val="21"/>
                      <w:lang w:eastAsia="zh-CN"/>
                    </w:rPr>
                  </w:pPr>
                  <w:r>
                    <w:rPr>
                      <w:rFonts w:hint="eastAsia" w:eastAsiaTheme="minorEastAsia"/>
                      <w:color w:val="auto"/>
                      <w:szCs w:val="21"/>
                      <w:lang w:eastAsia="zh-CN"/>
                    </w:rPr>
                    <w:t>新</w:t>
                  </w:r>
                </w:p>
              </w:tc>
              <w:tc>
                <w:tcPr>
                  <w:tcW w:w="288" w:type="pct"/>
                  <w:vMerge w:val="continue"/>
                  <w:vAlign w:val="center"/>
                </w:tcPr>
                <w:p w14:paraId="35FE53DF">
                  <w:pPr>
                    <w:jc w:val="center"/>
                    <w:rPr>
                      <w:rFonts w:eastAsiaTheme="minorEastAsia"/>
                      <w:color w:val="auto"/>
                      <w:szCs w:val="21"/>
                    </w:rPr>
                  </w:pPr>
                </w:p>
              </w:tc>
              <w:tc>
                <w:tcPr>
                  <w:tcW w:w="1319" w:type="pct"/>
                  <w:vAlign w:val="center"/>
                </w:tcPr>
                <w:p w14:paraId="4121FF5E">
                  <w:pPr>
                    <w:adjustRightInd w:val="0"/>
                    <w:snapToGrid w:val="0"/>
                    <w:jc w:val="center"/>
                    <w:rPr>
                      <w:rFonts w:eastAsiaTheme="minorEastAsia"/>
                      <w:color w:val="auto"/>
                      <w:szCs w:val="21"/>
                    </w:rPr>
                  </w:pPr>
                  <w:r>
                    <w:rPr>
                      <w:rFonts w:hint="eastAsia" w:eastAsiaTheme="minorEastAsia"/>
                      <w:color w:val="auto"/>
                      <w:szCs w:val="21"/>
                    </w:rPr>
                    <w:t>旋切、锯边、</w:t>
                  </w:r>
                  <w:r>
                    <w:rPr>
                      <w:rFonts w:hint="eastAsia" w:eastAsiaTheme="minorEastAsia"/>
                      <w:color w:val="auto"/>
                      <w:szCs w:val="21"/>
                      <w:lang w:eastAsia="zh-CN"/>
                    </w:rPr>
                    <w:t>抛光</w:t>
                  </w:r>
                  <w:r>
                    <w:rPr>
                      <w:rFonts w:hint="eastAsia" w:eastAsiaTheme="minorEastAsia"/>
                      <w:color w:val="auto"/>
                      <w:szCs w:val="21"/>
                    </w:rPr>
                    <w:t>粉尘</w:t>
                  </w:r>
                </w:p>
              </w:tc>
              <w:tc>
                <w:tcPr>
                  <w:tcW w:w="1733" w:type="pct"/>
                  <w:vAlign w:val="center"/>
                </w:tcPr>
                <w:p w14:paraId="1828FF8E">
                  <w:pPr>
                    <w:adjustRightInd w:val="0"/>
                    <w:snapToGrid w:val="0"/>
                    <w:jc w:val="center"/>
                    <w:rPr>
                      <w:rFonts w:eastAsiaTheme="minorEastAsia"/>
                      <w:color w:val="auto"/>
                      <w:szCs w:val="21"/>
                    </w:rPr>
                  </w:pPr>
                  <w:r>
                    <w:rPr>
                      <w:rFonts w:hint="eastAsia" w:eastAsiaTheme="minorEastAsia"/>
                      <w:color w:val="auto"/>
                      <w:szCs w:val="21"/>
                    </w:rPr>
                    <w:t>1套布袋除尘器+15m高（DA00</w:t>
                  </w:r>
                  <w:r>
                    <w:rPr>
                      <w:rFonts w:hint="eastAsia" w:eastAsiaTheme="minorEastAsia"/>
                      <w:color w:val="auto"/>
                      <w:szCs w:val="21"/>
                      <w:lang w:val="en-US" w:eastAsia="zh-CN"/>
                    </w:rPr>
                    <w:t>2</w:t>
                  </w:r>
                  <w:r>
                    <w:rPr>
                      <w:rFonts w:hint="eastAsia" w:eastAsiaTheme="minorEastAsia"/>
                      <w:color w:val="auto"/>
                      <w:szCs w:val="21"/>
                    </w:rPr>
                    <w:t>）排气筒</w:t>
                  </w:r>
                </w:p>
                <w:p w14:paraId="7021A6C0">
                  <w:pPr>
                    <w:adjustRightInd w:val="0"/>
                    <w:snapToGrid w:val="0"/>
                    <w:jc w:val="center"/>
                    <w:rPr>
                      <w:rFonts w:eastAsiaTheme="minorEastAsia"/>
                      <w:color w:val="auto"/>
                      <w:szCs w:val="21"/>
                    </w:rPr>
                  </w:pPr>
                  <w:r>
                    <w:rPr>
                      <w:rFonts w:hint="eastAsia" w:eastAsiaTheme="minorEastAsia"/>
                      <w:color w:val="auto"/>
                      <w:szCs w:val="21"/>
                    </w:rPr>
                    <w:t>风量12000m</w:t>
                  </w:r>
                  <w:r>
                    <w:rPr>
                      <w:rFonts w:hint="eastAsia" w:eastAsiaTheme="minorEastAsia"/>
                      <w:color w:val="auto"/>
                      <w:szCs w:val="21"/>
                      <w:vertAlign w:val="superscript"/>
                    </w:rPr>
                    <w:t>3</w:t>
                  </w:r>
                  <w:r>
                    <w:rPr>
                      <w:rFonts w:hint="eastAsia" w:eastAsiaTheme="minorEastAsia"/>
                      <w:color w:val="auto"/>
                      <w:szCs w:val="21"/>
                    </w:rPr>
                    <w:t>/h</w:t>
                  </w:r>
                </w:p>
              </w:tc>
              <w:tc>
                <w:tcPr>
                  <w:tcW w:w="1250" w:type="pct"/>
                  <w:vAlign w:val="center"/>
                </w:tcPr>
                <w:p w14:paraId="291B4B52">
                  <w:pPr>
                    <w:pStyle w:val="16"/>
                    <w:jc w:val="center"/>
                    <w:rPr>
                      <w:rFonts w:eastAsiaTheme="minorEastAsia"/>
                      <w:color w:val="auto"/>
                      <w:sz w:val="21"/>
                      <w:szCs w:val="21"/>
                    </w:rPr>
                  </w:pPr>
                  <w:r>
                    <w:rPr>
                      <w:rFonts w:hint="eastAsia" w:eastAsiaTheme="minorEastAsia"/>
                      <w:color w:val="auto"/>
                      <w:kern w:val="2"/>
                      <w:sz w:val="21"/>
                      <w:szCs w:val="21"/>
                    </w:rPr>
                    <w:t>新建</w:t>
                  </w:r>
                </w:p>
              </w:tc>
            </w:tr>
            <w:tr w14:paraId="23373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0938C88C">
                  <w:pPr>
                    <w:adjustRightInd w:val="0"/>
                    <w:snapToGrid w:val="0"/>
                    <w:jc w:val="center"/>
                    <w:rPr>
                      <w:rFonts w:eastAsiaTheme="minorEastAsia"/>
                      <w:color w:val="auto"/>
                      <w:szCs w:val="21"/>
                    </w:rPr>
                  </w:pPr>
                </w:p>
              </w:tc>
              <w:tc>
                <w:tcPr>
                  <w:tcW w:w="288" w:type="pct"/>
                  <w:vAlign w:val="center"/>
                </w:tcPr>
                <w:p w14:paraId="7122B2F4">
                  <w:pPr>
                    <w:adjustRightInd w:val="0"/>
                    <w:snapToGrid w:val="0"/>
                    <w:jc w:val="center"/>
                    <w:rPr>
                      <w:color w:val="auto"/>
                      <w:szCs w:val="21"/>
                    </w:rPr>
                  </w:pPr>
                  <w:r>
                    <w:rPr>
                      <w:rFonts w:hint="eastAsia"/>
                      <w:color w:val="auto"/>
                      <w:szCs w:val="21"/>
                    </w:rPr>
                    <w:t>/</w:t>
                  </w:r>
                </w:p>
              </w:tc>
              <w:tc>
                <w:tcPr>
                  <w:tcW w:w="1319" w:type="pct"/>
                  <w:vAlign w:val="center"/>
                </w:tcPr>
                <w:p w14:paraId="1D2573FB">
                  <w:pPr>
                    <w:adjustRightInd w:val="0"/>
                    <w:snapToGrid w:val="0"/>
                    <w:jc w:val="center"/>
                    <w:rPr>
                      <w:rFonts w:eastAsiaTheme="minorEastAsia"/>
                      <w:color w:val="auto"/>
                      <w:szCs w:val="21"/>
                      <w:highlight w:val="yellow"/>
                    </w:rPr>
                  </w:pPr>
                  <w:r>
                    <w:rPr>
                      <w:rFonts w:eastAsiaTheme="minorEastAsia"/>
                      <w:color w:val="auto"/>
                      <w:szCs w:val="21"/>
                    </w:rPr>
                    <w:t>生活污水</w:t>
                  </w:r>
                </w:p>
              </w:tc>
              <w:tc>
                <w:tcPr>
                  <w:tcW w:w="1733" w:type="pct"/>
                  <w:vAlign w:val="center"/>
                </w:tcPr>
                <w:p w14:paraId="7174B97E">
                  <w:pPr>
                    <w:adjustRightInd w:val="0"/>
                    <w:snapToGrid w:val="0"/>
                    <w:jc w:val="center"/>
                    <w:rPr>
                      <w:rFonts w:eastAsiaTheme="minorEastAsia"/>
                      <w:color w:val="auto"/>
                      <w:szCs w:val="21"/>
                      <w:highlight w:val="yellow"/>
                    </w:rPr>
                  </w:pPr>
                  <w:r>
                    <w:rPr>
                      <w:rFonts w:hint="eastAsia" w:eastAsiaTheme="minorEastAsia"/>
                      <w:color w:val="auto"/>
                      <w:szCs w:val="21"/>
                    </w:rPr>
                    <w:t>现有</w:t>
                  </w:r>
                  <w:r>
                    <w:rPr>
                      <w:rFonts w:eastAsiaTheme="minorEastAsia"/>
                      <w:color w:val="auto"/>
                      <w:szCs w:val="21"/>
                    </w:rPr>
                    <w:t>1座</w:t>
                  </w:r>
                  <w:r>
                    <w:rPr>
                      <w:rFonts w:hint="eastAsia" w:eastAsiaTheme="minorEastAsia"/>
                      <w:color w:val="auto"/>
                      <w:kern w:val="0"/>
                      <w:szCs w:val="21"/>
                    </w:rPr>
                    <w:t>5</w:t>
                  </w:r>
                  <w:r>
                    <w:rPr>
                      <w:rFonts w:eastAsiaTheme="minorEastAsia"/>
                      <w:color w:val="auto"/>
                      <w:kern w:val="0"/>
                      <w:szCs w:val="21"/>
                    </w:rPr>
                    <w:t>m</w:t>
                  </w:r>
                  <w:r>
                    <w:rPr>
                      <w:rFonts w:eastAsiaTheme="minorEastAsia"/>
                      <w:color w:val="auto"/>
                      <w:szCs w:val="21"/>
                      <w:vertAlign w:val="superscript"/>
                    </w:rPr>
                    <w:t>3</w:t>
                  </w:r>
                  <w:r>
                    <w:rPr>
                      <w:rFonts w:eastAsiaTheme="minorEastAsia"/>
                      <w:color w:val="auto"/>
                      <w:szCs w:val="21"/>
                    </w:rPr>
                    <w:t>化粪池</w:t>
                  </w:r>
                </w:p>
              </w:tc>
              <w:tc>
                <w:tcPr>
                  <w:tcW w:w="1250" w:type="pct"/>
                  <w:vAlign w:val="center"/>
                </w:tcPr>
                <w:p w14:paraId="7BEFD9A4">
                  <w:pPr>
                    <w:adjustRightInd w:val="0"/>
                    <w:snapToGrid w:val="0"/>
                    <w:jc w:val="center"/>
                    <w:rPr>
                      <w:rFonts w:hint="eastAsia" w:eastAsiaTheme="minorEastAsia"/>
                      <w:color w:val="auto"/>
                      <w:szCs w:val="21"/>
                      <w:lang w:eastAsia="zh-CN"/>
                    </w:rPr>
                  </w:pPr>
                  <w:r>
                    <w:rPr>
                      <w:rFonts w:hint="eastAsia" w:eastAsiaTheme="minorEastAsia"/>
                      <w:color w:val="auto"/>
                      <w:szCs w:val="21"/>
                    </w:rPr>
                    <w:t>依托出租</w:t>
                  </w:r>
                  <w:r>
                    <w:rPr>
                      <w:rFonts w:eastAsiaTheme="minorEastAsia"/>
                      <w:color w:val="auto"/>
                      <w:szCs w:val="21"/>
                    </w:rPr>
                    <w:t>方</w:t>
                  </w:r>
                  <w:r>
                    <w:rPr>
                      <w:rFonts w:hint="eastAsia" w:eastAsiaTheme="minorEastAsia"/>
                      <w:color w:val="auto"/>
                      <w:szCs w:val="21"/>
                    </w:rPr>
                    <w:t>厂房现有化粪池，</w:t>
                  </w:r>
                  <w:r>
                    <w:rPr>
                      <w:rFonts w:hint="eastAsia" w:eastAsiaTheme="minorEastAsia"/>
                      <w:color w:val="auto"/>
                      <w:szCs w:val="21"/>
                      <w:lang w:eastAsia="zh-CN"/>
                    </w:rPr>
                    <w:t>生活污水接管高沟镇污水处理厂</w:t>
                  </w:r>
                </w:p>
              </w:tc>
            </w:tr>
            <w:tr w14:paraId="4CE00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4" w:hRule="atLeast"/>
              </w:trPr>
              <w:tc>
                <w:tcPr>
                  <w:tcW w:w="408" w:type="pct"/>
                  <w:vMerge w:val="continue"/>
                  <w:vAlign w:val="center"/>
                </w:tcPr>
                <w:p w14:paraId="1045E0F4">
                  <w:pPr>
                    <w:adjustRightInd w:val="0"/>
                    <w:snapToGrid w:val="0"/>
                    <w:jc w:val="center"/>
                    <w:rPr>
                      <w:rFonts w:eastAsiaTheme="minorEastAsia"/>
                      <w:color w:val="auto"/>
                      <w:szCs w:val="21"/>
                    </w:rPr>
                  </w:pPr>
                </w:p>
              </w:tc>
              <w:tc>
                <w:tcPr>
                  <w:tcW w:w="1607" w:type="pct"/>
                  <w:gridSpan w:val="2"/>
                  <w:vAlign w:val="center"/>
                </w:tcPr>
                <w:p w14:paraId="03B99886">
                  <w:pPr>
                    <w:autoSpaceDE w:val="0"/>
                    <w:autoSpaceDN w:val="0"/>
                    <w:adjustRightInd w:val="0"/>
                    <w:snapToGrid w:val="0"/>
                    <w:jc w:val="center"/>
                    <w:rPr>
                      <w:rFonts w:eastAsiaTheme="minorEastAsia"/>
                      <w:color w:val="auto"/>
                      <w:szCs w:val="21"/>
                    </w:rPr>
                  </w:pPr>
                  <w:r>
                    <w:rPr>
                      <w:rFonts w:eastAsiaTheme="minorEastAsia"/>
                      <w:color w:val="auto"/>
                      <w:szCs w:val="21"/>
                    </w:rPr>
                    <w:t>噪声治理设施</w:t>
                  </w:r>
                </w:p>
              </w:tc>
              <w:tc>
                <w:tcPr>
                  <w:tcW w:w="1733" w:type="pct"/>
                  <w:vAlign w:val="center"/>
                </w:tcPr>
                <w:p w14:paraId="3706F83F">
                  <w:pPr>
                    <w:adjustRightInd w:val="0"/>
                    <w:snapToGrid w:val="0"/>
                    <w:jc w:val="center"/>
                    <w:rPr>
                      <w:rFonts w:eastAsiaTheme="minorEastAsia"/>
                      <w:color w:val="auto"/>
                      <w:szCs w:val="21"/>
                    </w:rPr>
                  </w:pPr>
                  <w:r>
                    <w:rPr>
                      <w:rFonts w:hint="eastAsia" w:eastAsiaTheme="minorEastAsia"/>
                      <w:color w:val="auto"/>
                      <w:szCs w:val="21"/>
                    </w:rPr>
                    <w:t>合理布局，</w:t>
                  </w:r>
                  <w:r>
                    <w:rPr>
                      <w:rFonts w:eastAsiaTheme="minorEastAsia"/>
                      <w:color w:val="auto"/>
                      <w:szCs w:val="21"/>
                    </w:rPr>
                    <w:t>隔声、减振等</w:t>
                  </w:r>
                </w:p>
              </w:tc>
              <w:tc>
                <w:tcPr>
                  <w:tcW w:w="1250" w:type="pct"/>
                  <w:vAlign w:val="center"/>
                </w:tcPr>
                <w:p w14:paraId="1304970E">
                  <w:pPr>
                    <w:adjustRightInd w:val="0"/>
                    <w:snapToGrid w:val="0"/>
                    <w:jc w:val="center"/>
                    <w:rPr>
                      <w:rFonts w:eastAsiaTheme="minorEastAsia"/>
                      <w:color w:val="auto"/>
                      <w:szCs w:val="21"/>
                    </w:rPr>
                  </w:pPr>
                  <w:r>
                    <w:rPr>
                      <w:rFonts w:eastAsiaTheme="minorEastAsia"/>
                      <w:color w:val="auto"/>
                      <w:szCs w:val="21"/>
                    </w:rPr>
                    <w:t>厂界达标</w:t>
                  </w:r>
                </w:p>
              </w:tc>
            </w:tr>
            <w:tr w14:paraId="737CB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5DB81817">
                  <w:pPr>
                    <w:adjustRightInd w:val="0"/>
                    <w:snapToGrid w:val="0"/>
                    <w:jc w:val="center"/>
                    <w:rPr>
                      <w:rFonts w:eastAsiaTheme="minorEastAsia"/>
                      <w:color w:val="auto"/>
                      <w:szCs w:val="21"/>
                    </w:rPr>
                  </w:pPr>
                </w:p>
              </w:tc>
              <w:tc>
                <w:tcPr>
                  <w:tcW w:w="288" w:type="pct"/>
                  <w:vMerge w:val="restart"/>
                  <w:vAlign w:val="center"/>
                </w:tcPr>
                <w:p w14:paraId="3658CF9E">
                  <w:pPr>
                    <w:autoSpaceDE w:val="0"/>
                    <w:autoSpaceDN w:val="0"/>
                    <w:adjustRightInd w:val="0"/>
                    <w:snapToGrid w:val="0"/>
                    <w:jc w:val="center"/>
                    <w:rPr>
                      <w:rFonts w:eastAsiaTheme="minorEastAsia"/>
                      <w:color w:val="auto"/>
                      <w:szCs w:val="21"/>
                    </w:rPr>
                  </w:pPr>
                  <w:r>
                    <w:rPr>
                      <w:rFonts w:eastAsiaTheme="minorEastAsia"/>
                      <w:color w:val="auto"/>
                      <w:szCs w:val="21"/>
                    </w:rPr>
                    <w:t>固废</w:t>
                  </w:r>
                </w:p>
              </w:tc>
              <w:tc>
                <w:tcPr>
                  <w:tcW w:w="1319" w:type="pct"/>
                  <w:vAlign w:val="center"/>
                </w:tcPr>
                <w:p w14:paraId="23432FDC">
                  <w:pPr>
                    <w:autoSpaceDE w:val="0"/>
                    <w:autoSpaceDN w:val="0"/>
                    <w:adjustRightInd w:val="0"/>
                    <w:snapToGrid w:val="0"/>
                    <w:jc w:val="center"/>
                    <w:rPr>
                      <w:rFonts w:eastAsiaTheme="minorEastAsia"/>
                      <w:color w:val="auto"/>
                      <w:szCs w:val="21"/>
                    </w:rPr>
                  </w:pPr>
                  <w:r>
                    <w:rPr>
                      <w:rFonts w:eastAsiaTheme="minorEastAsia"/>
                      <w:color w:val="auto"/>
                      <w:szCs w:val="21"/>
                    </w:rPr>
                    <w:t>危险废物暂存场所</w:t>
                  </w:r>
                </w:p>
              </w:tc>
              <w:tc>
                <w:tcPr>
                  <w:tcW w:w="1733" w:type="pct"/>
                  <w:vAlign w:val="center"/>
                </w:tcPr>
                <w:p w14:paraId="2648C512">
                  <w:pPr>
                    <w:autoSpaceDE w:val="0"/>
                    <w:autoSpaceDN w:val="0"/>
                    <w:adjustRightInd w:val="0"/>
                    <w:snapToGrid w:val="0"/>
                    <w:jc w:val="center"/>
                    <w:rPr>
                      <w:rFonts w:eastAsiaTheme="minorEastAsia"/>
                      <w:color w:val="auto"/>
                      <w:szCs w:val="21"/>
                      <w:vertAlign w:val="superscript"/>
                    </w:rPr>
                  </w:pPr>
                  <w:r>
                    <w:rPr>
                      <w:rFonts w:hint="eastAsia" w:eastAsiaTheme="minorEastAsia"/>
                      <w:color w:val="auto"/>
                      <w:szCs w:val="21"/>
                    </w:rPr>
                    <w:t>位于厂区内东南侧，占地面积</w:t>
                  </w:r>
                  <w:r>
                    <w:rPr>
                      <w:rFonts w:hint="eastAsia" w:eastAsiaTheme="minorEastAsia"/>
                      <w:color w:val="auto"/>
                      <w:kern w:val="0"/>
                      <w:szCs w:val="21"/>
                      <w:lang w:val="en-US" w:eastAsia="zh-CN"/>
                    </w:rPr>
                    <w:t>20</w:t>
                  </w:r>
                  <w:r>
                    <w:rPr>
                      <w:rFonts w:eastAsiaTheme="minorEastAsia"/>
                      <w:color w:val="auto"/>
                      <w:kern w:val="0"/>
                      <w:szCs w:val="21"/>
                    </w:rPr>
                    <w:t>m</w:t>
                  </w:r>
                  <w:r>
                    <w:rPr>
                      <w:rFonts w:eastAsiaTheme="minorEastAsia"/>
                      <w:color w:val="auto"/>
                      <w:szCs w:val="21"/>
                      <w:vertAlign w:val="superscript"/>
                    </w:rPr>
                    <w:t>2</w:t>
                  </w:r>
                </w:p>
              </w:tc>
              <w:tc>
                <w:tcPr>
                  <w:tcW w:w="1250" w:type="pct"/>
                  <w:vAlign w:val="center"/>
                </w:tcPr>
                <w:p w14:paraId="21ADB305">
                  <w:pPr>
                    <w:adjustRightInd w:val="0"/>
                    <w:snapToGrid w:val="0"/>
                    <w:jc w:val="center"/>
                    <w:rPr>
                      <w:rFonts w:eastAsiaTheme="minorEastAsia"/>
                      <w:color w:val="auto"/>
                      <w:szCs w:val="21"/>
                    </w:rPr>
                  </w:pPr>
                  <w:r>
                    <w:rPr>
                      <w:rFonts w:hint="eastAsia" w:eastAsiaTheme="minorEastAsia"/>
                      <w:color w:val="auto"/>
                      <w:szCs w:val="21"/>
                    </w:rPr>
                    <w:t>新建</w:t>
                  </w:r>
                </w:p>
              </w:tc>
            </w:tr>
            <w:tr w14:paraId="4070C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408" w:type="pct"/>
                  <w:vMerge w:val="continue"/>
                  <w:vAlign w:val="center"/>
                </w:tcPr>
                <w:p w14:paraId="79F7699C">
                  <w:pPr>
                    <w:adjustRightInd w:val="0"/>
                    <w:snapToGrid w:val="0"/>
                    <w:jc w:val="center"/>
                    <w:rPr>
                      <w:rFonts w:eastAsiaTheme="minorEastAsia"/>
                      <w:color w:val="auto"/>
                      <w:szCs w:val="21"/>
                    </w:rPr>
                  </w:pPr>
                </w:p>
              </w:tc>
              <w:tc>
                <w:tcPr>
                  <w:tcW w:w="288" w:type="pct"/>
                  <w:vMerge w:val="continue"/>
                  <w:vAlign w:val="center"/>
                </w:tcPr>
                <w:p w14:paraId="45903154">
                  <w:pPr>
                    <w:adjustRightInd w:val="0"/>
                    <w:snapToGrid w:val="0"/>
                    <w:jc w:val="center"/>
                    <w:rPr>
                      <w:rFonts w:eastAsiaTheme="minorEastAsia"/>
                      <w:color w:val="auto"/>
                      <w:szCs w:val="21"/>
                    </w:rPr>
                  </w:pPr>
                </w:p>
              </w:tc>
              <w:tc>
                <w:tcPr>
                  <w:tcW w:w="1319" w:type="pct"/>
                  <w:vAlign w:val="center"/>
                </w:tcPr>
                <w:p w14:paraId="19F3AD53">
                  <w:pPr>
                    <w:adjustRightInd w:val="0"/>
                    <w:snapToGrid w:val="0"/>
                    <w:jc w:val="center"/>
                    <w:rPr>
                      <w:rFonts w:eastAsiaTheme="minorEastAsia"/>
                      <w:color w:val="auto"/>
                      <w:szCs w:val="21"/>
                    </w:rPr>
                  </w:pPr>
                  <w:r>
                    <w:rPr>
                      <w:rFonts w:eastAsiaTheme="minorEastAsia"/>
                      <w:color w:val="auto"/>
                      <w:szCs w:val="21"/>
                    </w:rPr>
                    <w:t>一般工业固废暂存场所</w:t>
                  </w:r>
                </w:p>
              </w:tc>
              <w:tc>
                <w:tcPr>
                  <w:tcW w:w="1733" w:type="pct"/>
                  <w:vAlign w:val="center"/>
                </w:tcPr>
                <w:p w14:paraId="77C734B6">
                  <w:pPr>
                    <w:autoSpaceDE w:val="0"/>
                    <w:autoSpaceDN w:val="0"/>
                    <w:adjustRightInd w:val="0"/>
                    <w:snapToGrid w:val="0"/>
                    <w:jc w:val="center"/>
                    <w:rPr>
                      <w:rFonts w:eastAsiaTheme="minorEastAsia"/>
                      <w:color w:val="auto"/>
                      <w:szCs w:val="21"/>
                      <w:highlight w:val="yellow"/>
                    </w:rPr>
                  </w:pPr>
                  <w:r>
                    <w:rPr>
                      <w:rFonts w:hint="eastAsia" w:eastAsiaTheme="minorEastAsia"/>
                      <w:color w:val="auto"/>
                      <w:szCs w:val="21"/>
                    </w:rPr>
                    <w:t>位于厂房内</w:t>
                  </w:r>
                </w:p>
              </w:tc>
              <w:tc>
                <w:tcPr>
                  <w:tcW w:w="1250" w:type="pct"/>
                  <w:vAlign w:val="center"/>
                </w:tcPr>
                <w:p w14:paraId="37302DFF">
                  <w:pPr>
                    <w:adjustRightInd w:val="0"/>
                    <w:snapToGrid w:val="0"/>
                    <w:jc w:val="center"/>
                    <w:rPr>
                      <w:color w:val="auto"/>
                      <w:szCs w:val="21"/>
                    </w:rPr>
                  </w:pPr>
                  <w:r>
                    <w:rPr>
                      <w:rFonts w:hint="eastAsia"/>
                      <w:color w:val="auto"/>
                      <w:szCs w:val="21"/>
                    </w:rPr>
                    <w:t>已建</w:t>
                  </w:r>
                </w:p>
              </w:tc>
            </w:tr>
          </w:tbl>
          <w:p w14:paraId="1B591B7D">
            <w:pPr>
              <w:adjustRightInd w:val="0"/>
              <w:snapToGrid w:val="0"/>
              <w:spacing w:before="120" w:beforeLines="50" w:line="360" w:lineRule="auto"/>
              <w:ind w:firstLine="482" w:firstLineChars="200"/>
              <w:rPr>
                <w:rFonts w:eastAsiaTheme="minorEastAsia"/>
                <w:color w:val="auto"/>
                <w:kern w:val="0"/>
                <w:sz w:val="24"/>
              </w:rPr>
            </w:pPr>
            <w:r>
              <w:rPr>
                <w:rFonts w:hint="eastAsia" w:eastAsiaTheme="minorEastAsia"/>
                <w:b/>
                <w:color w:val="auto"/>
                <w:sz w:val="24"/>
              </w:rPr>
              <w:t>6.</w:t>
            </w:r>
            <w:r>
              <w:rPr>
                <w:rFonts w:eastAsiaTheme="minorEastAsia"/>
                <w:b/>
                <w:color w:val="auto"/>
                <w:sz w:val="24"/>
              </w:rPr>
              <w:t>劳动定员及工作制度</w:t>
            </w:r>
          </w:p>
          <w:p w14:paraId="7E373D34">
            <w:pPr>
              <w:adjustRightInd w:val="0"/>
              <w:snapToGrid w:val="0"/>
              <w:spacing w:line="360" w:lineRule="auto"/>
              <w:ind w:firstLine="480" w:firstLineChars="200"/>
              <w:rPr>
                <w:rFonts w:eastAsiaTheme="minorEastAsia"/>
                <w:color w:val="auto"/>
                <w:sz w:val="24"/>
              </w:rPr>
            </w:pPr>
            <w:r>
              <w:rPr>
                <w:rFonts w:eastAsiaTheme="minorEastAsia"/>
                <w:color w:val="auto"/>
                <w:kern w:val="0"/>
                <w:sz w:val="24"/>
                <w:szCs w:val="20"/>
              </w:rPr>
              <w:t>（1）工作时数：</w:t>
            </w:r>
            <w:r>
              <w:rPr>
                <w:rFonts w:hint="eastAsia" w:eastAsiaTheme="minorEastAsia"/>
                <w:color w:val="auto"/>
                <w:kern w:val="0"/>
                <w:sz w:val="24"/>
                <w:szCs w:val="20"/>
                <w:lang w:eastAsia="zh-CN"/>
              </w:rPr>
              <w:t>三</w:t>
            </w:r>
            <w:r>
              <w:rPr>
                <w:rFonts w:eastAsiaTheme="minorEastAsia"/>
                <w:color w:val="auto"/>
                <w:sz w:val="24"/>
              </w:rPr>
              <w:t>班制，每班8小时，年工作3</w:t>
            </w:r>
            <w:r>
              <w:rPr>
                <w:rFonts w:hint="eastAsia" w:eastAsiaTheme="minorEastAsia"/>
                <w:color w:val="auto"/>
                <w:sz w:val="24"/>
              </w:rPr>
              <w:t>0</w:t>
            </w:r>
            <w:r>
              <w:rPr>
                <w:rFonts w:eastAsiaTheme="minorEastAsia"/>
                <w:color w:val="auto"/>
                <w:sz w:val="24"/>
              </w:rPr>
              <w:t>0天</w:t>
            </w:r>
            <w:r>
              <w:rPr>
                <w:rFonts w:hint="eastAsia" w:eastAsiaTheme="minorEastAsia"/>
                <w:color w:val="auto"/>
                <w:sz w:val="24"/>
                <w:lang w:eastAsia="zh-CN"/>
              </w:rPr>
              <w:t>，年工作时长</w:t>
            </w:r>
            <w:r>
              <w:rPr>
                <w:rFonts w:hint="eastAsia" w:eastAsiaTheme="minorEastAsia"/>
                <w:color w:val="auto"/>
                <w:sz w:val="24"/>
                <w:lang w:val="en-US" w:eastAsia="zh-CN"/>
              </w:rPr>
              <w:t>7200h</w:t>
            </w:r>
            <w:r>
              <w:rPr>
                <w:rFonts w:eastAsiaTheme="minorEastAsia"/>
                <w:color w:val="auto"/>
                <w:sz w:val="24"/>
              </w:rPr>
              <w:t>。</w:t>
            </w:r>
          </w:p>
          <w:p w14:paraId="568041CA">
            <w:pPr>
              <w:adjustRightInd w:val="0"/>
              <w:snapToGrid w:val="0"/>
              <w:spacing w:line="360" w:lineRule="auto"/>
              <w:ind w:firstLine="480" w:firstLineChars="200"/>
              <w:rPr>
                <w:rFonts w:eastAsiaTheme="minorEastAsia"/>
                <w:color w:val="auto"/>
                <w:sz w:val="24"/>
              </w:rPr>
            </w:pPr>
            <w:r>
              <w:rPr>
                <w:rFonts w:eastAsiaTheme="minorEastAsia"/>
                <w:color w:val="auto"/>
                <w:kern w:val="0"/>
                <w:sz w:val="24"/>
                <w:szCs w:val="20"/>
              </w:rPr>
              <w:t>（2）职工人数：</w:t>
            </w:r>
            <w:r>
              <w:rPr>
                <w:rFonts w:eastAsiaTheme="minorEastAsia"/>
                <w:color w:val="auto"/>
                <w:sz w:val="24"/>
              </w:rPr>
              <w:t>员工</w:t>
            </w:r>
            <w:r>
              <w:rPr>
                <w:rFonts w:hint="eastAsia" w:eastAsiaTheme="minorEastAsia"/>
                <w:color w:val="auto"/>
                <w:sz w:val="24"/>
              </w:rPr>
              <w:t>35</w:t>
            </w:r>
            <w:r>
              <w:rPr>
                <w:rFonts w:eastAsiaTheme="minorEastAsia"/>
                <w:color w:val="auto"/>
                <w:sz w:val="24"/>
              </w:rPr>
              <w:t>人，不提供食宿。</w:t>
            </w:r>
          </w:p>
          <w:p w14:paraId="3EE03C2F">
            <w:pPr>
              <w:autoSpaceDE w:val="0"/>
              <w:autoSpaceDN w:val="0"/>
              <w:adjustRightInd w:val="0"/>
              <w:snapToGrid w:val="0"/>
              <w:spacing w:line="360" w:lineRule="auto"/>
              <w:ind w:firstLine="482" w:firstLineChars="200"/>
              <w:jc w:val="left"/>
              <w:rPr>
                <w:rFonts w:eastAsiaTheme="minorEastAsia"/>
                <w:b/>
                <w:color w:val="auto"/>
                <w:kern w:val="0"/>
                <w:sz w:val="24"/>
              </w:rPr>
            </w:pPr>
            <w:r>
              <w:rPr>
                <w:rFonts w:eastAsiaTheme="minorEastAsia"/>
                <w:b/>
                <w:color w:val="auto"/>
                <w:kern w:val="0"/>
                <w:sz w:val="24"/>
              </w:rPr>
              <w:t>7.厂区平面布置</w:t>
            </w:r>
          </w:p>
          <w:p w14:paraId="32B632D4">
            <w:pPr>
              <w:adjustRightInd w:val="0"/>
              <w:snapToGrid w:val="0"/>
              <w:spacing w:line="360" w:lineRule="auto"/>
              <w:ind w:firstLine="480" w:firstLineChars="200"/>
              <w:rPr>
                <w:b/>
                <w:color w:val="auto"/>
                <w:sz w:val="24"/>
              </w:rPr>
            </w:pPr>
            <w:r>
              <w:rPr>
                <w:rFonts w:hint="eastAsia" w:eastAsiaTheme="minorEastAsia"/>
                <w:color w:val="auto"/>
                <w:sz w:val="24"/>
              </w:rPr>
              <w:t>建设</w:t>
            </w:r>
            <w:r>
              <w:rPr>
                <w:rFonts w:eastAsiaTheme="minorEastAsia"/>
                <w:color w:val="auto"/>
                <w:sz w:val="24"/>
              </w:rPr>
              <w:t>项目布设</w:t>
            </w:r>
            <w:r>
              <w:rPr>
                <w:rFonts w:hint="eastAsia" w:eastAsiaTheme="minorEastAsia"/>
                <w:color w:val="auto"/>
                <w:sz w:val="24"/>
              </w:rPr>
              <w:t>一个生产车间</w:t>
            </w:r>
            <w:r>
              <w:rPr>
                <w:rFonts w:eastAsiaTheme="minorEastAsia"/>
                <w:color w:val="auto"/>
                <w:sz w:val="24"/>
              </w:rPr>
              <w:t>，</w:t>
            </w:r>
            <w:r>
              <w:rPr>
                <w:rFonts w:hint="eastAsia" w:eastAsiaTheme="minorEastAsia"/>
                <w:color w:val="auto"/>
                <w:sz w:val="24"/>
              </w:rPr>
              <w:t>由北向南依次布</w:t>
            </w:r>
            <w:r>
              <w:rPr>
                <w:rFonts w:eastAsiaTheme="minorEastAsia"/>
                <w:color w:val="auto"/>
                <w:sz w:val="24"/>
              </w:rPr>
              <w:t>设</w:t>
            </w:r>
            <w:r>
              <w:rPr>
                <w:rFonts w:hint="eastAsia" w:eastAsiaTheme="minorEastAsia"/>
                <w:color w:val="auto"/>
                <w:sz w:val="24"/>
              </w:rPr>
              <w:t>拼板区、成品区、原料区、调胶区、涂胶区、热压区、旋切区、锯边区、砂光区。危险废物暂存场所位于厂区东南侧，两级活性炭、布袋除尘废气处理设备位于生产车间东侧。</w:t>
            </w:r>
            <w:r>
              <w:rPr>
                <w:rFonts w:eastAsiaTheme="minorEastAsia"/>
                <w:color w:val="auto"/>
                <w:sz w:val="24"/>
              </w:rPr>
              <w:t>平面布置图详见</w:t>
            </w:r>
            <w:r>
              <w:rPr>
                <w:rFonts w:eastAsiaTheme="minorEastAsia"/>
                <w:b/>
                <w:bCs/>
                <w:color w:val="auto"/>
                <w:sz w:val="24"/>
              </w:rPr>
              <w:t>附图6</w:t>
            </w:r>
            <w:r>
              <w:rPr>
                <w:rFonts w:eastAsiaTheme="minorEastAsia"/>
                <w:color w:val="auto"/>
                <w:sz w:val="24"/>
              </w:rPr>
              <w:t>。</w:t>
            </w:r>
          </w:p>
          <w:p w14:paraId="0E8EE778">
            <w:pPr>
              <w:autoSpaceDE w:val="0"/>
              <w:autoSpaceDN w:val="0"/>
              <w:adjustRightInd w:val="0"/>
              <w:snapToGrid w:val="0"/>
              <w:spacing w:line="360" w:lineRule="auto"/>
              <w:ind w:firstLine="482" w:firstLineChars="200"/>
              <w:jc w:val="left"/>
              <w:rPr>
                <w:rFonts w:eastAsiaTheme="minorEastAsia"/>
                <w:b/>
                <w:color w:val="auto"/>
                <w:kern w:val="0"/>
                <w:sz w:val="24"/>
              </w:rPr>
            </w:pPr>
            <w:r>
              <w:rPr>
                <w:rFonts w:hint="eastAsia" w:eastAsiaTheme="minorEastAsia"/>
                <w:b/>
                <w:color w:val="auto"/>
                <w:kern w:val="0"/>
                <w:sz w:val="24"/>
                <w:lang w:val="en-US" w:eastAsia="zh-CN"/>
              </w:rPr>
              <w:t>8.</w:t>
            </w:r>
            <w:r>
              <w:rPr>
                <w:rFonts w:eastAsiaTheme="minorEastAsia"/>
                <w:b/>
                <w:color w:val="auto"/>
                <w:kern w:val="0"/>
                <w:sz w:val="24"/>
              </w:rPr>
              <w:t>水平衡</w:t>
            </w:r>
          </w:p>
          <w:p w14:paraId="2F16120A">
            <w:pPr>
              <w:adjustRightInd w:val="0"/>
              <w:snapToGrid w:val="0"/>
              <w:spacing w:line="360" w:lineRule="auto"/>
              <w:ind w:firstLine="480" w:firstLineChars="200"/>
              <w:rPr>
                <w:rFonts w:hint="eastAsia" w:ascii="Times New Roman" w:hAnsi="Times New Roman" w:cs="Times New Roman" w:eastAsiaTheme="minorEastAsia"/>
                <w:color w:val="auto"/>
                <w:sz w:val="24"/>
                <w:lang w:eastAsia="zh-CN"/>
              </w:rPr>
            </w:pPr>
            <w:r>
              <w:rPr>
                <w:rFonts w:eastAsiaTheme="minorEastAsia"/>
                <w:color w:val="auto"/>
                <w:sz w:val="24"/>
              </w:rPr>
              <w:t>建设项目主要有</w:t>
            </w:r>
            <w:r>
              <w:rPr>
                <w:rFonts w:hint="eastAsia" w:eastAsiaTheme="minorEastAsia"/>
                <w:color w:val="auto"/>
                <w:sz w:val="24"/>
                <w:lang w:eastAsia="zh-CN"/>
              </w:rPr>
              <w:t>生活污水、蒸汽冷凝</w:t>
            </w:r>
            <w:r>
              <w:rPr>
                <w:rFonts w:hint="eastAsia" w:ascii="Times New Roman" w:hAnsi="Times New Roman" w:cs="Times New Roman" w:eastAsiaTheme="minorEastAsia"/>
                <w:color w:val="auto"/>
                <w:sz w:val="24"/>
                <w:lang w:eastAsia="zh-CN"/>
              </w:rPr>
              <w:t>水、清洗废水</w:t>
            </w:r>
            <w:r>
              <w:rPr>
                <w:rFonts w:hint="eastAsia" w:cs="Times New Roman" w:eastAsiaTheme="minorEastAsia"/>
                <w:color w:val="auto"/>
                <w:sz w:val="24"/>
                <w:lang w:eastAsia="zh-CN"/>
              </w:rPr>
              <w:t>。</w:t>
            </w:r>
            <w:r>
              <w:rPr>
                <w:rFonts w:hint="eastAsia" w:ascii="Times New Roman" w:hAnsi="Times New Roman" w:cs="Times New Roman" w:eastAsiaTheme="minorEastAsia"/>
                <w:color w:val="auto"/>
                <w:sz w:val="24"/>
                <w:lang w:eastAsia="zh-CN"/>
              </w:rPr>
              <w:t>生活用水接管高沟镇</w:t>
            </w:r>
            <w:r>
              <w:rPr>
                <w:rFonts w:hint="eastAsia" w:ascii="Times New Roman" w:hAnsi="Times New Roman" w:cs="Times New Roman" w:eastAsiaTheme="minorEastAsia"/>
                <w:color w:val="auto"/>
                <w:sz w:val="24"/>
              </w:rPr>
              <w:t>污水处理厂。</w:t>
            </w:r>
            <w:r>
              <w:rPr>
                <w:rFonts w:hint="eastAsia" w:cs="Times New Roman" w:eastAsiaTheme="minorEastAsia"/>
                <w:color w:val="auto"/>
                <w:sz w:val="24"/>
                <w:lang w:eastAsia="zh-CN"/>
              </w:rPr>
              <w:t>蒸汽冷凝水用于厂区绿化。</w:t>
            </w:r>
            <w:r>
              <w:rPr>
                <w:rFonts w:hint="eastAsia" w:ascii="Times New Roman" w:hAnsi="Times New Roman" w:cs="Times New Roman" w:eastAsiaTheme="minorEastAsia"/>
                <w:color w:val="auto"/>
                <w:sz w:val="24"/>
                <w:lang w:eastAsia="zh-CN"/>
              </w:rPr>
              <w:t>清洗废水</w:t>
            </w:r>
            <w:r>
              <w:rPr>
                <w:rFonts w:hint="eastAsia" w:cs="Times New Roman" w:eastAsiaTheme="minorEastAsia"/>
                <w:color w:val="auto"/>
                <w:sz w:val="24"/>
                <w:lang w:eastAsia="zh-CN"/>
              </w:rPr>
              <w:t>、水喷淋废水</w:t>
            </w:r>
            <w:r>
              <w:rPr>
                <w:rFonts w:hint="eastAsia" w:ascii="Times New Roman" w:hAnsi="Times New Roman" w:cs="Times New Roman" w:eastAsiaTheme="minorEastAsia"/>
                <w:color w:val="auto"/>
                <w:sz w:val="24"/>
                <w:lang w:eastAsia="zh-CN"/>
              </w:rPr>
              <w:t>作危废处置。</w:t>
            </w:r>
          </w:p>
          <w:p w14:paraId="4E7A8736">
            <w:pPr>
              <w:autoSpaceDE w:val="0"/>
              <w:autoSpaceDN w:val="0"/>
              <w:adjustRightInd w:val="0"/>
              <w:snapToGrid w:val="0"/>
              <w:spacing w:line="360" w:lineRule="auto"/>
              <w:ind w:firstLine="480" w:firstLineChars="200"/>
              <w:rPr>
                <w:color w:val="auto"/>
                <w:sz w:val="24"/>
              </w:rPr>
            </w:pPr>
            <w:r>
              <w:rPr>
                <w:rFonts w:hint="eastAsia"/>
                <w:color w:val="auto"/>
                <w:sz w:val="24"/>
              </w:rPr>
              <w:t>（1）生活用水</w:t>
            </w:r>
          </w:p>
          <w:p w14:paraId="20614AF1">
            <w:pPr>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建设</w:t>
            </w:r>
            <w:r>
              <w:rPr>
                <w:rFonts w:eastAsiaTheme="minorEastAsia"/>
                <w:color w:val="auto"/>
                <w:kern w:val="0"/>
                <w:sz w:val="24"/>
              </w:rPr>
              <w:t>项目</w:t>
            </w:r>
            <w:r>
              <w:rPr>
                <w:rFonts w:hint="eastAsia" w:eastAsiaTheme="minorEastAsia"/>
                <w:color w:val="auto"/>
                <w:kern w:val="0"/>
                <w:sz w:val="24"/>
              </w:rPr>
              <w:t>共有</w:t>
            </w:r>
            <w:r>
              <w:rPr>
                <w:rFonts w:eastAsiaTheme="minorEastAsia"/>
                <w:color w:val="auto"/>
                <w:kern w:val="0"/>
                <w:sz w:val="24"/>
              </w:rPr>
              <w:t>职工</w:t>
            </w:r>
            <w:r>
              <w:rPr>
                <w:rFonts w:hint="eastAsia" w:eastAsiaTheme="minorEastAsia"/>
                <w:color w:val="auto"/>
                <w:kern w:val="0"/>
                <w:sz w:val="24"/>
              </w:rPr>
              <w:t>35</w:t>
            </w:r>
            <w:r>
              <w:rPr>
                <w:rFonts w:eastAsiaTheme="minorEastAsia"/>
                <w:color w:val="auto"/>
                <w:kern w:val="0"/>
                <w:sz w:val="24"/>
              </w:rPr>
              <w:t>人，年工作日3</w:t>
            </w:r>
            <w:r>
              <w:rPr>
                <w:rFonts w:hint="eastAsia" w:eastAsiaTheme="minorEastAsia"/>
                <w:color w:val="auto"/>
                <w:kern w:val="0"/>
                <w:sz w:val="24"/>
              </w:rPr>
              <w:t>0</w:t>
            </w:r>
            <w:r>
              <w:rPr>
                <w:rFonts w:eastAsiaTheme="minorEastAsia"/>
                <w:color w:val="auto"/>
                <w:kern w:val="0"/>
                <w:sz w:val="24"/>
              </w:rPr>
              <w:t>0天，参照《建筑给水排水设计标准》（GB50015-2019），职工用水取50L/人﹒天，则生活用水量</w:t>
            </w:r>
            <w:r>
              <w:rPr>
                <w:rFonts w:hint="eastAsia" w:eastAsiaTheme="minorEastAsia"/>
                <w:color w:val="auto"/>
                <w:kern w:val="0"/>
                <w:sz w:val="24"/>
              </w:rPr>
              <w:t>525</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kern w:val="0"/>
                <w:sz w:val="24"/>
              </w:rPr>
              <w:t>/a，排污系数以0.9计，则生活污水产生量为</w:t>
            </w:r>
            <w:r>
              <w:rPr>
                <w:rFonts w:hint="eastAsia" w:eastAsiaTheme="minorEastAsia"/>
                <w:color w:val="auto"/>
                <w:kern w:val="0"/>
                <w:sz w:val="24"/>
              </w:rPr>
              <w:t>472.5</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kern w:val="0"/>
                <w:sz w:val="24"/>
              </w:rPr>
              <w:t>/a。</w:t>
            </w:r>
          </w:p>
          <w:p w14:paraId="701DAFEE">
            <w:pPr>
              <w:autoSpaceDE w:val="0"/>
              <w:autoSpaceDN w:val="0"/>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（2）蒸汽冷凝水</w:t>
            </w:r>
          </w:p>
          <w:p w14:paraId="07CFCBF5">
            <w:pPr>
              <w:autoSpaceDE w:val="0"/>
              <w:autoSpaceDN w:val="0"/>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本项目热压工序依托光大生物能源（涟水）有限公司蒸汽，供气压力0.2-0.6Mpa，温度130摄氏度以上。热压工序使用蒸汽量为500m</w:t>
            </w:r>
            <w:r>
              <w:rPr>
                <w:rFonts w:hint="eastAsia"/>
                <w:color w:val="auto"/>
                <w:sz w:val="24"/>
                <w:vertAlign w:val="superscript"/>
                <w:lang w:val="en-US" w:eastAsia="zh-CN"/>
              </w:rPr>
              <w:t>3</w:t>
            </w:r>
            <w:r>
              <w:rPr>
                <w:rFonts w:hint="eastAsia"/>
                <w:color w:val="auto"/>
                <w:sz w:val="24"/>
                <w:lang w:val="en-US" w:eastAsia="zh-CN"/>
              </w:rPr>
              <w:t>/a，蒸汽放热冷凝，约90%形成冷凝水（450m</w:t>
            </w:r>
            <w:r>
              <w:rPr>
                <w:rFonts w:hint="eastAsia"/>
                <w:color w:val="auto"/>
                <w:sz w:val="24"/>
                <w:vertAlign w:val="superscript"/>
                <w:lang w:val="en-US" w:eastAsia="zh-CN"/>
              </w:rPr>
              <w:t>3</w:t>
            </w:r>
            <w:r>
              <w:rPr>
                <w:rFonts w:hint="eastAsia"/>
                <w:color w:val="auto"/>
                <w:sz w:val="24"/>
                <w:lang w:val="en-US" w:eastAsia="zh-CN"/>
              </w:rPr>
              <w:t>/a），约10%以热潮气的形式进入大气，蒸汽冷凝水用于厂区绿化。</w:t>
            </w:r>
          </w:p>
          <w:p w14:paraId="2C532DA6">
            <w:pPr>
              <w:numPr>
                <w:ilvl w:val="0"/>
                <w:numId w:val="3"/>
              </w:numPr>
              <w:autoSpaceDE w:val="0"/>
              <w:autoSpaceDN w:val="0"/>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涂胶机清洗</w:t>
            </w:r>
            <w:r>
              <w:rPr>
                <w:rFonts w:hint="eastAsia" w:cs="Times New Roman"/>
                <w:color w:val="auto"/>
                <w:sz w:val="24"/>
                <w:lang w:val="en-US" w:eastAsia="zh-CN"/>
              </w:rPr>
              <w:t>用</w:t>
            </w:r>
            <w:r>
              <w:rPr>
                <w:rFonts w:hint="eastAsia" w:ascii="Times New Roman" w:hAnsi="Times New Roman" w:cs="Times New Roman"/>
                <w:color w:val="auto"/>
                <w:sz w:val="24"/>
                <w:lang w:val="en-US" w:eastAsia="zh-CN"/>
              </w:rPr>
              <w:t>水</w:t>
            </w:r>
          </w:p>
          <w:p w14:paraId="463BD547">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建设项目</w:t>
            </w:r>
            <w:r>
              <w:rPr>
                <w:rFonts w:hint="eastAsia"/>
                <w:b w:val="0"/>
                <w:bCs w:val="0"/>
                <w:color w:val="auto"/>
                <w:sz w:val="24"/>
                <w:lang w:eastAsia="zh-CN"/>
              </w:rPr>
              <w:t>涂胶</w:t>
            </w:r>
            <w:r>
              <w:rPr>
                <w:rFonts w:hint="eastAsia"/>
                <w:b w:val="0"/>
                <w:bCs w:val="0"/>
                <w:color w:val="auto"/>
                <w:sz w:val="24"/>
              </w:rPr>
              <w:t>后需用清水清洗</w:t>
            </w:r>
            <w:r>
              <w:rPr>
                <w:rFonts w:hint="eastAsia"/>
                <w:b w:val="0"/>
                <w:bCs w:val="0"/>
                <w:color w:val="auto"/>
                <w:sz w:val="24"/>
                <w:lang w:eastAsia="zh-CN"/>
              </w:rPr>
              <w:t>涂胶机</w:t>
            </w:r>
            <w:r>
              <w:rPr>
                <w:rFonts w:hint="eastAsia"/>
                <w:b w:val="0"/>
                <w:bCs w:val="0"/>
                <w:color w:val="auto"/>
                <w:sz w:val="24"/>
              </w:rPr>
              <w:t>。根据企业提供资料，</w:t>
            </w:r>
            <w:r>
              <w:rPr>
                <w:rFonts w:hint="eastAsia"/>
                <w:b w:val="0"/>
                <w:bCs w:val="0"/>
                <w:color w:val="auto"/>
                <w:sz w:val="24"/>
                <w:lang w:eastAsia="zh-CN"/>
              </w:rPr>
              <w:t>涂胶机</w:t>
            </w:r>
            <w:r>
              <w:rPr>
                <w:rFonts w:hint="eastAsia"/>
                <w:b w:val="0"/>
                <w:bCs w:val="0"/>
                <w:color w:val="auto"/>
                <w:sz w:val="24"/>
              </w:rPr>
              <w:t>清洗用水量约为0.0</w:t>
            </w:r>
            <w:r>
              <w:rPr>
                <w:rFonts w:hint="eastAsia"/>
                <w:b w:val="0"/>
                <w:bCs w:val="0"/>
                <w:color w:val="auto"/>
                <w:sz w:val="24"/>
                <w:lang w:val="en-US" w:eastAsia="zh-CN"/>
              </w:rPr>
              <w:t>4</w:t>
            </w:r>
            <w:r>
              <w:rPr>
                <w:rFonts w:hint="eastAsia"/>
                <w:b w:val="0"/>
                <w:bCs w:val="0"/>
                <w:color w:val="auto"/>
                <w:sz w:val="24"/>
              </w:rPr>
              <w:t>m³/次，每天清洗一次，则喷头清洗用水量约为</w:t>
            </w:r>
            <w:r>
              <w:rPr>
                <w:rFonts w:hint="eastAsia"/>
                <w:b w:val="0"/>
                <w:bCs w:val="0"/>
                <w:color w:val="auto"/>
                <w:sz w:val="24"/>
                <w:lang w:val="en-US" w:eastAsia="zh-CN"/>
              </w:rPr>
              <w:t>12</w:t>
            </w:r>
            <w:r>
              <w:rPr>
                <w:rFonts w:hint="eastAsia"/>
                <w:b w:val="0"/>
                <w:bCs w:val="0"/>
                <w:color w:val="auto"/>
                <w:sz w:val="24"/>
              </w:rPr>
              <w:t>m³/a，清洗过程中约有20%的损耗，80%进入危废，</w:t>
            </w:r>
            <w:r>
              <w:rPr>
                <w:rFonts w:hint="eastAsia"/>
                <w:b w:val="0"/>
                <w:bCs w:val="0"/>
                <w:color w:val="auto"/>
                <w:sz w:val="24"/>
                <w:lang w:eastAsia="zh-CN"/>
              </w:rPr>
              <w:t>当作</w:t>
            </w:r>
            <w:r>
              <w:rPr>
                <w:rFonts w:hint="eastAsia"/>
                <w:b w:val="0"/>
                <w:bCs w:val="0"/>
                <w:color w:val="auto"/>
                <w:sz w:val="24"/>
              </w:rPr>
              <w:t>危险废物废液，委托有资质单位处置。</w:t>
            </w:r>
          </w:p>
          <w:p w14:paraId="781FED02">
            <w:pPr>
              <w:numPr>
                <w:ilvl w:val="0"/>
                <w:numId w:val="3"/>
              </w:numPr>
              <w:autoSpaceDE w:val="0"/>
              <w:autoSpaceDN w:val="0"/>
              <w:adjustRightInd w:val="0"/>
              <w:snapToGrid w:val="0"/>
              <w:spacing w:line="360" w:lineRule="auto"/>
              <w:ind w:firstLine="480" w:firstLineChars="200"/>
              <w:rPr>
                <w:rFonts w:hint="eastAsia"/>
                <w:b w:val="0"/>
                <w:bCs w:val="0"/>
                <w:color w:val="auto"/>
                <w:sz w:val="24"/>
                <w:lang w:eastAsia="zh-CN"/>
              </w:rPr>
            </w:pPr>
            <w:r>
              <w:rPr>
                <w:rFonts w:hint="eastAsia"/>
                <w:b w:val="0"/>
                <w:bCs w:val="0"/>
                <w:color w:val="auto"/>
                <w:sz w:val="24"/>
                <w:lang w:eastAsia="zh-CN"/>
              </w:rPr>
              <w:t>水喷淋用水</w:t>
            </w:r>
          </w:p>
          <w:p w14:paraId="4D81DA5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lang w:val="en-US" w:eastAsia="zh-CN"/>
              </w:rPr>
            </w:pPr>
            <w:r>
              <w:rPr>
                <w:rFonts w:hint="eastAsia" w:ascii="Times New Roman" w:hAnsi="Times New Roman" w:cs="Times New Roman"/>
                <w:color w:val="auto"/>
                <w:sz w:val="24"/>
                <w:lang w:val="en-US" w:eastAsia="zh-CN"/>
              </w:rPr>
              <w:t>本项目喷漆工艺废气均采用水</w:t>
            </w:r>
            <w:r>
              <w:rPr>
                <w:rFonts w:hint="eastAsia" w:cs="Times New Roman"/>
                <w:color w:val="auto"/>
                <w:sz w:val="24"/>
                <w:lang w:val="en-US" w:eastAsia="zh-CN"/>
              </w:rPr>
              <w:t>喷淋</w:t>
            </w:r>
            <w:r>
              <w:rPr>
                <w:rFonts w:hint="eastAsia" w:ascii="Times New Roman" w:hAnsi="Times New Roman" w:cs="Times New Roman"/>
                <w:color w:val="auto"/>
                <w:sz w:val="24"/>
                <w:lang w:val="en-US" w:eastAsia="zh-CN"/>
              </w:rPr>
              <w:t>作为前道处理措施，本项目为水</w:t>
            </w:r>
            <w:r>
              <w:rPr>
                <w:rFonts w:hint="eastAsia" w:cs="Times New Roman"/>
                <w:color w:val="auto"/>
                <w:sz w:val="24"/>
                <w:lang w:val="en-US" w:eastAsia="zh-CN"/>
              </w:rPr>
              <w:t>喷淋</w:t>
            </w:r>
            <w:r>
              <w:rPr>
                <w:rFonts w:hint="eastAsia" w:ascii="Times New Roman" w:hAnsi="Times New Roman" w:cs="Times New Roman"/>
                <w:color w:val="auto"/>
                <w:sz w:val="24"/>
                <w:lang w:val="en-US" w:eastAsia="zh-CN"/>
              </w:rPr>
              <w:t>装置配套设置循环水池（有效容积约</w:t>
            </w:r>
            <w:r>
              <w:rPr>
                <w:rFonts w:hint="default" w:ascii="Times New Roman" w:hAnsi="Times New Roman" w:cs="Times New Roman"/>
                <w:color w:val="auto"/>
                <w:sz w:val="24"/>
                <w:lang w:val="en-US" w:eastAsia="zh-CN"/>
              </w:rPr>
              <w:t>5m</w:t>
            </w:r>
            <w:r>
              <w:rPr>
                <w:rFonts w:hint="default"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），年工作</w:t>
            </w:r>
            <w:r>
              <w:rPr>
                <w:rFonts w:hint="default" w:ascii="Times New Roman" w:hAnsi="Times New Roman" w:cs="Times New Roman"/>
                <w:color w:val="auto"/>
                <w:sz w:val="24"/>
                <w:lang w:val="en-US" w:eastAsia="zh-CN"/>
              </w:rPr>
              <w:t>7200h</w:t>
            </w:r>
            <w:r>
              <w:rPr>
                <w:rFonts w:hint="eastAsia" w:ascii="Times New Roman" w:hAnsi="Times New Roman" w:cs="Times New Roman"/>
                <w:color w:val="auto"/>
                <w:sz w:val="24"/>
                <w:lang w:val="en-US" w:eastAsia="zh-CN"/>
              </w:rPr>
              <w:t>，循环量为</w:t>
            </w:r>
            <w:r>
              <w:rPr>
                <w:rFonts w:hint="default" w:ascii="Times New Roman" w:hAnsi="Times New Roman" w:cs="Times New Roman"/>
                <w:color w:val="auto"/>
                <w:sz w:val="24"/>
                <w:lang w:val="en-US" w:eastAsia="zh-CN"/>
              </w:rPr>
              <w:t>20m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hAnsi="Times New Roman" w:cs="Times New Roman"/>
                <w:color w:val="auto"/>
                <w:sz w:val="24"/>
                <w:lang w:val="en-US" w:eastAsia="zh-CN"/>
              </w:rPr>
              <w:t>，水</w:t>
            </w:r>
            <w:r>
              <w:rPr>
                <w:rFonts w:hint="eastAsia" w:cs="Times New Roman"/>
                <w:color w:val="auto"/>
                <w:sz w:val="24"/>
                <w:lang w:val="en-US" w:eastAsia="zh-CN"/>
              </w:rPr>
              <w:t>喷淋</w:t>
            </w:r>
            <w:r>
              <w:rPr>
                <w:rFonts w:hint="eastAsia" w:ascii="Times New Roman" w:hAnsi="Times New Roman" w:cs="Times New Roman"/>
                <w:color w:val="auto"/>
                <w:sz w:val="24"/>
                <w:lang w:val="en-US" w:eastAsia="zh-CN"/>
              </w:rPr>
              <w:t>水按需补充、循环使用，定期捞渣，补充量约为循环量的</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，则补充水量为</w:t>
            </w:r>
            <w:r>
              <w:rPr>
                <w:rFonts w:hint="default" w:ascii="Times New Roman" w:hAnsi="Times New Roman" w:cs="Times New Roman"/>
                <w:color w:val="auto"/>
                <w:sz w:val="24"/>
                <w:lang w:val="en-US" w:eastAsia="zh-CN"/>
              </w:rPr>
              <w:t>2880m</w:t>
            </w:r>
            <w:r>
              <w:rPr>
                <w:rFonts w:hint="default"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。水</w:t>
            </w:r>
            <w:r>
              <w:rPr>
                <w:rFonts w:hint="eastAsia" w:cs="Times New Roman"/>
                <w:color w:val="auto"/>
                <w:sz w:val="24"/>
                <w:lang w:val="en-US" w:eastAsia="zh-CN"/>
              </w:rPr>
              <w:t>喷淋</w:t>
            </w:r>
            <w:r>
              <w:rPr>
                <w:rFonts w:hint="eastAsia" w:ascii="Times New Roman" w:hAnsi="Times New Roman" w:cs="Times New Roman"/>
                <w:color w:val="auto"/>
                <w:sz w:val="24"/>
                <w:lang w:val="en-US" w:eastAsia="zh-CN"/>
              </w:rPr>
              <w:t>水经处理后循环使用，定期整体更换作为危险废物</w:t>
            </w:r>
            <w:r>
              <w:rPr>
                <w:rFonts w:hint="eastAsia" w:cs="Times New Roman"/>
                <w:color w:val="auto"/>
                <w:sz w:val="24"/>
                <w:lang w:val="en-US" w:eastAsia="zh-CN"/>
              </w:rPr>
              <w:t>。</w:t>
            </w:r>
          </w:p>
          <w:p w14:paraId="6E3618D4">
            <w:pPr>
              <w:spacing w:line="360" w:lineRule="auto"/>
              <w:jc w:val="center"/>
              <w:rPr>
                <w:color w:val="auto"/>
              </w:rPr>
            </w:pPr>
            <w:r>
              <w:rPr>
                <w:color w:val="auto"/>
              </w:rPr>
              <w:object>
                <v:shape id="_x0000_i1025" o:spt="75" type="#_x0000_t75" style="height:213pt;width:330.7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220DDC07">
            <w:pPr>
              <w:spacing w:line="360" w:lineRule="auto"/>
              <w:jc w:val="center"/>
              <w:rPr>
                <w:b/>
                <w:color w:val="auto"/>
                <w:sz w:val="24"/>
              </w:rPr>
            </w:pPr>
            <w:r>
              <w:rPr>
                <w:b/>
                <w:color w:val="auto"/>
                <w:sz w:val="24"/>
              </w:rPr>
              <w:t>图2-1  项目水平衡图（t/a）</w:t>
            </w:r>
          </w:p>
          <w:p w14:paraId="0E59DA2A">
            <w:pPr>
              <w:autoSpaceDE w:val="0"/>
              <w:autoSpaceDN w:val="0"/>
              <w:adjustRightInd w:val="0"/>
              <w:snapToGrid w:val="0"/>
              <w:spacing w:line="360" w:lineRule="auto"/>
              <w:ind w:firstLine="482" w:firstLineChars="200"/>
              <w:jc w:val="left"/>
              <w:rPr>
                <w:rFonts w:hint="eastAsia" w:eastAsiaTheme="minorEastAsia"/>
                <w:b/>
                <w:color w:val="auto"/>
                <w:kern w:val="0"/>
                <w:sz w:val="24"/>
                <w:lang w:val="en-US" w:eastAsia="zh-CN"/>
              </w:rPr>
            </w:pPr>
          </w:p>
          <w:p w14:paraId="58A22CE2">
            <w:pPr>
              <w:autoSpaceDE w:val="0"/>
              <w:autoSpaceDN w:val="0"/>
              <w:adjustRightInd w:val="0"/>
              <w:snapToGrid w:val="0"/>
              <w:spacing w:line="360" w:lineRule="auto"/>
              <w:ind w:firstLine="482" w:firstLineChars="200"/>
              <w:jc w:val="left"/>
              <w:rPr>
                <w:rFonts w:hint="eastAsia" w:eastAsiaTheme="minorEastAsia"/>
                <w:b/>
                <w:color w:val="auto"/>
                <w:kern w:val="0"/>
                <w:sz w:val="24"/>
                <w:lang w:val="en-US" w:eastAsia="zh-CN"/>
              </w:rPr>
            </w:pPr>
          </w:p>
          <w:p w14:paraId="029683F8">
            <w:pPr>
              <w:autoSpaceDE w:val="0"/>
              <w:autoSpaceDN w:val="0"/>
              <w:adjustRightInd w:val="0"/>
              <w:snapToGrid w:val="0"/>
              <w:spacing w:line="360" w:lineRule="auto"/>
              <w:ind w:firstLine="482" w:firstLineChars="200"/>
              <w:jc w:val="left"/>
              <w:rPr>
                <w:rFonts w:eastAsiaTheme="minorEastAsia"/>
                <w:b/>
                <w:color w:val="auto"/>
                <w:kern w:val="0"/>
                <w:sz w:val="24"/>
              </w:rPr>
            </w:pPr>
            <w:r>
              <w:rPr>
                <w:rFonts w:hint="eastAsia" w:eastAsiaTheme="minorEastAsia"/>
                <w:b/>
                <w:color w:val="auto"/>
                <w:kern w:val="0"/>
                <w:sz w:val="24"/>
                <w:lang w:val="en-US" w:eastAsia="zh-CN"/>
              </w:rPr>
              <w:t>9</w:t>
            </w:r>
            <w:r>
              <w:rPr>
                <w:rFonts w:hint="default" w:eastAsiaTheme="minorEastAsia"/>
                <w:b/>
                <w:color w:val="auto"/>
                <w:kern w:val="0"/>
                <w:sz w:val="24"/>
                <w:lang w:val="en-US" w:eastAsia="zh-CN"/>
              </w:rPr>
              <w:t>.</w:t>
            </w:r>
            <w:r>
              <w:rPr>
                <w:rFonts w:hint="eastAsia" w:eastAsiaTheme="minorEastAsia"/>
                <w:b/>
                <w:color w:val="auto"/>
                <w:kern w:val="0"/>
                <w:sz w:val="24"/>
                <w:lang w:val="en-US" w:eastAsia="zh-CN"/>
              </w:rPr>
              <w:t>VOC</w:t>
            </w:r>
            <w:r>
              <w:rPr>
                <w:rFonts w:hint="eastAsia" w:eastAsiaTheme="minorEastAsia"/>
                <w:b/>
                <w:color w:val="auto"/>
                <w:kern w:val="0"/>
                <w:sz w:val="24"/>
                <w:vertAlign w:val="subscript"/>
                <w:lang w:val="en-US" w:eastAsia="zh-CN"/>
              </w:rPr>
              <w:t>S</w:t>
            </w:r>
            <w:r>
              <w:rPr>
                <w:rFonts w:hint="eastAsia" w:eastAsiaTheme="minorEastAsia"/>
                <w:b/>
                <w:color w:val="auto"/>
                <w:kern w:val="0"/>
                <w:sz w:val="24"/>
                <w:lang w:val="en-US" w:eastAsia="zh-CN"/>
              </w:rPr>
              <w:t xml:space="preserve">物料平衡 </w:t>
            </w:r>
          </w:p>
          <w:p w14:paraId="1CD0F690">
            <w:pPr>
              <w:autoSpaceDE w:val="0"/>
              <w:autoSpaceDN w:val="0"/>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建设项目脲醛胶用量为1300</w:t>
            </w:r>
            <w:r>
              <w:rPr>
                <w:rFonts w:hint="default"/>
                <w:color w:val="auto"/>
                <w:sz w:val="24"/>
                <w:lang w:val="en-US" w:eastAsia="zh-CN"/>
              </w:rPr>
              <w:t>t/a</w:t>
            </w:r>
            <w:r>
              <w:rPr>
                <w:rFonts w:hint="eastAsia"/>
                <w:color w:val="auto"/>
                <w:sz w:val="24"/>
                <w:lang w:val="en-US" w:eastAsia="zh-CN"/>
              </w:rPr>
              <w:t>，根据系数法：拼缝、调胶、涂胶、热压工序产生VOCs为0.2061</w:t>
            </w:r>
            <w:r>
              <w:rPr>
                <w:rFonts w:hint="default"/>
                <w:color w:val="auto"/>
                <w:sz w:val="24"/>
                <w:lang w:val="en-US" w:eastAsia="zh-CN"/>
              </w:rPr>
              <w:t>t/a</w:t>
            </w:r>
            <w:r>
              <w:rPr>
                <w:rFonts w:hint="eastAsia"/>
                <w:color w:val="auto"/>
                <w:sz w:val="24"/>
                <w:lang w:val="en-US" w:eastAsia="zh-CN"/>
              </w:rPr>
              <w:t>，使用集气罩收集，收集效率达</w:t>
            </w:r>
            <w:r>
              <w:rPr>
                <w:rFonts w:hint="default"/>
                <w:color w:val="auto"/>
                <w:sz w:val="24"/>
                <w:lang w:val="en-US" w:eastAsia="zh-CN"/>
              </w:rPr>
              <w:t>90%</w:t>
            </w:r>
            <w:r>
              <w:rPr>
                <w:rFonts w:hint="eastAsia"/>
                <w:color w:val="auto"/>
                <w:sz w:val="24"/>
                <w:lang w:val="en-US" w:eastAsia="zh-CN"/>
              </w:rPr>
              <w:t>，则非甲烷总烃（包含甲醛）有组织产生量为</w:t>
            </w:r>
            <w:r>
              <w:rPr>
                <w:rFonts w:hint="default"/>
                <w:color w:val="auto"/>
                <w:sz w:val="24"/>
                <w:lang w:val="en-US" w:eastAsia="zh-CN"/>
              </w:rPr>
              <w:t>0.</w:t>
            </w:r>
            <w:r>
              <w:rPr>
                <w:rFonts w:hint="eastAsia"/>
                <w:color w:val="auto"/>
                <w:sz w:val="24"/>
                <w:lang w:val="en-US" w:eastAsia="zh-CN"/>
              </w:rPr>
              <w:t>1867</w:t>
            </w:r>
            <w:r>
              <w:rPr>
                <w:rFonts w:hint="default"/>
                <w:color w:val="auto"/>
                <w:sz w:val="24"/>
                <w:lang w:val="en-US" w:eastAsia="zh-CN"/>
              </w:rPr>
              <w:t>t/a</w:t>
            </w:r>
            <w:r>
              <w:rPr>
                <w:rFonts w:hint="eastAsia"/>
                <w:color w:val="auto"/>
                <w:sz w:val="24"/>
                <w:lang w:val="en-US" w:eastAsia="zh-CN"/>
              </w:rPr>
              <w:t>，无组织产生量为</w:t>
            </w:r>
            <w:r>
              <w:rPr>
                <w:rFonts w:hint="default"/>
                <w:color w:val="auto"/>
                <w:sz w:val="24"/>
                <w:lang w:val="en-US" w:eastAsia="zh-CN"/>
              </w:rPr>
              <w:t>0.0</w:t>
            </w:r>
            <w:r>
              <w:rPr>
                <w:rFonts w:hint="eastAsia"/>
                <w:color w:val="auto"/>
                <w:sz w:val="24"/>
                <w:lang w:val="en-US" w:eastAsia="zh-CN"/>
              </w:rPr>
              <w:t>206</w:t>
            </w:r>
            <w:r>
              <w:rPr>
                <w:rFonts w:hint="default"/>
                <w:color w:val="auto"/>
                <w:sz w:val="24"/>
                <w:lang w:val="en-US" w:eastAsia="zh-CN"/>
              </w:rPr>
              <w:t>t/a</w:t>
            </w:r>
            <w:r>
              <w:rPr>
                <w:rFonts w:hint="eastAsia"/>
                <w:color w:val="auto"/>
                <w:sz w:val="24"/>
                <w:lang w:val="en-US" w:eastAsia="zh-CN"/>
              </w:rPr>
              <w:t>。</w:t>
            </w:r>
          </w:p>
          <w:p w14:paraId="63AF9CE2">
            <w:pPr>
              <w:spacing w:line="360" w:lineRule="auto"/>
              <w:jc w:val="center"/>
              <w:rPr>
                <w:b/>
                <w:color w:val="auto"/>
                <w:sz w:val="24"/>
              </w:rPr>
            </w:pPr>
            <w:r>
              <w:rPr>
                <w:b/>
                <w:color w:val="auto"/>
                <w:sz w:val="24"/>
              </w:rPr>
              <w:object>
                <v:shape id="_x0000_i1026" o:spt="75" type="#_x0000_t75" style="height:196.5pt;width:414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r>
              <w:rPr>
                <w:b/>
                <w:color w:val="auto"/>
                <w:sz w:val="24"/>
              </w:rPr>
              <w:t>图2-</w:t>
            </w:r>
            <w:r>
              <w:rPr>
                <w:rFonts w:hint="eastAsia"/>
                <w:b/>
                <w:color w:val="auto"/>
                <w:sz w:val="24"/>
                <w:lang w:val="en-US" w:eastAsia="zh-CN"/>
              </w:rPr>
              <w:t>2</w:t>
            </w:r>
            <w:r>
              <w:rPr>
                <w:b/>
                <w:color w:val="auto"/>
                <w:sz w:val="24"/>
              </w:rPr>
              <w:t xml:space="preserve">  项目</w:t>
            </w:r>
            <w:r>
              <w:rPr>
                <w:rFonts w:hint="eastAsia"/>
                <w:b/>
                <w:color w:val="auto"/>
                <w:sz w:val="24"/>
                <w:lang w:eastAsia="zh-CN"/>
              </w:rPr>
              <w:t>物料</w:t>
            </w:r>
            <w:r>
              <w:rPr>
                <w:b/>
                <w:color w:val="auto"/>
                <w:sz w:val="24"/>
              </w:rPr>
              <w:t>平衡图（t/a）</w:t>
            </w:r>
          </w:p>
          <w:p w14:paraId="6AD301F2">
            <w:pPr>
              <w:autoSpaceDE w:val="0"/>
              <w:autoSpaceDN w:val="0"/>
              <w:adjustRightInd w:val="0"/>
              <w:snapToGrid w:val="0"/>
              <w:spacing w:line="360" w:lineRule="auto"/>
              <w:ind w:firstLine="420" w:firstLineChars="200"/>
              <w:rPr>
                <w:rFonts w:hint="default"/>
                <w:color w:val="auto"/>
                <w:lang w:val="en-US" w:eastAsia="zh-CN"/>
              </w:rPr>
            </w:pPr>
          </w:p>
          <w:p w14:paraId="77052099">
            <w:pPr>
              <w:pStyle w:val="30"/>
              <w:rPr>
                <w:rFonts w:hint="default"/>
                <w:color w:val="auto"/>
                <w:lang w:val="en-US" w:eastAsia="zh-CN"/>
              </w:rPr>
            </w:pPr>
          </w:p>
          <w:p w14:paraId="6EF4C49B">
            <w:pPr>
              <w:pStyle w:val="31"/>
              <w:rPr>
                <w:rFonts w:hint="default"/>
                <w:color w:val="auto"/>
                <w:lang w:val="en-US" w:eastAsia="zh-CN"/>
              </w:rPr>
            </w:pPr>
          </w:p>
          <w:p w14:paraId="193C8061">
            <w:pPr>
              <w:rPr>
                <w:rFonts w:hint="default"/>
                <w:color w:val="auto"/>
                <w:lang w:val="en-US" w:eastAsia="zh-CN"/>
              </w:rPr>
            </w:pPr>
          </w:p>
          <w:p w14:paraId="48E5FFB7">
            <w:pPr>
              <w:pStyle w:val="30"/>
              <w:rPr>
                <w:rFonts w:hint="default"/>
                <w:color w:val="auto"/>
                <w:lang w:val="en-US" w:eastAsia="zh-CN"/>
              </w:rPr>
            </w:pPr>
          </w:p>
          <w:p w14:paraId="34832043">
            <w:pPr>
              <w:pStyle w:val="31"/>
              <w:rPr>
                <w:rFonts w:hint="default"/>
                <w:color w:val="auto"/>
                <w:lang w:val="en-US" w:eastAsia="zh-CN"/>
              </w:rPr>
            </w:pPr>
          </w:p>
          <w:p w14:paraId="2E6DFEAA">
            <w:pPr>
              <w:rPr>
                <w:rFonts w:hint="default"/>
                <w:color w:val="auto"/>
                <w:lang w:val="en-US" w:eastAsia="zh-CN"/>
              </w:rPr>
            </w:pPr>
          </w:p>
          <w:p w14:paraId="035D0978">
            <w:pPr>
              <w:pStyle w:val="30"/>
              <w:rPr>
                <w:rFonts w:hint="default"/>
                <w:color w:val="auto"/>
                <w:lang w:val="en-US" w:eastAsia="zh-CN"/>
              </w:rPr>
            </w:pPr>
          </w:p>
          <w:p w14:paraId="08D1DE71">
            <w:pPr>
              <w:pStyle w:val="31"/>
              <w:rPr>
                <w:rFonts w:hint="default"/>
                <w:color w:val="auto"/>
                <w:lang w:val="en-US" w:eastAsia="zh-CN"/>
              </w:rPr>
            </w:pPr>
          </w:p>
          <w:p w14:paraId="5C71FB88">
            <w:pPr>
              <w:rPr>
                <w:rFonts w:hint="default"/>
                <w:color w:val="auto"/>
                <w:lang w:val="en-US" w:eastAsia="zh-CN"/>
              </w:rPr>
            </w:pPr>
          </w:p>
          <w:p w14:paraId="0E9A8C09">
            <w:pPr>
              <w:pStyle w:val="30"/>
              <w:rPr>
                <w:rFonts w:hint="default"/>
                <w:color w:val="auto"/>
                <w:lang w:val="en-US" w:eastAsia="zh-CN"/>
              </w:rPr>
            </w:pPr>
          </w:p>
          <w:p w14:paraId="1BB0571C">
            <w:pPr>
              <w:pStyle w:val="31"/>
              <w:rPr>
                <w:rFonts w:hint="default"/>
                <w:color w:val="auto"/>
                <w:lang w:val="en-US" w:eastAsia="zh-CN"/>
              </w:rPr>
            </w:pPr>
          </w:p>
          <w:p w14:paraId="05B34BD4">
            <w:pPr>
              <w:rPr>
                <w:rFonts w:hint="default"/>
                <w:color w:val="auto"/>
                <w:lang w:val="en-US" w:eastAsia="zh-CN"/>
              </w:rPr>
            </w:pPr>
          </w:p>
          <w:p w14:paraId="0A752FDF">
            <w:pPr>
              <w:pStyle w:val="30"/>
              <w:rPr>
                <w:rFonts w:hint="default"/>
                <w:color w:val="auto"/>
                <w:lang w:val="en-US" w:eastAsia="zh-CN"/>
              </w:rPr>
            </w:pPr>
          </w:p>
          <w:p w14:paraId="09309B3A">
            <w:pPr>
              <w:pStyle w:val="31"/>
              <w:rPr>
                <w:rFonts w:hint="default"/>
                <w:color w:val="auto"/>
                <w:lang w:val="en-US" w:eastAsia="zh-CN"/>
              </w:rPr>
            </w:pPr>
          </w:p>
          <w:p w14:paraId="70B950F2">
            <w:pPr>
              <w:rPr>
                <w:rFonts w:hint="default"/>
                <w:color w:val="auto"/>
                <w:lang w:val="en-US" w:eastAsia="zh-CN"/>
              </w:rPr>
            </w:pPr>
          </w:p>
          <w:p w14:paraId="6097D03F">
            <w:pPr>
              <w:pStyle w:val="30"/>
              <w:rPr>
                <w:rFonts w:hint="default"/>
                <w:color w:val="auto"/>
                <w:lang w:val="en-US" w:eastAsia="zh-CN"/>
              </w:rPr>
            </w:pPr>
          </w:p>
          <w:p w14:paraId="0020F2E9">
            <w:pPr>
              <w:pStyle w:val="31"/>
              <w:rPr>
                <w:rFonts w:hint="default"/>
                <w:color w:val="auto"/>
                <w:lang w:val="en-US" w:eastAsia="zh-CN"/>
              </w:rPr>
            </w:pPr>
          </w:p>
          <w:p w14:paraId="1E95002C">
            <w:pPr>
              <w:rPr>
                <w:rFonts w:hint="default"/>
                <w:color w:val="auto"/>
                <w:lang w:val="en-US" w:eastAsia="zh-CN"/>
              </w:rPr>
            </w:pPr>
          </w:p>
          <w:p w14:paraId="51520A9A">
            <w:pPr>
              <w:pStyle w:val="30"/>
              <w:rPr>
                <w:rFonts w:hint="default"/>
                <w:color w:val="auto"/>
                <w:lang w:val="en-US" w:eastAsia="zh-CN"/>
              </w:rPr>
            </w:pPr>
          </w:p>
          <w:p w14:paraId="67DC772C">
            <w:pPr>
              <w:pStyle w:val="31"/>
              <w:rPr>
                <w:rFonts w:hint="default"/>
                <w:color w:val="auto"/>
                <w:lang w:val="en-US" w:eastAsia="zh-CN"/>
              </w:rPr>
            </w:pPr>
          </w:p>
          <w:p w14:paraId="782C002E">
            <w:pPr>
              <w:rPr>
                <w:rFonts w:hint="default"/>
                <w:color w:val="auto"/>
                <w:lang w:val="en-US" w:eastAsia="zh-CN"/>
              </w:rPr>
            </w:pPr>
          </w:p>
          <w:p w14:paraId="0D600362">
            <w:pPr>
              <w:pStyle w:val="30"/>
              <w:rPr>
                <w:rFonts w:hint="default"/>
                <w:color w:val="auto"/>
                <w:lang w:val="en-US" w:eastAsia="zh-CN"/>
              </w:rPr>
            </w:pPr>
          </w:p>
          <w:p w14:paraId="4A43955D">
            <w:pPr>
              <w:pStyle w:val="31"/>
              <w:rPr>
                <w:rFonts w:hint="default"/>
                <w:color w:val="auto"/>
                <w:lang w:val="en-US" w:eastAsia="zh-CN"/>
              </w:rPr>
            </w:pPr>
          </w:p>
        </w:tc>
      </w:tr>
      <w:tr w14:paraId="16BDD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4" w:hRule="atLeast"/>
          <w:jc w:val="center"/>
        </w:trPr>
        <w:tc>
          <w:tcPr>
            <w:tcW w:w="511" w:type="dxa"/>
            <w:vAlign w:val="center"/>
          </w:tcPr>
          <w:p w14:paraId="26FC46C3">
            <w:pPr>
              <w:pStyle w:val="3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24" w:type="dxa"/>
          </w:tcPr>
          <w:p w14:paraId="7B36FCBC">
            <w:pPr>
              <w:spacing w:line="360" w:lineRule="auto"/>
              <w:ind w:firstLine="482" w:firstLineChars="200"/>
              <w:rPr>
                <w:b/>
                <w:color w:val="auto"/>
                <w:sz w:val="24"/>
                <w:szCs w:val="22"/>
              </w:rPr>
            </w:pPr>
            <w:r>
              <w:rPr>
                <w:b/>
                <w:color w:val="auto"/>
                <w:sz w:val="24"/>
                <w:szCs w:val="22"/>
              </w:rPr>
              <w:t>一、运营期工程分析</w:t>
            </w:r>
          </w:p>
          <w:p w14:paraId="695CB416">
            <w:pPr>
              <w:spacing w:line="360" w:lineRule="auto"/>
              <w:ind w:firstLine="480" w:firstLineChars="200"/>
              <w:rPr>
                <w:color w:val="auto"/>
                <w:sz w:val="24"/>
                <w:szCs w:val="22"/>
              </w:rPr>
            </w:pPr>
            <w:r>
              <w:rPr>
                <w:color w:val="auto"/>
                <w:sz w:val="24"/>
              </w:rPr>
              <w:t>1、胶合板</w:t>
            </w:r>
            <w:r>
              <w:rPr>
                <w:color w:val="auto"/>
                <w:sz w:val="24"/>
                <w:szCs w:val="22"/>
              </w:rPr>
              <w:t>工艺流程及产污情况：</w:t>
            </w:r>
          </w:p>
          <w:p w14:paraId="548C451D">
            <w:pPr>
              <w:pStyle w:val="11"/>
              <w:ind w:firstLine="0" w:firstLineChars="0"/>
              <w:jc w:val="center"/>
              <w:rPr>
                <w:color w:val="auto"/>
              </w:rPr>
            </w:pPr>
            <w:r>
              <w:rPr>
                <w:color w:val="auto"/>
              </w:rPr>
              <w:object>
                <v:shape id="_x0000_i1027" o:spt="75" type="#_x0000_t75" style="height:477pt;width:321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5C2C3799">
            <w:pPr>
              <w:pStyle w:val="11"/>
              <w:ind w:firstLine="0" w:firstLineChars="0"/>
              <w:jc w:val="center"/>
              <w:rPr>
                <w:snapToGrid w:val="0"/>
                <w:color w:val="auto"/>
              </w:rPr>
            </w:pPr>
            <w:r>
              <w:rPr>
                <w:b/>
                <w:snapToGrid w:val="0"/>
                <w:color w:val="auto"/>
                <w:sz w:val="24"/>
              </w:rPr>
              <w:t>图2-2  本项目工艺流程及产排污节点图</w:t>
            </w:r>
          </w:p>
          <w:p w14:paraId="43BE4A11">
            <w:pPr>
              <w:pStyle w:val="89"/>
              <w:spacing w:line="360" w:lineRule="auto"/>
              <w:ind w:firstLine="0" w:firstLineChars="0"/>
              <w:jc w:val="left"/>
              <w:rPr>
                <w:b/>
                <w:color w:val="auto"/>
                <w:sz w:val="24"/>
              </w:rPr>
            </w:pPr>
            <w:r>
              <w:rPr>
                <w:b/>
                <w:color w:val="auto"/>
                <w:sz w:val="24"/>
              </w:rPr>
              <w:t>工艺流程及产排污环节说明：</w:t>
            </w:r>
          </w:p>
          <w:p w14:paraId="0989DDF2">
            <w:pPr>
              <w:numPr>
                <w:ilvl w:val="0"/>
                <w:numId w:val="4"/>
              </w:numPr>
              <w:spacing w:line="360" w:lineRule="auto"/>
              <w:ind w:firstLine="480" w:firstLineChars="200"/>
              <w:rPr>
                <w:color w:val="auto"/>
                <w:sz w:val="24"/>
              </w:rPr>
            </w:pPr>
            <w:r>
              <w:rPr>
                <w:rFonts w:hint="eastAsia"/>
                <w:color w:val="auto"/>
                <w:sz w:val="24"/>
              </w:rPr>
              <w:t>旋切</w:t>
            </w:r>
          </w:p>
          <w:p w14:paraId="45FE8E33">
            <w:pPr>
              <w:spacing w:line="360" w:lineRule="auto"/>
              <w:ind w:firstLine="480" w:firstLineChars="200"/>
              <w:rPr>
                <w:bCs/>
                <w:color w:val="auto"/>
                <w:sz w:val="24"/>
              </w:rPr>
            </w:pPr>
            <w:r>
              <w:rPr>
                <w:bCs/>
                <w:color w:val="auto"/>
                <w:sz w:val="24"/>
              </w:rPr>
              <w:t>旋切：用旋切机对</w:t>
            </w:r>
            <w:r>
              <w:rPr>
                <w:rFonts w:hint="eastAsia"/>
                <w:bCs/>
                <w:color w:val="auto"/>
                <w:sz w:val="24"/>
              </w:rPr>
              <w:t>外购的木材</w:t>
            </w:r>
            <w:r>
              <w:rPr>
                <w:bCs/>
                <w:color w:val="auto"/>
                <w:sz w:val="24"/>
              </w:rPr>
              <w:t>按照所需尺寸进行旋切。</w:t>
            </w:r>
          </w:p>
          <w:p w14:paraId="1F9E327A">
            <w:pPr>
              <w:spacing w:line="360" w:lineRule="auto"/>
              <w:ind w:firstLine="480" w:firstLineChars="200"/>
              <w:rPr>
                <w:color w:val="auto"/>
                <w:sz w:val="24"/>
              </w:rPr>
            </w:pPr>
            <w:r>
              <w:rPr>
                <w:rFonts w:hint="eastAsia"/>
                <w:color w:val="auto"/>
                <w:sz w:val="24"/>
              </w:rPr>
              <w:t>主要污染物：</w:t>
            </w:r>
            <w:r>
              <w:rPr>
                <w:color w:val="auto"/>
                <w:sz w:val="24"/>
              </w:rPr>
              <w:t>G</w:t>
            </w:r>
            <w:r>
              <w:rPr>
                <w:rFonts w:hint="eastAsia"/>
                <w:color w:val="auto"/>
                <w:sz w:val="24"/>
              </w:rPr>
              <w:t>1旋切粉尘</w:t>
            </w:r>
            <w:r>
              <w:rPr>
                <w:color w:val="auto"/>
                <w:sz w:val="24"/>
              </w:rPr>
              <w:t>、S1边角料</w:t>
            </w:r>
            <w:r>
              <w:rPr>
                <w:rFonts w:hint="eastAsia"/>
                <w:color w:val="auto"/>
                <w:sz w:val="24"/>
              </w:rPr>
              <w:t>、噪声N。</w:t>
            </w:r>
          </w:p>
          <w:p w14:paraId="4F174470">
            <w:pPr>
              <w:spacing w:line="360" w:lineRule="auto"/>
              <w:ind w:firstLine="480" w:firstLineChars="200"/>
              <w:rPr>
                <w:color w:val="auto"/>
                <w:sz w:val="24"/>
              </w:rPr>
            </w:pPr>
            <w:r>
              <w:rPr>
                <w:color w:val="auto"/>
                <w:sz w:val="24"/>
              </w:rPr>
              <w:t>（</w:t>
            </w:r>
            <w:r>
              <w:rPr>
                <w:rFonts w:hint="eastAsia"/>
                <w:color w:val="auto"/>
                <w:sz w:val="24"/>
              </w:rPr>
              <w:t>2</w:t>
            </w:r>
            <w:r>
              <w:rPr>
                <w:color w:val="auto"/>
                <w:sz w:val="24"/>
              </w:rPr>
              <w:t>）</w:t>
            </w:r>
            <w:r>
              <w:rPr>
                <w:rFonts w:hint="eastAsia"/>
                <w:color w:val="auto"/>
                <w:sz w:val="24"/>
              </w:rPr>
              <w:t>干燥</w:t>
            </w:r>
          </w:p>
          <w:p w14:paraId="27A5853D">
            <w:pPr>
              <w:spacing w:line="360" w:lineRule="auto"/>
              <w:ind w:firstLine="480" w:firstLineChars="200"/>
              <w:rPr>
                <w:color w:val="auto"/>
                <w:sz w:val="24"/>
              </w:rPr>
            </w:pPr>
            <w:r>
              <w:rPr>
                <w:color w:val="auto"/>
                <w:sz w:val="24"/>
              </w:rPr>
              <w:t>将</w:t>
            </w:r>
            <w:r>
              <w:rPr>
                <w:rFonts w:hint="eastAsia"/>
                <w:color w:val="auto"/>
                <w:sz w:val="24"/>
              </w:rPr>
              <w:t>旋切好的</w:t>
            </w:r>
            <w:r>
              <w:rPr>
                <w:color w:val="auto"/>
                <w:sz w:val="24"/>
              </w:rPr>
              <w:t>木料</w:t>
            </w:r>
            <w:r>
              <w:rPr>
                <w:rFonts w:hint="eastAsia"/>
                <w:color w:val="auto"/>
                <w:sz w:val="24"/>
              </w:rPr>
              <w:t>在工序旁边空置场地进行自然晾干</w:t>
            </w:r>
            <w:r>
              <w:rPr>
                <w:color w:val="auto"/>
                <w:sz w:val="24"/>
              </w:rPr>
              <w:t>，去除木料中的水蒸气</w:t>
            </w:r>
            <w:r>
              <w:rPr>
                <w:rFonts w:hint="eastAsia"/>
                <w:color w:val="auto"/>
                <w:sz w:val="24"/>
              </w:rPr>
              <w:t>。</w:t>
            </w:r>
          </w:p>
          <w:p w14:paraId="6AB729FF">
            <w:pPr>
              <w:spacing w:line="360" w:lineRule="auto"/>
              <w:ind w:firstLine="480" w:firstLineChars="200"/>
              <w:rPr>
                <w:color w:val="auto"/>
                <w:sz w:val="24"/>
              </w:rPr>
            </w:pPr>
            <w:r>
              <w:rPr>
                <w:rFonts w:hint="eastAsia"/>
                <w:color w:val="auto"/>
                <w:sz w:val="24"/>
              </w:rPr>
              <w:t>（3）整理拼缝</w:t>
            </w:r>
          </w:p>
          <w:p w14:paraId="37935BEE">
            <w:pPr>
              <w:spacing w:line="360" w:lineRule="auto"/>
              <w:ind w:firstLine="480" w:firstLineChars="200"/>
              <w:rPr>
                <w:rFonts w:hint="eastAsia"/>
                <w:color w:val="auto"/>
                <w:sz w:val="24"/>
              </w:rPr>
            </w:pPr>
            <w:r>
              <w:rPr>
                <w:rFonts w:hint="eastAsia"/>
                <w:color w:val="auto"/>
                <w:sz w:val="24"/>
              </w:rPr>
              <w:t>对旋切和晾晒后的产品进行分类整理分级，用拼缝机对木板与木板之间进行拼接</w:t>
            </w:r>
            <w:r>
              <w:rPr>
                <w:rFonts w:hint="eastAsia"/>
                <w:color w:val="auto"/>
              </w:rPr>
              <w:t>，</w:t>
            </w:r>
            <w:r>
              <w:rPr>
                <w:rFonts w:hint="eastAsia"/>
                <w:color w:val="auto"/>
                <w:sz w:val="24"/>
              </w:rPr>
              <w:t>拼缝机内置投胶口，使用前在拼缝机内装填</w:t>
            </w:r>
            <w:r>
              <w:rPr>
                <w:rFonts w:hint="eastAsia"/>
                <w:color w:val="auto"/>
                <w:sz w:val="24"/>
                <w:lang w:val="en-US" w:eastAsia="zh-CN"/>
              </w:rPr>
              <w:t>25k</w:t>
            </w:r>
            <w:r>
              <w:rPr>
                <w:rFonts w:hint="eastAsia"/>
                <w:color w:val="auto"/>
                <w:sz w:val="24"/>
              </w:rPr>
              <w:t>g的脲醛胶，待拼缝机温度达到40℃时，对0.2mm的板皮侧面进行涂胶，然后进行拼接。</w:t>
            </w:r>
          </w:p>
          <w:p w14:paraId="3895C147">
            <w:pPr>
              <w:spacing w:line="360" w:lineRule="auto"/>
              <w:ind w:firstLine="480" w:firstLineChars="200"/>
              <w:rPr>
                <w:rFonts w:hint="default" w:eastAsia="宋体"/>
                <w:color w:val="auto"/>
                <w:sz w:val="24"/>
                <w:lang w:val="en-US" w:eastAsia="zh-CN"/>
              </w:rPr>
            </w:pPr>
            <w:r>
              <w:rPr>
                <w:rFonts w:hint="eastAsia"/>
                <w:color w:val="auto"/>
                <w:sz w:val="24"/>
                <w:lang w:eastAsia="zh-CN"/>
              </w:rPr>
              <w:t>主要污染物：</w:t>
            </w:r>
            <w:r>
              <w:rPr>
                <w:rFonts w:hint="eastAsia"/>
                <w:color w:val="auto"/>
                <w:sz w:val="24"/>
                <w:lang w:val="en-US" w:eastAsia="zh-CN"/>
              </w:rPr>
              <w:t>G2拼缝废气</w:t>
            </w:r>
          </w:p>
          <w:p w14:paraId="0A7A2EC8">
            <w:pPr>
              <w:numPr>
                <w:ilvl w:val="0"/>
                <w:numId w:val="5"/>
              </w:numPr>
              <w:spacing w:line="360" w:lineRule="auto"/>
              <w:ind w:firstLine="480" w:firstLineChars="200"/>
              <w:rPr>
                <w:color w:val="auto"/>
                <w:sz w:val="24"/>
              </w:rPr>
            </w:pPr>
            <w:r>
              <w:rPr>
                <w:rFonts w:hint="eastAsia"/>
                <w:color w:val="auto"/>
                <w:sz w:val="24"/>
              </w:rPr>
              <w:t>涂胶</w:t>
            </w:r>
          </w:p>
          <w:p w14:paraId="1BD75B2E">
            <w:pPr>
              <w:spacing w:line="360" w:lineRule="auto"/>
              <w:ind w:firstLine="480" w:firstLineChars="200"/>
              <w:rPr>
                <w:color w:val="auto"/>
                <w:sz w:val="24"/>
              </w:rPr>
            </w:pPr>
            <w:r>
              <w:rPr>
                <w:color w:val="auto"/>
                <w:sz w:val="24"/>
              </w:rPr>
              <w:t>该工序用的胶为</w:t>
            </w:r>
            <w:r>
              <w:rPr>
                <w:rFonts w:hint="eastAsia"/>
                <w:color w:val="auto"/>
                <w:sz w:val="24"/>
              </w:rPr>
              <w:t>脲醛</w:t>
            </w:r>
            <w:r>
              <w:rPr>
                <w:color w:val="auto"/>
                <w:sz w:val="24"/>
              </w:rPr>
              <w:t>胶和面粉混合后的胶，使用面粉是为了增加胶水的</w:t>
            </w:r>
            <w:r>
              <w:rPr>
                <w:rFonts w:hint="eastAsia"/>
                <w:color w:val="auto"/>
                <w:sz w:val="24"/>
                <w:lang w:eastAsia="zh-CN"/>
              </w:rPr>
              <w:t>黏稠度，面粉为袋装，为防止在运输过程中逸散粉尘，将袋装面粉置放于加盖桶中，通过叉车运输至生产线使用</w:t>
            </w:r>
            <w:r>
              <w:rPr>
                <w:color w:val="auto"/>
                <w:sz w:val="24"/>
              </w:rPr>
              <w:t>。</w:t>
            </w:r>
            <w:r>
              <w:rPr>
                <w:rFonts w:hint="eastAsia"/>
                <w:color w:val="auto"/>
                <w:sz w:val="24"/>
                <w:lang w:eastAsia="zh-CN"/>
              </w:rPr>
              <w:t>在加料口附近打开面粉袋，避免粉尘扩散，将面粉倒入加料设备中，项目配胶过程</w:t>
            </w:r>
            <w:r>
              <w:rPr>
                <w:rFonts w:hint="eastAsia"/>
                <w:color w:val="auto"/>
                <w:sz w:val="24"/>
              </w:rPr>
              <w:t>均为低速投料，低速加盖搅拌。搅拌均匀后，常温下</w:t>
            </w:r>
            <w:r>
              <w:rPr>
                <w:color w:val="auto"/>
                <w:sz w:val="24"/>
              </w:rPr>
              <w:t>使用涂胶机</w:t>
            </w:r>
            <w:r>
              <w:rPr>
                <w:rFonts w:hint="eastAsia"/>
                <w:color w:val="auto"/>
                <w:sz w:val="24"/>
              </w:rPr>
              <w:t>在木板</w:t>
            </w:r>
            <w:r>
              <w:rPr>
                <w:color w:val="auto"/>
                <w:sz w:val="24"/>
              </w:rPr>
              <w:t>表面滚涂上一层调配好的脲醛胶</w:t>
            </w:r>
            <w:r>
              <w:rPr>
                <w:rFonts w:hint="eastAsia"/>
                <w:color w:val="auto"/>
                <w:sz w:val="24"/>
              </w:rPr>
              <w:t>。涂胶机</w:t>
            </w:r>
            <w:r>
              <w:rPr>
                <w:rFonts w:hint="eastAsia"/>
                <w:color w:val="auto"/>
                <w:sz w:val="24"/>
                <w:lang w:eastAsia="zh-CN"/>
              </w:rPr>
              <w:t>下设置一托盘，用于</w:t>
            </w:r>
            <w:r>
              <w:rPr>
                <w:rFonts w:hint="eastAsia"/>
                <w:color w:val="auto"/>
                <w:sz w:val="24"/>
              </w:rPr>
              <w:t>清洗</w:t>
            </w:r>
            <w:r>
              <w:rPr>
                <w:rFonts w:hint="eastAsia"/>
                <w:color w:val="auto"/>
                <w:sz w:val="24"/>
                <w:lang w:eastAsia="zh-CN"/>
              </w:rPr>
              <w:t>废水收集，收集完密封储存作为危废处置。</w:t>
            </w:r>
            <w:r>
              <w:rPr>
                <w:rFonts w:hint="eastAsia"/>
                <w:color w:val="auto"/>
                <w:sz w:val="24"/>
              </w:rPr>
              <w:t>每日涂胶工作后将未完全用完的原料胶倒回胶桶中进行储存，储存过程中加盖密闭，防止原料胶暴露在空气中而变硬，影响后续使用效果。</w:t>
            </w:r>
          </w:p>
          <w:p w14:paraId="30F160B6">
            <w:pPr>
              <w:spacing w:line="360" w:lineRule="auto"/>
              <w:ind w:firstLine="480" w:firstLineChars="200"/>
              <w:rPr>
                <w:color w:val="auto"/>
                <w:sz w:val="24"/>
              </w:rPr>
            </w:pPr>
            <w:r>
              <w:rPr>
                <w:rFonts w:hint="eastAsia"/>
                <w:color w:val="auto"/>
                <w:sz w:val="24"/>
              </w:rPr>
              <w:t>主要污染物：G</w:t>
            </w:r>
            <w:r>
              <w:rPr>
                <w:rFonts w:hint="eastAsia"/>
                <w:color w:val="auto"/>
                <w:sz w:val="24"/>
                <w:lang w:val="en-US" w:eastAsia="zh-CN"/>
              </w:rPr>
              <w:t>3</w:t>
            </w:r>
            <w:r>
              <w:rPr>
                <w:rFonts w:hint="eastAsia"/>
                <w:color w:val="auto"/>
                <w:sz w:val="24"/>
              </w:rPr>
              <w:t>调胶废气、G</w:t>
            </w:r>
            <w:r>
              <w:rPr>
                <w:rFonts w:hint="eastAsia"/>
                <w:color w:val="auto"/>
                <w:sz w:val="24"/>
                <w:lang w:val="en-US" w:eastAsia="zh-CN"/>
              </w:rPr>
              <w:t>4</w:t>
            </w:r>
            <w:r>
              <w:rPr>
                <w:rFonts w:hint="eastAsia"/>
                <w:color w:val="auto"/>
                <w:sz w:val="24"/>
              </w:rPr>
              <w:t>涂胶废气</w:t>
            </w:r>
            <w:r>
              <w:rPr>
                <w:color w:val="auto"/>
                <w:sz w:val="24"/>
              </w:rPr>
              <w:t>、S</w:t>
            </w:r>
            <w:r>
              <w:rPr>
                <w:rFonts w:hint="eastAsia"/>
                <w:color w:val="auto"/>
                <w:sz w:val="24"/>
              </w:rPr>
              <w:t>2废胶桶</w:t>
            </w:r>
            <w:r>
              <w:rPr>
                <w:rFonts w:hint="eastAsia"/>
                <w:color w:val="auto"/>
                <w:sz w:val="24"/>
                <w:lang w:eastAsia="zh-CN"/>
              </w:rPr>
              <w:t>、</w:t>
            </w:r>
            <w:r>
              <w:rPr>
                <w:rFonts w:hint="eastAsia"/>
                <w:color w:val="auto"/>
                <w:sz w:val="24"/>
                <w:lang w:val="en-US" w:eastAsia="zh-CN"/>
              </w:rPr>
              <w:t>S3清洗废水</w:t>
            </w:r>
            <w:r>
              <w:rPr>
                <w:rFonts w:hint="eastAsia"/>
                <w:color w:val="auto"/>
                <w:sz w:val="24"/>
              </w:rPr>
              <w:t>。</w:t>
            </w:r>
          </w:p>
          <w:p w14:paraId="0D1A3D4C">
            <w:pPr>
              <w:spacing w:line="360" w:lineRule="auto"/>
              <w:ind w:firstLine="480" w:firstLineChars="200"/>
              <w:rPr>
                <w:color w:val="auto"/>
                <w:sz w:val="24"/>
              </w:rPr>
            </w:pPr>
            <w:r>
              <w:rPr>
                <w:color w:val="auto"/>
                <w:sz w:val="24"/>
              </w:rPr>
              <w:t>（</w:t>
            </w:r>
            <w:r>
              <w:rPr>
                <w:rFonts w:hint="eastAsia"/>
                <w:color w:val="auto"/>
                <w:sz w:val="24"/>
              </w:rPr>
              <w:t>5</w:t>
            </w:r>
            <w:r>
              <w:rPr>
                <w:color w:val="auto"/>
                <w:sz w:val="24"/>
              </w:rPr>
              <w:t>）</w:t>
            </w:r>
            <w:r>
              <w:rPr>
                <w:rFonts w:hint="eastAsia"/>
                <w:color w:val="auto"/>
                <w:sz w:val="24"/>
              </w:rPr>
              <w:t>热压</w:t>
            </w:r>
          </w:p>
          <w:p w14:paraId="755CF136">
            <w:pPr>
              <w:spacing w:line="360" w:lineRule="auto"/>
              <w:ind w:firstLine="480" w:firstLineChars="200"/>
              <w:rPr>
                <w:rFonts w:hint="eastAsia"/>
                <w:color w:val="auto"/>
                <w:sz w:val="24"/>
                <w:lang w:eastAsia="zh-CN"/>
              </w:rPr>
            </w:pPr>
            <w:r>
              <w:rPr>
                <w:rFonts w:hint="eastAsia"/>
                <w:color w:val="auto"/>
                <w:sz w:val="24"/>
              </w:rPr>
              <w:t>通过热压机将木板坯进行热压处理，使脲醛胶彻底固化，各层杨木单板紧密</w:t>
            </w:r>
            <w:r>
              <w:rPr>
                <w:rFonts w:hint="eastAsia"/>
                <w:color w:val="auto"/>
                <w:sz w:val="24"/>
                <w:lang w:eastAsia="zh-CN"/>
              </w:rPr>
              <w:t>黏合</w:t>
            </w:r>
            <w:r>
              <w:rPr>
                <w:rFonts w:hint="eastAsia"/>
                <w:color w:val="auto"/>
                <w:sz w:val="24"/>
              </w:rPr>
              <w:t>成一体，控制热压温度在105~120℃，压力8~12MPa。热压热源来自</w:t>
            </w:r>
            <w:r>
              <w:rPr>
                <w:rFonts w:hint="eastAsia"/>
                <w:color w:val="auto"/>
                <w:sz w:val="24"/>
                <w:lang w:eastAsia="zh-CN"/>
              </w:rPr>
              <w:t>供应的蒸汽，</w:t>
            </w:r>
            <w:r>
              <w:rPr>
                <w:color w:val="auto"/>
                <w:sz w:val="24"/>
              </w:rPr>
              <w:t>热压工序的热能由饱和蒸汽通过封闭式管道系统输送至热压机内部腔体</w:t>
            </w:r>
            <w:r>
              <w:rPr>
                <w:rFonts w:hint="eastAsia"/>
                <w:color w:val="auto"/>
                <w:sz w:val="24"/>
                <w:lang w:eastAsia="zh-CN"/>
              </w:rPr>
              <w:t>，</w:t>
            </w:r>
            <w:r>
              <w:rPr>
                <w:color w:val="auto"/>
                <w:sz w:val="24"/>
              </w:rPr>
              <w:t>通过冷凝相变释放潜热，将热能传导至待加工材料表面，</w:t>
            </w:r>
            <w:r>
              <w:rPr>
                <w:rFonts w:hint="eastAsia"/>
                <w:color w:val="auto"/>
                <w:sz w:val="24"/>
                <w:lang w:eastAsia="zh-CN"/>
              </w:rPr>
              <w:t>此过程热压蒸汽与木板不直接接触，</w:t>
            </w:r>
            <w:r>
              <w:rPr>
                <w:color w:val="auto"/>
                <w:sz w:val="24"/>
              </w:rPr>
              <w:t>冷凝水经疏水阀排出</w:t>
            </w:r>
            <w:r>
              <w:rPr>
                <w:rFonts w:hint="eastAsia"/>
                <w:color w:val="auto"/>
                <w:sz w:val="24"/>
                <w:lang w:eastAsia="zh-CN"/>
              </w:rPr>
              <w:t>，用于厂区绿化</w:t>
            </w:r>
            <w:r>
              <w:rPr>
                <w:rFonts w:hint="eastAsia"/>
                <w:color w:val="auto"/>
                <w:sz w:val="24"/>
              </w:rPr>
              <w:t>。</w:t>
            </w:r>
          </w:p>
          <w:p w14:paraId="7193B6D7">
            <w:pPr>
              <w:spacing w:line="360" w:lineRule="auto"/>
              <w:ind w:firstLine="480" w:firstLineChars="200"/>
              <w:rPr>
                <w:color w:val="auto"/>
                <w:sz w:val="24"/>
              </w:rPr>
            </w:pPr>
            <w:r>
              <w:rPr>
                <w:color w:val="auto"/>
                <w:sz w:val="24"/>
              </w:rPr>
              <w:t>主要污染物为</w:t>
            </w:r>
            <w:r>
              <w:rPr>
                <w:rFonts w:hint="eastAsia"/>
                <w:color w:val="auto"/>
                <w:sz w:val="24"/>
                <w:lang w:eastAsia="zh-CN"/>
              </w:rPr>
              <w:t>：</w:t>
            </w:r>
            <w:r>
              <w:rPr>
                <w:rFonts w:hint="eastAsia"/>
                <w:color w:val="auto"/>
                <w:sz w:val="24"/>
              </w:rPr>
              <w:t>G</w:t>
            </w:r>
            <w:r>
              <w:rPr>
                <w:rFonts w:hint="eastAsia"/>
                <w:color w:val="auto"/>
                <w:sz w:val="24"/>
                <w:lang w:val="en-US" w:eastAsia="zh-CN"/>
              </w:rPr>
              <w:t>5</w:t>
            </w:r>
            <w:r>
              <w:rPr>
                <w:rFonts w:hint="eastAsia"/>
                <w:color w:val="auto"/>
                <w:sz w:val="24"/>
              </w:rPr>
              <w:t>热压废气、</w:t>
            </w:r>
            <w:r>
              <w:rPr>
                <w:color w:val="auto"/>
                <w:sz w:val="24"/>
              </w:rPr>
              <w:t>S</w:t>
            </w:r>
            <w:r>
              <w:rPr>
                <w:rFonts w:hint="eastAsia"/>
                <w:color w:val="auto"/>
                <w:sz w:val="24"/>
                <w:lang w:val="en-US" w:eastAsia="zh-CN"/>
              </w:rPr>
              <w:t>4</w:t>
            </w:r>
            <w:r>
              <w:rPr>
                <w:rFonts w:hint="eastAsia"/>
                <w:color w:val="auto"/>
                <w:sz w:val="24"/>
              </w:rPr>
              <w:t>废液压油桶、S</w:t>
            </w:r>
            <w:r>
              <w:rPr>
                <w:rFonts w:hint="eastAsia"/>
                <w:color w:val="auto"/>
                <w:sz w:val="24"/>
                <w:lang w:val="en-US" w:eastAsia="zh-CN"/>
              </w:rPr>
              <w:t>5</w:t>
            </w:r>
            <w:r>
              <w:rPr>
                <w:rFonts w:hint="eastAsia"/>
                <w:color w:val="auto"/>
                <w:sz w:val="24"/>
              </w:rPr>
              <w:t>废抹布</w:t>
            </w:r>
            <w:r>
              <w:rPr>
                <w:rFonts w:hint="eastAsia"/>
                <w:color w:val="auto"/>
                <w:sz w:val="24"/>
                <w:lang w:eastAsia="zh-CN"/>
              </w:rPr>
              <w:t>、</w:t>
            </w:r>
            <w:r>
              <w:rPr>
                <w:rFonts w:hint="eastAsia"/>
                <w:color w:val="auto"/>
                <w:sz w:val="24"/>
                <w:lang w:val="en-US" w:eastAsia="zh-CN"/>
              </w:rPr>
              <w:t>S6水喷淋废液</w:t>
            </w:r>
            <w:r>
              <w:rPr>
                <w:rFonts w:hint="eastAsia"/>
                <w:color w:val="auto"/>
                <w:sz w:val="24"/>
              </w:rPr>
              <w:t>。</w:t>
            </w:r>
          </w:p>
          <w:p w14:paraId="4B12936C">
            <w:pPr>
              <w:spacing w:line="360" w:lineRule="auto"/>
              <w:ind w:firstLine="480" w:firstLineChars="200"/>
              <w:rPr>
                <w:color w:val="auto"/>
                <w:sz w:val="24"/>
              </w:rPr>
            </w:pPr>
            <w:r>
              <w:rPr>
                <w:color w:val="auto"/>
                <w:sz w:val="24"/>
              </w:rPr>
              <w:t>（</w:t>
            </w:r>
            <w:r>
              <w:rPr>
                <w:rFonts w:hint="eastAsia"/>
                <w:color w:val="auto"/>
                <w:sz w:val="24"/>
              </w:rPr>
              <w:t>6</w:t>
            </w:r>
            <w:r>
              <w:rPr>
                <w:color w:val="auto"/>
                <w:sz w:val="24"/>
              </w:rPr>
              <w:t>）锯切</w:t>
            </w:r>
          </w:p>
          <w:p w14:paraId="67312B18">
            <w:pPr>
              <w:spacing w:line="360" w:lineRule="auto"/>
              <w:ind w:firstLine="480" w:firstLineChars="200"/>
              <w:rPr>
                <w:color w:val="auto"/>
                <w:sz w:val="24"/>
              </w:rPr>
            </w:pPr>
            <w:r>
              <w:rPr>
                <w:color w:val="auto"/>
                <w:sz w:val="24"/>
              </w:rPr>
              <w:t>将</w:t>
            </w:r>
            <w:r>
              <w:rPr>
                <w:rFonts w:hint="eastAsia"/>
                <w:color w:val="auto"/>
                <w:sz w:val="24"/>
              </w:rPr>
              <w:t>热压</w:t>
            </w:r>
            <w:r>
              <w:rPr>
                <w:color w:val="auto"/>
                <w:sz w:val="24"/>
              </w:rPr>
              <w:t>好的板根据要求进行适当锯切。</w:t>
            </w:r>
          </w:p>
          <w:p w14:paraId="09AFC458">
            <w:pPr>
              <w:spacing w:line="360" w:lineRule="auto"/>
              <w:ind w:firstLine="480" w:firstLineChars="200"/>
              <w:rPr>
                <w:color w:val="auto"/>
                <w:sz w:val="24"/>
              </w:rPr>
            </w:pPr>
            <w:r>
              <w:rPr>
                <w:rFonts w:hint="eastAsia"/>
                <w:color w:val="auto"/>
                <w:sz w:val="24"/>
              </w:rPr>
              <w:t>主要污染物：G</w:t>
            </w:r>
            <w:r>
              <w:rPr>
                <w:rFonts w:hint="eastAsia"/>
                <w:color w:val="auto"/>
                <w:sz w:val="24"/>
                <w:lang w:val="en-US" w:eastAsia="zh-CN"/>
              </w:rPr>
              <w:t>6</w:t>
            </w:r>
            <w:r>
              <w:rPr>
                <w:rFonts w:hint="eastAsia"/>
                <w:color w:val="auto"/>
                <w:sz w:val="24"/>
              </w:rPr>
              <w:t>锯切粉尘</w:t>
            </w:r>
            <w:r>
              <w:rPr>
                <w:color w:val="auto"/>
                <w:sz w:val="24"/>
              </w:rPr>
              <w:t>、S</w:t>
            </w:r>
            <w:r>
              <w:rPr>
                <w:rFonts w:hint="eastAsia"/>
                <w:color w:val="auto"/>
                <w:sz w:val="24"/>
                <w:lang w:val="en-US" w:eastAsia="zh-CN"/>
              </w:rPr>
              <w:t>1</w:t>
            </w:r>
            <w:r>
              <w:rPr>
                <w:color w:val="auto"/>
                <w:sz w:val="24"/>
              </w:rPr>
              <w:t>边角料</w:t>
            </w:r>
            <w:r>
              <w:rPr>
                <w:rFonts w:hint="eastAsia"/>
                <w:color w:val="auto"/>
                <w:sz w:val="24"/>
              </w:rPr>
              <w:t>和噪声N</w:t>
            </w:r>
            <w:r>
              <w:rPr>
                <w:color w:val="auto"/>
                <w:sz w:val="24"/>
              </w:rPr>
              <w:t>。</w:t>
            </w:r>
          </w:p>
          <w:p w14:paraId="4C4C92F5">
            <w:pPr>
              <w:spacing w:line="360" w:lineRule="auto"/>
              <w:ind w:firstLine="480" w:firstLineChars="200"/>
              <w:rPr>
                <w:color w:val="auto"/>
                <w:sz w:val="24"/>
              </w:rPr>
            </w:pPr>
            <w:r>
              <w:rPr>
                <w:color w:val="auto"/>
                <w:sz w:val="24"/>
              </w:rPr>
              <w:t>（</w:t>
            </w:r>
            <w:r>
              <w:rPr>
                <w:rFonts w:hint="eastAsia"/>
                <w:color w:val="auto"/>
                <w:sz w:val="24"/>
              </w:rPr>
              <w:t>7</w:t>
            </w:r>
            <w:r>
              <w:rPr>
                <w:color w:val="auto"/>
                <w:sz w:val="24"/>
              </w:rPr>
              <w:t>）</w:t>
            </w:r>
            <w:r>
              <w:rPr>
                <w:rFonts w:hint="eastAsia"/>
                <w:color w:val="auto"/>
                <w:sz w:val="24"/>
              </w:rPr>
              <w:t>砂光</w:t>
            </w:r>
          </w:p>
          <w:p w14:paraId="658B0D16">
            <w:pPr>
              <w:spacing w:line="360" w:lineRule="auto"/>
              <w:ind w:firstLine="480" w:firstLineChars="200"/>
              <w:rPr>
                <w:bCs/>
                <w:color w:val="auto"/>
                <w:sz w:val="24"/>
              </w:rPr>
            </w:pPr>
            <w:r>
              <w:rPr>
                <w:rFonts w:hint="eastAsia"/>
                <w:bCs/>
                <w:color w:val="auto"/>
                <w:sz w:val="24"/>
              </w:rPr>
              <w:t>将剪裁好的规格板材根据厚度和细度进行板面的光亮处理，主要剔除板面上的</w:t>
            </w:r>
            <w:r>
              <w:rPr>
                <w:rFonts w:hint="eastAsia"/>
                <w:bCs/>
                <w:color w:val="auto"/>
                <w:sz w:val="24"/>
                <w:lang w:eastAsia="zh-CN"/>
              </w:rPr>
              <w:t>砂砾</w:t>
            </w:r>
            <w:r>
              <w:rPr>
                <w:rFonts w:hint="eastAsia"/>
                <w:bCs/>
                <w:color w:val="auto"/>
                <w:sz w:val="24"/>
              </w:rPr>
              <w:t>杂质等，该过程会产生少量粉尘及噪声；</w:t>
            </w:r>
          </w:p>
          <w:p w14:paraId="64C792C8">
            <w:pPr>
              <w:spacing w:line="360" w:lineRule="auto"/>
              <w:ind w:firstLine="480" w:firstLineChars="200"/>
              <w:rPr>
                <w:color w:val="auto"/>
                <w:sz w:val="24"/>
              </w:rPr>
            </w:pPr>
            <w:r>
              <w:rPr>
                <w:rFonts w:hint="eastAsia"/>
                <w:color w:val="auto"/>
                <w:sz w:val="24"/>
              </w:rPr>
              <w:t>主要污染物：</w:t>
            </w:r>
            <w:r>
              <w:rPr>
                <w:color w:val="auto"/>
                <w:sz w:val="24"/>
              </w:rPr>
              <w:t>G</w:t>
            </w:r>
            <w:r>
              <w:rPr>
                <w:rFonts w:hint="eastAsia"/>
                <w:color w:val="auto"/>
                <w:sz w:val="24"/>
                <w:lang w:val="en-US" w:eastAsia="zh-CN"/>
              </w:rPr>
              <w:t>7砂浆</w:t>
            </w:r>
            <w:r>
              <w:rPr>
                <w:rFonts w:hint="eastAsia"/>
                <w:color w:val="auto"/>
                <w:sz w:val="24"/>
              </w:rPr>
              <w:t>粉尘</w:t>
            </w:r>
            <w:r>
              <w:rPr>
                <w:color w:val="auto"/>
                <w:sz w:val="24"/>
              </w:rPr>
              <w:t>、</w:t>
            </w:r>
            <w:r>
              <w:rPr>
                <w:rFonts w:hint="eastAsia"/>
                <w:color w:val="auto"/>
                <w:sz w:val="24"/>
              </w:rPr>
              <w:t>S</w:t>
            </w:r>
            <w:r>
              <w:rPr>
                <w:rFonts w:hint="eastAsia"/>
                <w:color w:val="auto"/>
                <w:sz w:val="24"/>
                <w:lang w:val="en-US" w:eastAsia="zh-CN"/>
              </w:rPr>
              <w:t>7</w:t>
            </w:r>
            <w:r>
              <w:rPr>
                <w:rFonts w:hint="eastAsia"/>
                <w:color w:val="auto"/>
                <w:sz w:val="24"/>
              </w:rPr>
              <w:t>废砂轮片、设备噪声N</w:t>
            </w:r>
            <w:r>
              <w:rPr>
                <w:color w:val="auto"/>
                <w:sz w:val="24"/>
              </w:rPr>
              <w:t>。</w:t>
            </w:r>
          </w:p>
          <w:p w14:paraId="298B8C33">
            <w:pPr>
              <w:spacing w:line="360" w:lineRule="auto"/>
              <w:ind w:firstLine="480" w:firstLineChars="200"/>
              <w:rPr>
                <w:color w:val="auto"/>
                <w:sz w:val="24"/>
              </w:rPr>
            </w:pPr>
            <w:r>
              <w:rPr>
                <w:color w:val="auto"/>
                <w:sz w:val="24"/>
              </w:rPr>
              <w:t>（</w:t>
            </w:r>
            <w:r>
              <w:rPr>
                <w:rFonts w:hint="eastAsia"/>
                <w:color w:val="auto"/>
                <w:sz w:val="24"/>
              </w:rPr>
              <w:t>8</w:t>
            </w:r>
            <w:r>
              <w:rPr>
                <w:color w:val="auto"/>
                <w:sz w:val="24"/>
              </w:rPr>
              <w:t>）</w:t>
            </w:r>
            <w:r>
              <w:rPr>
                <w:rFonts w:hint="eastAsia"/>
                <w:color w:val="auto"/>
                <w:sz w:val="24"/>
              </w:rPr>
              <w:t>整理</w:t>
            </w:r>
          </w:p>
          <w:p w14:paraId="63582984">
            <w:pPr>
              <w:adjustRightInd w:val="0"/>
              <w:snapToGrid w:val="0"/>
              <w:spacing w:line="360" w:lineRule="auto"/>
              <w:ind w:firstLine="480" w:firstLineChars="200"/>
              <w:rPr>
                <w:color w:val="auto"/>
                <w:kern w:val="24"/>
                <w:sz w:val="24"/>
              </w:rPr>
            </w:pPr>
            <w:r>
              <w:rPr>
                <w:color w:val="auto"/>
                <w:kern w:val="24"/>
                <w:sz w:val="24"/>
              </w:rPr>
              <w:t>裁边后的胶合板采用游标卡尺、直角尺等测量工具，结合人工目测的方式进行检验，筛选出裂纹、起鼓、翘边、厚度不达标等不合格胶合板</w:t>
            </w:r>
            <w:r>
              <w:rPr>
                <w:rFonts w:hint="eastAsia"/>
                <w:color w:val="auto"/>
                <w:kern w:val="24"/>
                <w:sz w:val="24"/>
              </w:rPr>
              <w:t>，不合格的胶合板进行处置。</w:t>
            </w:r>
          </w:p>
          <w:p w14:paraId="6B8C9F30">
            <w:pPr>
              <w:spacing w:line="360" w:lineRule="auto"/>
              <w:ind w:firstLine="480" w:firstLineChars="200"/>
              <w:rPr>
                <w:color w:val="auto"/>
                <w:sz w:val="24"/>
              </w:rPr>
            </w:pPr>
            <w:r>
              <w:rPr>
                <w:rFonts w:hint="eastAsia"/>
                <w:color w:val="auto"/>
                <w:sz w:val="24"/>
              </w:rPr>
              <w:t>主要污染物：</w:t>
            </w:r>
            <w:r>
              <w:rPr>
                <w:rFonts w:hint="eastAsia"/>
                <w:color w:val="auto"/>
                <w:kern w:val="24"/>
                <w:sz w:val="24"/>
              </w:rPr>
              <w:t>不合格</w:t>
            </w:r>
            <w:r>
              <w:rPr>
                <w:rFonts w:hint="eastAsia"/>
                <w:color w:val="auto"/>
                <w:kern w:val="24"/>
                <w:sz w:val="24"/>
                <w:lang w:eastAsia="zh-CN"/>
              </w:rPr>
              <w:t>品</w:t>
            </w:r>
            <w:r>
              <w:rPr>
                <w:rFonts w:hint="eastAsia"/>
                <w:color w:val="auto"/>
                <w:kern w:val="24"/>
                <w:sz w:val="24"/>
              </w:rPr>
              <w:t>S</w:t>
            </w:r>
            <w:r>
              <w:rPr>
                <w:rFonts w:hint="eastAsia"/>
                <w:color w:val="auto"/>
                <w:kern w:val="24"/>
                <w:sz w:val="24"/>
                <w:lang w:val="en-US" w:eastAsia="zh-CN"/>
              </w:rPr>
              <w:t>8</w:t>
            </w:r>
            <w:r>
              <w:rPr>
                <w:rFonts w:hint="eastAsia"/>
                <w:color w:val="auto"/>
                <w:kern w:val="24"/>
                <w:sz w:val="24"/>
              </w:rPr>
              <w:t>。</w:t>
            </w:r>
          </w:p>
          <w:p w14:paraId="6EDC2718">
            <w:pPr>
              <w:spacing w:line="360" w:lineRule="auto"/>
              <w:ind w:firstLine="480" w:firstLineChars="200"/>
              <w:rPr>
                <w:color w:val="auto"/>
                <w:sz w:val="24"/>
              </w:rPr>
            </w:pPr>
            <w:r>
              <w:rPr>
                <w:color w:val="auto"/>
                <w:sz w:val="24"/>
              </w:rPr>
              <w:t>（</w:t>
            </w:r>
            <w:r>
              <w:rPr>
                <w:rFonts w:hint="eastAsia"/>
                <w:color w:val="auto"/>
                <w:sz w:val="24"/>
              </w:rPr>
              <w:t>9</w:t>
            </w:r>
            <w:r>
              <w:rPr>
                <w:color w:val="auto"/>
                <w:sz w:val="24"/>
              </w:rPr>
              <w:t>）</w:t>
            </w:r>
            <w:r>
              <w:rPr>
                <w:rFonts w:hint="eastAsia"/>
                <w:color w:val="auto"/>
                <w:sz w:val="24"/>
              </w:rPr>
              <w:t>成品</w:t>
            </w:r>
          </w:p>
          <w:p w14:paraId="421DFC6F">
            <w:pPr>
              <w:adjustRightInd w:val="0"/>
              <w:snapToGrid w:val="0"/>
              <w:spacing w:line="360" w:lineRule="auto"/>
              <w:ind w:firstLine="480" w:firstLineChars="200"/>
              <w:rPr>
                <w:color w:val="auto"/>
                <w:kern w:val="24"/>
                <w:sz w:val="24"/>
              </w:rPr>
            </w:pPr>
            <w:r>
              <w:rPr>
                <w:rFonts w:hint="eastAsia"/>
                <w:color w:val="auto"/>
                <w:kern w:val="24"/>
                <w:sz w:val="24"/>
              </w:rPr>
              <w:t>对整理后的合格产品，进行最终成品秩序摆放，入库待售。</w:t>
            </w:r>
          </w:p>
          <w:p w14:paraId="03469EDE">
            <w:pPr>
              <w:spacing w:line="360" w:lineRule="auto"/>
              <w:ind w:firstLine="480" w:firstLineChars="200"/>
              <w:rPr>
                <w:color w:val="auto"/>
              </w:rPr>
            </w:pPr>
            <w:r>
              <w:rPr>
                <w:color w:val="auto"/>
                <w:sz w:val="24"/>
              </w:rPr>
              <w:t>本项目产污环节见下表。</w:t>
            </w:r>
          </w:p>
          <w:p w14:paraId="2194AD9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center" w:pos="7220"/>
                <w:tab w:val="left" w:pos="7560"/>
                <w:tab w:val="left" w:pos="8025"/>
              </w:tabs>
              <w:adjustRightInd w:val="0"/>
              <w:snapToGrid w:val="0"/>
              <w:jc w:val="center"/>
              <w:rPr>
                <w:b/>
                <w:color w:val="auto"/>
                <w:sz w:val="24"/>
                <w:szCs w:val="28"/>
              </w:rPr>
            </w:pPr>
            <w:r>
              <w:rPr>
                <w:b/>
                <w:color w:val="auto"/>
                <w:sz w:val="24"/>
                <w:szCs w:val="28"/>
              </w:rPr>
              <w:t>表2-6  本项目产污环节汇总表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01"/>
              <w:gridCol w:w="514"/>
              <w:gridCol w:w="996"/>
              <w:gridCol w:w="1492"/>
              <w:gridCol w:w="1301"/>
              <w:gridCol w:w="1267"/>
              <w:gridCol w:w="1081"/>
            </w:tblGrid>
            <w:tr w14:paraId="01BEA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tcPr>
                <w:p w14:paraId="2079A022">
                  <w:pPr>
                    <w:jc w:val="center"/>
                    <w:rPr>
                      <w:b/>
                      <w:color w:val="auto"/>
                      <w:szCs w:val="21"/>
                    </w:rPr>
                  </w:pPr>
                  <w:r>
                    <w:rPr>
                      <w:b/>
                      <w:color w:val="auto"/>
                      <w:szCs w:val="21"/>
                    </w:rPr>
                    <w:t>项目</w:t>
                  </w:r>
                </w:p>
              </w:tc>
              <w:tc>
                <w:tcPr>
                  <w:tcW w:w="1102" w:type="dxa"/>
                  <w:vAlign w:val="center"/>
                </w:tcPr>
                <w:p w14:paraId="1D93EFB3">
                  <w:pPr>
                    <w:jc w:val="center"/>
                    <w:rPr>
                      <w:b/>
                      <w:color w:val="auto"/>
                      <w:szCs w:val="21"/>
                    </w:rPr>
                  </w:pPr>
                  <w:r>
                    <w:rPr>
                      <w:b/>
                      <w:color w:val="auto"/>
                      <w:szCs w:val="21"/>
                    </w:rPr>
                    <w:t>产污环节</w:t>
                  </w:r>
                </w:p>
              </w:tc>
              <w:tc>
                <w:tcPr>
                  <w:tcW w:w="514" w:type="dxa"/>
                </w:tcPr>
                <w:p w14:paraId="35546318">
                  <w:pPr>
                    <w:jc w:val="center"/>
                    <w:rPr>
                      <w:b/>
                      <w:color w:val="auto"/>
                      <w:szCs w:val="21"/>
                    </w:rPr>
                  </w:pPr>
                  <w:r>
                    <w:rPr>
                      <w:b/>
                      <w:color w:val="auto"/>
                      <w:szCs w:val="21"/>
                    </w:rPr>
                    <w:t>编号</w:t>
                  </w:r>
                </w:p>
              </w:tc>
              <w:tc>
                <w:tcPr>
                  <w:tcW w:w="997" w:type="dxa"/>
                  <w:vAlign w:val="center"/>
                </w:tcPr>
                <w:p w14:paraId="360EB714">
                  <w:pPr>
                    <w:jc w:val="center"/>
                    <w:rPr>
                      <w:b/>
                      <w:color w:val="auto"/>
                      <w:szCs w:val="21"/>
                    </w:rPr>
                  </w:pPr>
                  <w:r>
                    <w:rPr>
                      <w:rFonts w:hint="eastAsia"/>
                      <w:b/>
                      <w:color w:val="auto"/>
                      <w:szCs w:val="21"/>
                    </w:rPr>
                    <w:t>名称</w:t>
                  </w:r>
                </w:p>
              </w:tc>
              <w:tc>
                <w:tcPr>
                  <w:tcW w:w="1493" w:type="dxa"/>
                  <w:vAlign w:val="center"/>
                </w:tcPr>
                <w:p w14:paraId="7E870446">
                  <w:pPr>
                    <w:jc w:val="center"/>
                    <w:rPr>
                      <w:b/>
                      <w:color w:val="auto"/>
                      <w:szCs w:val="21"/>
                    </w:rPr>
                  </w:pPr>
                  <w:r>
                    <w:rPr>
                      <w:b/>
                      <w:color w:val="auto"/>
                      <w:szCs w:val="21"/>
                    </w:rPr>
                    <w:t>主要污染物</w:t>
                  </w:r>
                </w:p>
              </w:tc>
              <w:tc>
                <w:tcPr>
                  <w:tcW w:w="2571" w:type="dxa"/>
                  <w:gridSpan w:val="2"/>
                  <w:vAlign w:val="center"/>
                </w:tcPr>
                <w:p w14:paraId="7AA6F40F">
                  <w:pPr>
                    <w:jc w:val="center"/>
                    <w:rPr>
                      <w:b/>
                      <w:color w:val="auto"/>
                      <w:szCs w:val="21"/>
                    </w:rPr>
                  </w:pPr>
                  <w:r>
                    <w:rPr>
                      <w:b/>
                      <w:color w:val="auto"/>
                      <w:szCs w:val="21"/>
                    </w:rPr>
                    <w:t>治理措施</w:t>
                  </w:r>
                </w:p>
              </w:tc>
              <w:tc>
                <w:tcPr>
                  <w:tcW w:w="1082" w:type="dxa"/>
                  <w:vAlign w:val="center"/>
                </w:tcPr>
                <w:p w14:paraId="18D81CC3">
                  <w:pPr>
                    <w:jc w:val="center"/>
                    <w:rPr>
                      <w:b/>
                      <w:color w:val="auto"/>
                      <w:szCs w:val="21"/>
                    </w:rPr>
                  </w:pPr>
                  <w:r>
                    <w:rPr>
                      <w:b/>
                      <w:color w:val="auto"/>
                      <w:szCs w:val="21"/>
                    </w:rPr>
                    <w:t>排放去向</w:t>
                  </w:r>
                </w:p>
              </w:tc>
            </w:tr>
            <w:tr w14:paraId="5C3FF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restart"/>
                  <w:vAlign w:val="center"/>
                </w:tcPr>
                <w:p w14:paraId="14677AE6">
                  <w:pPr>
                    <w:jc w:val="center"/>
                    <w:rPr>
                      <w:color w:val="auto"/>
                      <w:szCs w:val="21"/>
                    </w:rPr>
                  </w:pPr>
                  <w:r>
                    <w:rPr>
                      <w:color w:val="auto"/>
                      <w:szCs w:val="21"/>
                    </w:rPr>
                    <w:t>废气</w:t>
                  </w:r>
                </w:p>
              </w:tc>
              <w:tc>
                <w:tcPr>
                  <w:tcW w:w="1102" w:type="dxa"/>
                  <w:vAlign w:val="center"/>
                </w:tcPr>
                <w:p w14:paraId="0606ED0F">
                  <w:pPr>
                    <w:jc w:val="center"/>
                    <w:rPr>
                      <w:color w:val="auto"/>
                      <w:szCs w:val="21"/>
                    </w:rPr>
                  </w:pPr>
                  <w:r>
                    <w:rPr>
                      <w:rFonts w:hint="eastAsia"/>
                      <w:color w:val="auto"/>
                      <w:szCs w:val="21"/>
                    </w:rPr>
                    <w:t>旋切</w:t>
                  </w:r>
                </w:p>
              </w:tc>
              <w:tc>
                <w:tcPr>
                  <w:tcW w:w="514" w:type="dxa"/>
                  <w:vAlign w:val="center"/>
                </w:tcPr>
                <w:p w14:paraId="5BB0A44C">
                  <w:pPr>
                    <w:jc w:val="center"/>
                    <w:rPr>
                      <w:color w:val="auto"/>
                      <w:szCs w:val="21"/>
                    </w:rPr>
                  </w:pPr>
                  <w:r>
                    <w:rPr>
                      <w:color w:val="auto"/>
                      <w:szCs w:val="21"/>
                    </w:rPr>
                    <w:t>G1</w:t>
                  </w:r>
                </w:p>
              </w:tc>
              <w:tc>
                <w:tcPr>
                  <w:tcW w:w="997" w:type="dxa"/>
                  <w:vAlign w:val="center"/>
                </w:tcPr>
                <w:p w14:paraId="0901ABAF">
                  <w:pPr>
                    <w:jc w:val="center"/>
                    <w:rPr>
                      <w:color w:val="auto"/>
                      <w:szCs w:val="21"/>
                    </w:rPr>
                  </w:pPr>
                  <w:r>
                    <w:rPr>
                      <w:rFonts w:hint="eastAsia"/>
                      <w:color w:val="auto"/>
                      <w:szCs w:val="21"/>
                    </w:rPr>
                    <w:t>旋切</w:t>
                  </w:r>
                </w:p>
                <w:p w14:paraId="60CA38FA">
                  <w:pPr>
                    <w:jc w:val="center"/>
                    <w:rPr>
                      <w:color w:val="auto"/>
                      <w:szCs w:val="21"/>
                    </w:rPr>
                  </w:pPr>
                  <w:r>
                    <w:rPr>
                      <w:rFonts w:hint="eastAsia"/>
                      <w:color w:val="auto"/>
                      <w:szCs w:val="21"/>
                    </w:rPr>
                    <w:t>粉尘</w:t>
                  </w:r>
                </w:p>
              </w:tc>
              <w:tc>
                <w:tcPr>
                  <w:tcW w:w="1493" w:type="dxa"/>
                  <w:vAlign w:val="center"/>
                </w:tcPr>
                <w:p w14:paraId="34289083">
                  <w:pPr>
                    <w:jc w:val="center"/>
                    <w:rPr>
                      <w:b/>
                      <w:color w:val="auto"/>
                      <w:szCs w:val="21"/>
                    </w:rPr>
                  </w:pPr>
                  <w:r>
                    <w:rPr>
                      <w:rFonts w:hint="eastAsia"/>
                      <w:color w:val="auto"/>
                      <w:szCs w:val="21"/>
                    </w:rPr>
                    <w:t>颗粒物</w:t>
                  </w:r>
                </w:p>
              </w:tc>
              <w:tc>
                <w:tcPr>
                  <w:tcW w:w="1303" w:type="dxa"/>
                  <w:vAlign w:val="center"/>
                </w:tcPr>
                <w:p w14:paraId="6CB88BF6">
                  <w:pPr>
                    <w:jc w:val="center"/>
                    <w:rPr>
                      <w:color w:val="auto"/>
                      <w:szCs w:val="21"/>
                    </w:rPr>
                  </w:pPr>
                  <w:r>
                    <w:rPr>
                      <w:color w:val="auto"/>
                      <w:szCs w:val="21"/>
                    </w:rPr>
                    <w:t>布袋除尘器</w:t>
                  </w:r>
                </w:p>
              </w:tc>
              <w:tc>
                <w:tcPr>
                  <w:tcW w:w="1268" w:type="dxa"/>
                  <w:vAlign w:val="center"/>
                </w:tcPr>
                <w:p w14:paraId="3CCFF649">
                  <w:pPr>
                    <w:jc w:val="center"/>
                    <w:rPr>
                      <w:color w:val="auto"/>
                      <w:szCs w:val="21"/>
                    </w:rPr>
                  </w:pPr>
                  <w:r>
                    <w:rPr>
                      <w:color w:val="auto"/>
                      <w:szCs w:val="21"/>
                    </w:rPr>
                    <w:t>15m高排气筒(DA00</w:t>
                  </w:r>
                  <w:r>
                    <w:rPr>
                      <w:rFonts w:hint="eastAsia"/>
                      <w:color w:val="auto"/>
                      <w:szCs w:val="21"/>
                      <w:lang w:val="en-US" w:eastAsia="zh-CN"/>
                    </w:rPr>
                    <w:t>2</w:t>
                  </w:r>
                  <w:r>
                    <w:rPr>
                      <w:color w:val="auto"/>
                      <w:szCs w:val="21"/>
                    </w:rPr>
                    <w:t>)</w:t>
                  </w:r>
                </w:p>
              </w:tc>
              <w:tc>
                <w:tcPr>
                  <w:tcW w:w="1082" w:type="dxa"/>
                  <w:vMerge w:val="restart"/>
                  <w:vAlign w:val="center"/>
                </w:tcPr>
                <w:p w14:paraId="5DC916DD">
                  <w:pPr>
                    <w:jc w:val="center"/>
                    <w:rPr>
                      <w:color w:val="auto"/>
                      <w:szCs w:val="21"/>
                    </w:rPr>
                  </w:pPr>
                  <w:r>
                    <w:rPr>
                      <w:color w:val="auto"/>
                      <w:szCs w:val="21"/>
                    </w:rPr>
                    <w:t>外界空气</w:t>
                  </w:r>
                </w:p>
              </w:tc>
            </w:tr>
            <w:tr w14:paraId="5AA83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4A2B355A">
                  <w:pPr>
                    <w:jc w:val="center"/>
                    <w:rPr>
                      <w:color w:val="auto"/>
                      <w:szCs w:val="21"/>
                    </w:rPr>
                  </w:pPr>
                </w:p>
              </w:tc>
              <w:tc>
                <w:tcPr>
                  <w:tcW w:w="1102" w:type="dxa"/>
                  <w:vAlign w:val="center"/>
                </w:tcPr>
                <w:p w14:paraId="520ACCBF">
                  <w:pPr>
                    <w:jc w:val="center"/>
                    <w:rPr>
                      <w:rFonts w:hint="eastAsia"/>
                      <w:color w:val="auto"/>
                      <w:szCs w:val="21"/>
                      <w:lang w:eastAsia="zh-CN"/>
                    </w:rPr>
                  </w:pPr>
                  <w:r>
                    <w:rPr>
                      <w:rFonts w:hint="eastAsia"/>
                      <w:color w:val="auto"/>
                      <w:szCs w:val="21"/>
                      <w:lang w:eastAsia="zh-CN"/>
                    </w:rPr>
                    <w:t>整理</w:t>
                  </w:r>
                </w:p>
                <w:p w14:paraId="3EA1CB5A">
                  <w:pPr>
                    <w:jc w:val="center"/>
                    <w:rPr>
                      <w:rFonts w:hint="eastAsia" w:eastAsia="宋体"/>
                      <w:color w:val="auto"/>
                      <w:szCs w:val="21"/>
                      <w:lang w:eastAsia="zh-CN"/>
                    </w:rPr>
                  </w:pPr>
                  <w:r>
                    <w:rPr>
                      <w:rFonts w:hint="eastAsia"/>
                      <w:color w:val="auto"/>
                      <w:szCs w:val="21"/>
                      <w:lang w:eastAsia="zh-CN"/>
                    </w:rPr>
                    <w:t>拼缝</w:t>
                  </w:r>
                </w:p>
              </w:tc>
              <w:tc>
                <w:tcPr>
                  <w:tcW w:w="514" w:type="dxa"/>
                  <w:vAlign w:val="center"/>
                </w:tcPr>
                <w:p w14:paraId="3FFEB0ED">
                  <w:pPr>
                    <w:jc w:val="center"/>
                    <w:rPr>
                      <w:rFonts w:ascii="Times New Roman" w:hAnsi="Times New Roman" w:eastAsia="宋体" w:cs="Times New Roman"/>
                      <w:color w:val="auto"/>
                      <w:kern w:val="2"/>
                      <w:sz w:val="21"/>
                      <w:szCs w:val="21"/>
                      <w:lang w:val="en-US" w:eastAsia="zh-CN" w:bidi="ar-SA"/>
                    </w:rPr>
                  </w:pPr>
                  <w:r>
                    <w:rPr>
                      <w:color w:val="auto"/>
                    </w:rPr>
                    <w:t>G2</w:t>
                  </w:r>
                </w:p>
              </w:tc>
              <w:tc>
                <w:tcPr>
                  <w:tcW w:w="997" w:type="dxa"/>
                  <w:vAlign w:val="center"/>
                </w:tcPr>
                <w:p w14:paraId="0EFFA3B1">
                  <w:pPr>
                    <w:jc w:val="center"/>
                    <w:rPr>
                      <w:rFonts w:hint="eastAsia"/>
                      <w:color w:val="auto"/>
                      <w:szCs w:val="21"/>
                      <w:lang w:eastAsia="zh-CN"/>
                    </w:rPr>
                  </w:pPr>
                  <w:r>
                    <w:rPr>
                      <w:rFonts w:hint="eastAsia"/>
                      <w:color w:val="auto"/>
                      <w:szCs w:val="21"/>
                      <w:lang w:eastAsia="zh-CN"/>
                    </w:rPr>
                    <w:t>拼缝</w:t>
                  </w:r>
                </w:p>
                <w:p w14:paraId="5454B74E">
                  <w:pPr>
                    <w:jc w:val="center"/>
                    <w:rPr>
                      <w:rFonts w:hint="eastAsia" w:eastAsia="宋体"/>
                      <w:color w:val="auto"/>
                      <w:szCs w:val="21"/>
                      <w:lang w:eastAsia="zh-CN"/>
                    </w:rPr>
                  </w:pPr>
                  <w:r>
                    <w:rPr>
                      <w:rFonts w:hint="eastAsia"/>
                      <w:color w:val="auto"/>
                      <w:szCs w:val="21"/>
                      <w:lang w:eastAsia="zh-CN"/>
                    </w:rPr>
                    <w:t>废气</w:t>
                  </w:r>
                </w:p>
              </w:tc>
              <w:tc>
                <w:tcPr>
                  <w:tcW w:w="1493" w:type="dxa"/>
                  <w:vAlign w:val="center"/>
                </w:tcPr>
                <w:p w14:paraId="411D72FA">
                  <w:pPr>
                    <w:jc w:val="center"/>
                    <w:rPr>
                      <w:rFonts w:hint="eastAsia"/>
                      <w:color w:val="auto"/>
                      <w:szCs w:val="21"/>
                    </w:rPr>
                  </w:pPr>
                  <w:r>
                    <w:rPr>
                      <w:rFonts w:hint="eastAsia"/>
                      <w:color w:val="auto"/>
                      <w:szCs w:val="21"/>
                    </w:rPr>
                    <w:t>甲醛、</w:t>
                  </w:r>
                  <w:r>
                    <w:rPr>
                      <w:color w:val="auto"/>
                      <w:szCs w:val="21"/>
                    </w:rPr>
                    <w:t>非甲烷总烃</w:t>
                  </w:r>
                </w:p>
              </w:tc>
              <w:tc>
                <w:tcPr>
                  <w:tcW w:w="1303" w:type="dxa"/>
                  <w:vMerge w:val="restart"/>
                  <w:vAlign w:val="center"/>
                </w:tcPr>
                <w:p w14:paraId="1EE06F0D">
                  <w:pPr>
                    <w:jc w:val="center"/>
                    <w:rPr>
                      <w:color w:val="auto"/>
                      <w:szCs w:val="21"/>
                    </w:rPr>
                  </w:pPr>
                  <w:r>
                    <w:rPr>
                      <w:rFonts w:hint="eastAsia"/>
                      <w:color w:val="auto"/>
                      <w:szCs w:val="21"/>
                      <w:lang w:eastAsia="zh-CN"/>
                    </w:rPr>
                    <w:t>水喷淋</w:t>
                  </w:r>
                  <w:r>
                    <w:rPr>
                      <w:rFonts w:hint="eastAsia"/>
                      <w:color w:val="auto"/>
                      <w:szCs w:val="21"/>
                      <w:lang w:val="en-US" w:eastAsia="zh-CN"/>
                    </w:rPr>
                    <w:t>+</w:t>
                  </w:r>
                  <w:r>
                    <w:rPr>
                      <w:color w:val="auto"/>
                      <w:szCs w:val="21"/>
                    </w:rPr>
                    <w:t>布袋除尘器</w:t>
                  </w:r>
                  <w:r>
                    <w:rPr>
                      <w:rFonts w:hint="eastAsia"/>
                      <w:color w:val="auto"/>
                      <w:szCs w:val="21"/>
                    </w:rPr>
                    <w:t>+</w:t>
                  </w:r>
                  <w:r>
                    <w:rPr>
                      <w:color w:val="auto"/>
                      <w:szCs w:val="21"/>
                    </w:rPr>
                    <w:t>二级活性炭</w:t>
                  </w:r>
                </w:p>
              </w:tc>
              <w:tc>
                <w:tcPr>
                  <w:tcW w:w="1268" w:type="dxa"/>
                  <w:vMerge w:val="restart"/>
                  <w:vAlign w:val="center"/>
                </w:tcPr>
                <w:p w14:paraId="30614787">
                  <w:pPr>
                    <w:jc w:val="center"/>
                    <w:rPr>
                      <w:color w:val="auto"/>
                      <w:szCs w:val="21"/>
                    </w:rPr>
                  </w:pPr>
                  <w:r>
                    <w:rPr>
                      <w:color w:val="auto"/>
                      <w:szCs w:val="21"/>
                    </w:rPr>
                    <w:t>15m高排气筒(DA00</w:t>
                  </w:r>
                  <w:r>
                    <w:rPr>
                      <w:rFonts w:hint="eastAsia"/>
                      <w:color w:val="auto"/>
                      <w:szCs w:val="21"/>
                      <w:lang w:val="en-US" w:eastAsia="zh-CN"/>
                    </w:rPr>
                    <w:t>1</w:t>
                  </w:r>
                  <w:r>
                    <w:rPr>
                      <w:color w:val="auto"/>
                      <w:szCs w:val="21"/>
                    </w:rPr>
                    <w:t>)</w:t>
                  </w:r>
                </w:p>
              </w:tc>
              <w:tc>
                <w:tcPr>
                  <w:tcW w:w="1082" w:type="dxa"/>
                  <w:vMerge w:val="continue"/>
                  <w:vAlign w:val="center"/>
                </w:tcPr>
                <w:p w14:paraId="4885FDFF">
                  <w:pPr>
                    <w:jc w:val="center"/>
                    <w:rPr>
                      <w:color w:val="auto"/>
                      <w:szCs w:val="21"/>
                    </w:rPr>
                  </w:pPr>
                </w:p>
              </w:tc>
            </w:tr>
            <w:tr w14:paraId="4FB9C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4A0D03E2">
                  <w:pPr>
                    <w:jc w:val="center"/>
                    <w:rPr>
                      <w:color w:val="auto"/>
                      <w:szCs w:val="21"/>
                    </w:rPr>
                  </w:pPr>
                </w:p>
              </w:tc>
              <w:tc>
                <w:tcPr>
                  <w:tcW w:w="1102" w:type="dxa"/>
                  <w:vAlign w:val="center"/>
                </w:tcPr>
                <w:p w14:paraId="6F022F61">
                  <w:pPr>
                    <w:jc w:val="center"/>
                    <w:rPr>
                      <w:color w:val="auto"/>
                      <w:szCs w:val="21"/>
                    </w:rPr>
                  </w:pPr>
                  <w:r>
                    <w:rPr>
                      <w:rFonts w:hint="eastAsia"/>
                      <w:color w:val="auto"/>
                      <w:szCs w:val="21"/>
                    </w:rPr>
                    <w:t>调胶</w:t>
                  </w:r>
                </w:p>
              </w:tc>
              <w:tc>
                <w:tcPr>
                  <w:tcW w:w="514" w:type="dxa"/>
                  <w:vAlign w:val="center"/>
                </w:tcPr>
                <w:p w14:paraId="5001FC8A">
                  <w:pPr>
                    <w:jc w:val="center"/>
                    <w:rPr>
                      <w:rFonts w:ascii="Times New Roman" w:hAnsi="Times New Roman" w:eastAsia="宋体" w:cs="Times New Roman"/>
                      <w:color w:val="auto"/>
                      <w:kern w:val="2"/>
                      <w:sz w:val="21"/>
                      <w:szCs w:val="24"/>
                      <w:lang w:val="en-US" w:eastAsia="zh-CN" w:bidi="ar-SA"/>
                    </w:rPr>
                  </w:pPr>
                  <w:r>
                    <w:rPr>
                      <w:color w:val="auto"/>
                    </w:rPr>
                    <w:t>G</w:t>
                  </w:r>
                  <w:r>
                    <w:rPr>
                      <w:rFonts w:hint="eastAsia"/>
                      <w:color w:val="auto"/>
                    </w:rPr>
                    <w:t>3</w:t>
                  </w:r>
                </w:p>
              </w:tc>
              <w:tc>
                <w:tcPr>
                  <w:tcW w:w="997" w:type="dxa"/>
                  <w:vAlign w:val="center"/>
                </w:tcPr>
                <w:p w14:paraId="25BB346C">
                  <w:pPr>
                    <w:jc w:val="center"/>
                    <w:rPr>
                      <w:color w:val="auto"/>
                      <w:szCs w:val="21"/>
                    </w:rPr>
                  </w:pPr>
                  <w:r>
                    <w:rPr>
                      <w:rFonts w:hint="eastAsia"/>
                      <w:color w:val="auto"/>
                      <w:szCs w:val="21"/>
                    </w:rPr>
                    <w:t>调胶</w:t>
                  </w:r>
                </w:p>
                <w:p w14:paraId="79C576C5">
                  <w:pPr>
                    <w:jc w:val="center"/>
                    <w:rPr>
                      <w:color w:val="auto"/>
                      <w:szCs w:val="21"/>
                    </w:rPr>
                  </w:pPr>
                  <w:r>
                    <w:rPr>
                      <w:rFonts w:hint="eastAsia"/>
                      <w:color w:val="auto"/>
                      <w:szCs w:val="21"/>
                    </w:rPr>
                    <w:t>废气</w:t>
                  </w:r>
                </w:p>
              </w:tc>
              <w:tc>
                <w:tcPr>
                  <w:tcW w:w="1493" w:type="dxa"/>
                  <w:vAlign w:val="center"/>
                </w:tcPr>
                <w:p w14:paraId="5FDA69C5">
                  <w:pPr>
                    <w:jc w:val="center"/>
                    <w:rPr>
                      <w:color w:val="auto"/>
                      <w:szCs w:val="21"/>
                    </w:rPr>
                  </w:pPr>
                  <w:r>
                    <w:rPr>
                      <w:rFonts w:hint="eastAsia"/>
                      <w:color w:val="auto"/>
                      <w:szCs w:val="21"/>
                    </w:rPr>
                    <w:t>甲醛、</w:t>
                  </w:r>
                  <w:r>
                    <w:rPr>
                      <w:color w:val="auto"/>
                      <w:szCs w:val="21"/>
                    </w:rPr>
                    <w:t>非甲烷总烃</w:t>
                  </w:r>
                  <w:r>
                    <w:rPr>
                      <w:rFonts w:hint="eastAsia"/>
                      <w:color w:val="auto"/>
                      <w:szCs w:val="21"/>
                    </w:rPr>
                    <w:t>、</w:t>
                  </w:r>
                  <w:r>
                    <w:rPr>
                      <w:color w:val="auto"/>
                      <w:szCs w:val="21"/>
                    </w:rPr>
                    <w:t>颗粒物</w:t>
                  </w:r>
                </w:p>
              </w:tc>
              <w:tc>
                <w:tcPr>
                  <w:tcW w:w="1303" w:type="dxa"/>
                  <w:vMerge w:val="continue"/>
                  <w:vAlign w:val="center"/>
                </w:tcPr>
                <w:p w14:paraId="7BDE9F6E">
                  <w:pPr>
                    <w:jc w:val="center"/>
                    <w:rPr>
                      <w:color w:val="auto"/>
                      <w:szCs w:val="21"/>
                    </w:rPr>
                  </w:pPr>
                </w:p>
              </w:tc>
              <w:tc>
                <w:tcPr>
                  <w:tcW w:w="1268" w:type="dxa"/>
                  <w:vMerge w:val="continue"/>
                  <w:vAlign w:val="center"/>
                </w:tcPr>
                <w:p w14:paraId="187F07C2">
                  <w:pPr>
                    <w:jc w:val="center"/>
                    <w:rPr>
                      <w:color w:val="auto"/>
                      <w:szCs w:val="21"/>
                    </w:rPr>
                  </w:pPr>
                </w:p>
              </w:tc>
              <w:tc>
                <w:tcPr>
                  <w:tcW w:w="1082" w:type="dxa"/>
                  <w:vMerge w:val="continue"/>
                  <w:vAlign w:val="center"/>
                </w:tcPr>
                <w:p w14:paraId="23DF8E4D">
                  <w:pPr>
                    <w:jc w:val="center"/>
                    <w:rPr>
                      <w:color w:val="auto"/>
                      <w:szCs w:val="21"/>
                    </w:rPr>
                  </w:pPr>
                </w:p>
              </w:tc>
            </w:tr>
            <w:tr w14:paraId="1D668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039BAE55">
                  <w:pPr>
                    <w:jc w:val="center"/>
                    <w:rPr>
                      <w:color w:val="auto"/>
                      <w:szCs w:val="21"/>
                    </w:rPr>
                  </w:pPr>
                </w:p>
              </w:tc>
              <w:tc>
                <w:tcPr>
                  <w:tcW w:w="1102" w:type="dxa"/>
                  <w:vAlign w:val="center"/>
                </w:tcPr>
                <w:p w14:paraId="7B11FD32">
                  <w:pPr>
                    <w:jc w:val="center"/>
                    <w:rPr>
                      <w:color w:val="auto"/>
                      <w:szCs w:val="21"/>
                    </w:rPr>
                  </w:pPr>
                  <w:r>
                    <w:rPr>
                      <w:rFonts w:hint="eastAsia"/>
                      <w:color w:val="auto"/>
                      <w:szCs w:val="21"/>
                    </w:rPr>
                    <w:t>涂胶</w:t>
                  </w:r>
                </w:p>
              </w:tc>
              <w:tc>
                <w:tcPr>
                  <w:tcW w:w="514" w:type="dxa"/>
                  <w:vAlign w:val="center"/>
                </w:tcPr>
                <w:p w14:paraId="22E9486B">
                  <w:pPr>
                    <w:jc w:val="center"/>
                    <w:rPr>
                      <w:rFonts w:hint="eastAsia" w:ascii="Times New Roman" w:hAnsi="Times New Roman" w:eastAsia="宋体" w:cs="Times New Roman"/>
                      <w:color w:val="auto"/>
                      <w:kern w:val="2"/>
                      <w:sz w:val="21"/>
                      <w:szCs w:val="24"/>
                      <w:lang w:val="en-US" w:eastAsia="zh-CN" w:bidi="ar-SA"/>
                    </w:rPr>
                  </w:pPr>
                  <w:r>
                    <w:rPr>
                      <w:color w:val="auto"/>
                    </w:rPr>
                    <w:t>G</w:t>
                  </w:r>
                  <w:r>
                    <w:rPr>
                      <w:rFonts w:hint="eastAsia"/>
                      <w:color w:val="auto"/>
                      <w:lang w:val="en-US" w:eastAsia="zh-CN"/>
                    </w:rPr>
                    <w:t>4</w:t>
                  </w:r>
                </w:p>
              </w:tc>
              <w:tc>
                <w:tcPr>
                  <w:tcW w:w="997" w:type="dxa"/>
                  <w:vAlign w:val="center"/>
                </w:tcPr>
                <w:p w14:paraId="31822025">
                  <w:pPr>
                    <w:jc w:val="center"/>
                    <w:rPr>
                      <w:color w:val="auto"/>
                      <w:szCs w:val="21"/>
                    </w:rPr>
                  </w:pPr>
                  <w:r>
                    <w:rPr>
                      <w:rFonts w:hint="eastAsia"/>
                      <w:color w:val="auto"/>
                      <w:szCs w:val="21"/>
                    </w:rPr>
                    <w:t>涂胶</w:t>
                  </w:r>
                </w:p>
                <w:p w14:paraId="15D7EBFC">
                  <w:pPr>
                    <w:jc w:val="center"/>
                    <w:rPr>
                      <w:color w:val="auto"/>
                      <w:szCs w:val="21"/>
                    </w:rPr>
                  </w:pPr>
                  <w:r>
                    <w:rPr>
                      <w:rFonts w:hint="eastAsia"/>
                      <w:color w:val="auto"/>
                      <w:szCs w:val="21"/>
                    </w:rPr>
                    <w:t>废气</w:t>
                  </w:r>
                </w:p>
              </w:tc>
              <w:tc>
                <w:tcPr>
                  <w:tcW w:w="1493" w:type="dxa"/>
                  <w:vAlign w:val="center"/>
                </w:tcPr>
                <w:p w14:paraId="36D45EC7">
                  <w:pPr>
                    <w:jc w:val="center"/>
                    <w:rPr>
                      <w:color w:val="auto"/>
                      <w:szCs w:val="21"/>
                    </w:rPr>
                  </w:pPr>
                  <w:r>
                    <w:rPr>
                      <w:color w:val="auto"/>
                      <w:szCs w:val="21"/>
                    </w:rPr>
                    <w:t>甲醛、非甲烷总烃</w:t>
                  </w:r>
                </w:p>
              </w:tc>
              <w:tc>
                <w:tcPr>
                  <w:tcW w:w="1303" w:type="dxa"/>
                  <w:vMerge w:val="continue"/>
                  <w:vAlign w:val="center"/>
                </w:tcPr>
                <w:p w14:paraId="22E72AAB">
                  <w:pPr>
                    <w:jc w:val="center"/>
                    <w:rPr>
                      <w:color w:val="auto"/>
                      <w:szCs w:val="21"/>
                    </w:rPr>
                  </w:pPr>
                </w:p>
              </w:tc>
              <w:tc>
                <w:tcPr>
                  <w:tcW w:w="1268" w:type="dxa"/>
                  <w:vMerge w:val="continue"/>
                  <w:vAlign w:val="center"/>
                </w:tcPr>
                <w:p w14:paraId="7228ABC2">
                  <w:pPr>
                    <w:jc w:val="center"/>
                    <w:rPr>
                      <w:color w:val="auto"/>
                      <w:szCs w:val="21"/>
                    </w:rPr>
                  </w:pPr>
                </w:p>
              </w:tc>
              <w:tc>
                <w:tcPr>
                  <w:tcW w:w="1082" w:type="dxa"/>
                  <w:vMerge w:val="continue"/>
                  <w:vAlign w:val="center"/>
                </w:tcPr>
                <w:p w14:paraId="47D057F3">
                  <w:pPr>
                    <w:jc w:val="center"/>
                    <w:rPr>
                      <w:color w:val="auto"/>
                      <w:szCs w:val="21"/>
                    </w:rPr>
                  </w:pPr>
                </w:p>
              </w:tc>
            </w:tr>
            <w:tr w14:paraId="344C6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9" w:type="dxa"/>
                  <w:vMerge w:val="continue"/>
                  <w:vAlign w:val="center"/>
                </w:tcPr>
                <w:p w14:paraId="1BEFA593">
                  <w:pPr>
                    <w:jc w:val="center"/>
                    <w:rPr>
                      <w:color w:val="auto"/>
                      <w:szCs w:val="21"/>
                    </w:rPr>
                  </w:pPr>
                </w:p>
              </w:tc>
              <w:tc>
                <w:tcPr>
                  <w:tcW w:w="1102" w:type="dxa"/>
                  <w:vAlign w:val="center"/>
                </w:tcPr>
                <w:p w14:paraId="76A90E3A">
                  <w:pPr>
                    <w:jc w:val="center"/>
                    <w:rPr>
                      <w:color w:val="auto"/>
                      <w:szCs w:val="21"/>
                    </w:rPr>
                  </w:pPr>
                  <w:r>
                    <w:rPr>
                      <w:color w:val="auto"/>
                      <w:szCs w:val="21"/>
                    </w:rPr>
                    <w:t>热压</w:t>
                  </w:r>
                </w:p>
              </w:tc>
              <w:tc>
                <w:tcPr>
                  <w:tcW w:w="514" w:type="dxa"/>
                  <w:vAlign w:val="center"/>
                </w:tcPr>
                <w:p w14:paraId="4BD34417">
                  <w:pPr>
                    <w:jc w:val="center"/>
                    <w:rPr>
                      <w:rFonts w:hint="eastAsia" w:ascii="Times New Roman" w:hAnsi="Times New Roman" w:eastAsia="宋体" w:cs="Times New Roman"/>
                      <w:color w:val="auto"/>
                      <w:kern w:val="2"/>
                      <w:sz w:val="21"/>
                      <w:szCs w:val="24"/>
                      <w:lang w:val="en-US" w:eastAsia="zh-CN" w:bidi="ar-SA"/>
                    </w:rPr>
                  </w:pPr>
                  <w:r>
                    <w:rPr>
                      <w:color w:val="auto"/>
                    </w:rPr>
                    <w:t>G</w:t>
                  </w:r>
                  <w:r>
                    <w:rPr>
                      <w:rFonts w:hint="eastAsia"/>
                      <w:color w:val="auto"/>
                      <w:lang w:val="en-US" w:eastAsia="zh-CN"/>
                    </w:rPr>
                    <w:t>5</w:t>
                  </w:r>
                </w:p>
              </w:tc>
              <w:tc>
                <w:tcPr>
                  <w:tcW w:w="997" w:type="dxa"/>
                  <w:vAlign w:val="center"/>
                </w:tcPr>
                <w:p w14:paraId="55B22C3A">
                  <w:pPr>
                    <w:jc w:val="center"/>
                    <w:rPr>
                      <w:color w:val="auto"/>
                      <w:szCs w:val="21"/>
                    </w:rPr>
                  </w:pPr>
                  <w:r>
                    <w:rPr>
                      <w:color w:val="auto"/>
                      <w:szCs w:val="21"/>
                    </w:rPr>
                    <w:t>热压</w:t>
                  </w:r>
                </w:p>
                <w:p w14:paraId="176CDF3E">
                  <w:pPr>
                    <w:jc w:val="center"/>
                    <w:rPr>
                      <w:color w:val="auto"/>
                      <w:szCs w:val="21"/>
                    </w:rPr>
                  </w:pPr>
                  <w:r>
                    <w:rPr>
                      <w:rFonts w:hint="eastAsia"/>
                      <w:color w:val="auto"/>
                      <w:szCs w:val="21"/>
                    </w:rPr>
                    <w:t>废气</w:t>
                  </w:r>
                </w:p>
              </w:tc>
              <w:tc>
                <w:tcPr>
                  <w:tcW w:w="1493" w:type="dxa"/>
                  <w:vAlign w:val="center"/>
                </w:tcPr>
                <w:p w14:paraId="58E4EE3B">
                  <w:pPr>
                    <w:jc w:val="center"/>
                    <w:rPr>
                      <w:rFonts w:hint="eastAsia" w:eastAsia="宋体"/>
                      <w:color w:val="auto"/>
                      <w:szCs w:val="21"/>
                      <w:lang w:val="en-US" w:eastAsia="zh-CN"/>
                    </w:rPr>
                  </w:pPr>
                  <w:r>
                    <w:rPr>
                      <w:color w:val="auto"/>
                      <w:szCs w:val="21"/>
                    </w:rPr>
                    <w:t>甲醛、非甲烷总烃</w:t>
                  </w:r>
                  <w:r>
                    <w:rPr>
                      <w:rFonts w:hint="eastAsia"/>
                      <w:color w:val="auto"/>
                      <w:szCs w:val="21"/>
                      <w:lang w:eastAsia="zh-CN"/>
                    </w:rPr>
                    <w:t>、氨、臭气浓度</w:t>
                  </w:r>
                </w:p>
              </w:tc>
              <w:tc>
                <w:tcPr>
                  <w:tcW w:w="1303" w:type="dxa"/>
                  <w:vMerge w:val="continue"/>
                  <w:vAlign w:val="center"/>
                </w:tcPr>
                <w:p w14:paraId="3D5B6C13">
                  <w:pPr>
                    <w:jc w:val="center"/>
                    <w:rPr>
                      <w:color w:val="auto"/>
                      <w:szCs w:val="21"/>
                    </w:rPr>
                  </w:pPr>
                </w:p>
              </w:tc>
              <w:tc>
                <w:tcPr>
                  <w:tcW w:w="1268" w:type="dxa"/>
                  <w:vMerge w:val="continue"/>
                  <w:vAlign w:val="center"/>
                </w:tcPr>
                <w:p w14:paraId="5669122A">
                  <w:pPr>
                    <w:jc w:val="center"/>
                    <w:rPr>
                      <w:color w:val="auto"/>
                      <w:szCs w:val="21"/>
                    </w:rPr>
                  </w:pPr>
                </w:p>
              </w:tc>
              <w:tc>
                <w:tcPr>
                  <w:tcW w:w="1082" w:type="dxa"/>
                  <w:vMerge w:val="continue"/>
                  <w:vAlign w:val="center"/>
                </w:tcPr>
                <w:p w14:paraId="7D486539">
                  <w:pPr>
                    <w:jc w:val="center"/>
                    <w:rPr>
                      <w:color w:val="auto"/>
                      <w:szCs w:val="21"/>
                    </w:rPr>
                  </w:pPr>
                </w:p>
              </w:tc>
            </w:tr>
            <w:tr w14:paraId="384E6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017960AA">
                  <w:pPr>
                    <w:jc w:val="center"/>
                    <w:rPr>
                      <w:color w:val="auto"/>
                      <w:szCs w:val="21"/>
                    </w:rPr>
                  </w:pPr>
                </w:p>
              </w:tc>
              <w:tc>
                <w:tcPr>
                  <w:tcW w:w="1102" w:type="dxa"/>
                  <w:vAlign w:val="center"/>
                </w:tcPr>
                <w:p w14:paraId="53EEF6CC">
                  <w:pPr>
                    <w:jc w:val="center"/>
                    <w:rPr>
                      <w:color w:val="auto"/>
                      <w:szCs w:val="21"/>
                    </w:rPr>
                  </w:pPr>
                  <w:r>
                    <w:rPr>
                      <w:rFonts w:hint="eastAsia"/>
                      <w:color w:val="auto"/>
                      <w:szCs w:val="21"/>
                    </w:rPr>
                    <w:t>锯边</w:t>
                  </w:r>
                </w:p>
              </w:tc>
              <w:tc>
                <w:tcPr>
                  <w:tcW w:w="514" w:type="dxa"/>
                  <w:vAlign w:val="center"/>
                </w:tcPr>
                <w:p w14:paraId="5B0AE9D9">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G</w:t>
                  </w:r>
                  <w:r>
                    <w:rPr>
                      <w:rFonts w:hint="eastAsia"/>
                      <w:color w:val="auto"/>
                      <w:lang w:val="en-US" w:eastAsia="zh-CN"/>
                    </w:rPr>
                    <w:t>6</w:t>
                  </w:r>
                </w:p>
              </w:tc>
              <w:tc>
                <w:tcPr>
                  <w:tcW w:w="997" w:type="dxa"/>
                  <w:vAlign w:val="center"/>
                </w:tcPr>
                <w:p w14:paraId="4CD3053D">
                  <w:pPr>
                    <w:jc w:val="center"/>
                    <w:rPr>
                      <w:color w:val="auto"/>
                      <w:szCs w:val="21"/>
                    </w:rPr>
                  </w:pPr>
                  <w:r>
                    <w:rPr>
                      <w:rFonts w:hint="eastAsia"/>
                      <w:color w:val="auto"/>
                      <w:szCs w:val="21"/>
                    </w:rPr>
                    <w:t>锯边</w:t>
                  </w:r>
                </w:p>
                <w:p w14:paraId="65C27D0B">
                  <w:pPr>
                    <w:jc w:val="center"/>
                    <w:rPr>
                      <w:color w:val="auto"/>
                      <w:szCs w:val="21"/>
                    </w:rPr>
                  </w:pPr>
                  <w:r>
                    <w:rPr>
                      <w:rFonts w:hint="eastAsia"/>
                      <w:color w:val="auto"/>
                      <w:szCs w:val="21"/>
                    </w:rPr>
                    <w:t>废气</w:t>
                  </w:r>
                </w:p>
              </w:tc>
              <w:tc>
                <w:tcPr>
                  <w:tcW w:w="1493" w:type="dxa"/>
                  <w:vAlign w:val="center"/>
                </w:tcPr>
                <w:p w14:paraId="69F8D62D">
                  <w:pPr>
                    <w:jc w:val="center"/>
                    <w:rPr>
                      <w:color w:val="auto"/>
                      <w:szCs w:val="21"/>
                    </w:rPr>
                  </w:pPr>
                  <w:r>
                    <w:rPr>
                      <w:color w:val="auto"/>
                      <w:szCs w:val="21"/>
                    </w:rPr>
                    <w:t>颗粒物</w:t>
                  </w:r>
                </w:p>
              </w:tc>
              <w:tc>
                <w:tcPr>
                  <w:tcW w:w="1303" w:type="dxa"/>
                  <w:vAlign w:val="center"/>
                </w:tcPr>
                <w:p w14:paraId="192D10AE">
                  <w:pPr>
                    <w:jc w:val="center"/>
                    <w:rPr>
                      <w:color w:val="auto"/>
                      <w:szCs w:val="21"/>
                    </w:rPr>
                  </w:pPr>
                  <w:r>
                    <w:rPr>
                      <w:color w:val="auto"/>
                      <w:szCs w:val="21"/>
                    </w:rPr>
                    <w:t>布袋除尘器</w:t>
                  </w:r>
                </w:p>
              </w:tc>
              <w:tc>
                <w:tcPr>
                  <w:tcW w:w="1268" w:type="dxa"/>
                  <w:vAlign w:val="center"/>
                </w:tcPr>
                <w:p w14:paraId="6F63C08F">
                  <w:pPr>
                    <w:jc w:val="center"/>
                    <w:rPr>
                      <w:color w:val="auto"/>
                      <w:szCs w:val="21"/>
                    </w:rPr>
                  </w:pPr>
                  <w:r>
                    <w:rPr>
                      <w:color w:val="auto"/>
                      <w:szCs w:val="21"/>
                    </w:rPr>
                    <w:t>15m高排气筒(DA001)</w:t>
                  </w:r>
                </w:p>
              </w:tc>
              <w:tc>
                <w:tcPr>
                  <w:tcW w:w="1082" w:type="dxa"/>
                  <w:vMerge w:val="continue"/>
                  <w:vAlign w:val="center"/>
                </w:tcPr>
                <w:p w14:paraId="60AAA80E">
                  <w:pPr>
                    <w:jc w:val="center"/>
                    <w:rPr>
                      <w:color w:val="auto"/>
                      <w:szCs w:val="21"/>
                    </w:rPr>
                  </w:pPr>
                </w:p>
              </w:tc>
            </w:tr>
            <w:tr w14:paraId="2E7F0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2E1F7B6D">
                  <w:pPr>
                    <w:jc w:val="center"/>
                    <w:rPr>
                      <w:color w:val="auto"/>
                      <w:szCs w:val="21"/>
                    </w:rPr>
                  </w:pPr>
                </w:p>
              </w:tc>
              <w:tc>
                <w:tcPr>
                  <w:tcW w:w="1102" w:type="dxa"/>
                  <w:vAlign w:val="center"/>
                </w:tcPr>
                <w:p w14:paraId="4E05D0DB">
                  <w:pPr>
                    <w:jc w:val="center"/>
                    <w:rPr>
                      <w:color w:val="auto"/>
                      <w:szCs w:val="21"/>
                    </w:rPr>
                  </w:pPr>
                  <w:r>
                    <w:rPr>
                      <w:rFonts w:hint="eastAsia"/>
                      <w:color w:val="auto"/>
                      <w:szCs w:val="21"/>
                    </w:rPr>
                    <w:t>砂光</w:t>
                  </w:r>
                </w:p>
              </w:tc>
              <w:tc>
                <w:tcPr>
                  <w:tcW w:w="514" w:type="dxa"/>
                  <w:vAlign w:val="center"/>
                </w:tcPr>
                <w:p w14:paraId="3D92B300">
                  <w:pPr>
                    <w:jc w:val="center"/>
                    <w:rPr>
                      <w:rFonts w:hint="default" w:eastAsia="宋体"/>
                      <w:color w:val="auto"/>
                      <w:lang w:val="en-US" w:eastAsia="zh-CN"/>
                    </w:rPr>
                  </w:pPr>
                  <w:r>
                    <w:rPr>
                      <w:rFonts w:hint="eastAsia"/>
                      <w:color w:val="auto"/>
                      <w:lang w:val="en-US" w:eastAsia="zh-CN"/>
                    </w:rPr>
                    <w:t>G7</w:t>
                  </w:r>
                </w:p>
              </w:tc>
              <w:tc>
                <w:tcPr>
                  <w:tcW w:w="997" w:type="dxa"/>
                  <w:vAlign w:val="center"/>
                </w:tcPr>
                <w:p w14:paraId="0B51EAC0">
                  <w:pPr>
                    <w:jc w:val="center"/>
                    <w:rPr>
                      <w:color w:val="auto"/>
                      <w:szCs w:val="21"/>
                    </w:rPr>
                  </w:pPr>
                  <w:r>
                    <w:rPr>
                      <w:rFonts w:hint="eastAsia"/>
                      <w:color w:val="auto"/>
                      <w:szCs w:val="21"/>
                    </w:rPr>
                    <w:t>砂光</w:t>
                  </w:r>
                </w:p>
                <w:p w14:paraId="0BDE1198">
                  <w:pPr>
                    <w:jc w:val="center"/>
                    <w:rPr>
                      <w:color w:val="auto"/>
                      <w:szCs w:val="21"/>
                    </w:rPr>
                  </w:pPr>
                  <w:r>
                    <w:rPr>
                      <w:rFonts w:hint="eastAsia"/>
                      <w:color w:val="auto"/>
                      <w:szCs w:val="21"/>
                    </w:rPr>
                    <w:t>废气</w:t>
                  </w:r>
                </w:p>
              </w:tc>
              <w:tc>
                <w:tcPr>
                  <w:tcW w:w="1493" w:type="dxa"/>
                  <w:vAlign w:val="center"/>
                </w:tcPr>
                <w:p w14:paraId="61A88E6F">
                  <w:pPr>
                    <w:jc w:val="center"/>
                    <w:rPr>
                      <w:color w:val="auto"/>
                      <w:szCs w:val="21"/>
                    </w:rPr>
                  </w:pPr>
                  <w:r>
                    <w:rPr>
                      <w:color w:val="auto"/>
                      <w:szCs w:val="21"/>
                    </w:rPr>
                    <w:t>颗粒物</w:t>
                  </w:r>
                </w:p>
              </w:tc>
              <w:tc>
                <w:tcPr>
                  <w:tcW w:w="1303" w:type="dxa"/>
                  <w:vAlign w:val="center"/>
                </w:tcPr>
                <w:p w14:paraId="0450E007">
                  <w:pPr>
                    <w:jc w:val="center"/>
                    <w:rPr>
                      <w:color w:val="auto"/>
                      <w:szCs w:val="21"/>
                    </w:rPr>
                  </w:pPr>
                  <w:r>
                    <w:rPr>
                      <w:color w:val="auto"/>
                      <w:szCs w:val="21"/>
                    </w:rPr>
                    <w:t>布袋除尘器</w:t>
                  </w:r>
                </w:p>
              </w:tc>
              <w:tc>
                <w:tcPr>
                  <w:tcW w:w="1268" w:type="dxa"/>
                  <w:vAlign w:val="center"/>
                </w:tcPr>
                <w:p w14:paraId="5E366F32">
                  <w:pPr>
                    <w:jc w:val="center"/>
                    <w:rPr>
                      <w:color w:val="auto"/>
                      <w:szCs w:val="21"/>
                    </w:rPr>
                  </w:pPr>
                  <w:r>
                    <w:rPr>
                      <w:color w:val="auto"/>
                      <w:szCs w:val="21"/>
                    </w:rPr>
                    <w:t>15m高排气筒(DA001)</w:t>
                  </w:r>
                </w:p>
              </w:tc>
              <w:tc>
                <w:tcPr>
                  <w:tcW w:w="1082" w:type="dxa"/>
                  <w:vMerge w:val="continue"/>
                  <w:vAlign w:val="center"/>
                </w:tcPr>
                <w:p w14:paraId="0743E70B">
                  <w:pPr>
                    <w:jc w:val="center"/>
                    <w:rPr>
                      <w:color w:val="auto"/>
                      <w:szCs w:val="21"/>
                    </w:rPr>
                  </w:pPr>
                </w:p>
              </w:tc>
            </w:tr>
            <w:tr w14:paraId="4ED01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14:paraId="403DCCA1">
                  <w:pPr>
                    <w:jc w:val="center"/>
                    <w:rPr>
                      <w:color w:val="auto"/>
                      <w:szCs w:val="21"/>
                    </w:rPr>
                  </w:pPr>
                  <w:r>
                    <w:rPr>
                      <w:color w:val="auto"/>
                      <w:szCs w:val="21"/>
                    </w:rPr>
                    <w:t>噪声</w:t>
                  </w:r>
                </w:p>
              </w:tc>
              <w:tc>
                <w:tcPr>
                  <w:tcW w:w="1102" w:type="dxa"/>
                  <w:vAlign w:val="center"/>
                </w:tcPr>
                <w:p w14:paraId="4022A3F9">
                  <w:pPr>
                    <w:jc w:val="center"/>
                    <w:rPr>
                      <w:color w:val="auto"/>
                      <w:szCs w:val="21"/>
                    </w:rPr>
                  </w:pPr>
                  <w:r>
                    <w:rPr>
                      <w:color w:val="auto"/>
                      <w:szCs w:val="21"/>
                    </w:rPr>
                    <w:t>生产线</w:t>
                  </w:r>
                </w:p>
              </w:tc>
              <w:tc>
                <w:tcPr>
                  <w:tcW w:w="514" w:type="dxa"/>
                  <w:vAlign w:val="center"/>
                </w:tcPr>
                <w:p w14:paraId="053B3B19">
                  <w:pPr>
                    <w:jc w:val="center"/>
                    <w:rPr>
                      <w:color w:val="auto"/>
                      <w:szCs w:val="21"/>
                    </w:rPr>
                  </w:pPr>
                  <w:r>
                    <w:rPr>
                      <w:color w:val="auto"/>
                      <w:szCs w:val="21"/>
                    </w:rPr>
                    <w:t>/</w:t>
                  </w:r>
                </w:p>
              </w:tc>
              <w:tc>
                <w:tcPr>
                  <w:tcW w:w="997" w:type="dxa"/>
                  <w:vAlign w:val="center"/>
                </w:tcPr>
                <w:p w14:paraId="6CAB11C6">
                  <w:pPr>
                    <w:jc w:val="center"/>
                    <w:rPr>
                      <w:color w:val="auto"/>
                      <w:szCs w:val="21"/>
                    </w:rPr>
                  </w:pPr>
                  <w:r>
                    <w:rPr>
                      <w:rFonts w:hint="eastAsia"/>
                      <w:color w:val="auto"/>
                      <w:szCs w:val="21"/>
                    </w:rPr>
                    <w:t>/</w:t>
                  </w:r>
                </w:p>
              </w:tc>
              <w:tc>
                <w:tcPr>
                  <w:tcW w:w="1493" w:type="dxa"/>
                  <w:vAlign w:val="center"/>
                </w:tcPr>
                <w:p w14:paraId="6E5E1E65">
                  <w:pPr>
                    <w:jc w:val="center"/>
                    <w:rPr>
                      <w:color w:val="auto"/>
                      <w:szCs w:val="21"/>
                    </w:rPr>
                  </w:pPr>
                  <w:r>
                    <w:rPr>
                      <w:color w:val="auto"/>
                      <w:szCs w:val="21"/>
                    </w:rPr>
                    <w:t>dB（A）</w:t>
                  </w:r>
                </w:p>
              </w:tc>
              <w:tc>
                <w:tcPr>
                  <w:tcW w:w="2571" w:type="dxa"/>
                  <w:gridSpan w:val="2"/>
                  <w:vAlign w:val="center"/>
                </w:tcPr>
                <w:p w14:paraId="384734DA">
                  <w:pPr>
                    <w:jc w:val="center"/>
                    <w:rPr>
                      <w:color w:val="auto"/>
                      <w:szCs w:val="21"/>
                    </w:rPr>
                  </w:pPr>
                  <w:r>
                    <w:rPr>
                      <w:color w:val="auto"/>
                      <w:szCs w:val="21"/>
                    </w:rPr>
                    <w:t>噪声设备，厂房隔声，减振，合理布局</w:t>
                  </w:r>
                </w:p>
              </w:tc>
              <w:tc>
                <w:tcPr>
                  <w:tcW w:w="1082" w:type="dxa"/>
                  <w:vAlign w:val="center"/>
                </w:tcPr>
                <w:p w14:paraId="43B77A22">
                  <w:pPr>
                    <w:jc w:val="center"/>
                    <w:rPr>
                      <w:color w:val="auto"/>
                      <w:szCs w:val="21"/>
                    </w:rPr>
                  </w:pPr>
                  <w:r>
                    <w:rPr>
                      <w:color w:val="auto"/>
                      <w:szCs w:val="21"/>
                    </w:rPr>
                    <w:t>/</w:t>
                  </w:r>
                </w:p>
              </w:tc>
            </w:tr>
            <w:tr w14:paraId="4A640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14:paraId="73A29042">
                  <w:pPr>
                    <w:jc w:val="center"/>
                    <w:rPr>
                      <w:color w:val="auto"/>
                      <w:szCs w:val="21"/>
                    </w:rPr>
                  </w:pPr>
                  <w:r>
                    <w:rPr>
                      <w:color w:val="auto"/>
                      <w:szCs w:val="21"/>
                    </w:rPr>
                    <w:t>废水</w:t>
                  </w:r>
                </w:p>
              </w:tc>
              <w:tc>
                <w:tcPr>
                  <w:tcW w:w="1102" w:type="dxa"/>
                  <w:vAlign w:val="center"/>
                </w:tcPr>
                <w:p w14:paraId="0EE8C113">
                  <w:pPr>
                    <w:jc w:val="center"/>
                    <w:rPr>
                      <w:color w:val="auto"/>
                      <w:szCs w:val="21"/>
                    </w:rPr>
                  </w:pPr>
                  <w:r>
                    <w:rPr>
                      <w:rFonts w:hint="eastAsia"/>
                      <w:color w:val="auto"/>
                      <w:szCs w:val="21"/>
                    </w:rPr>
                    <w:t>员工生活</w:t>
                  </w:r>
                </w:p>
              </w:tc>
              <w:tc>
                <w:tcPr>
                  <w:tcW w:w="514" w:type="dxa"/>
                  <w:vAlign w:val="center"/>
                </w:tcPr>
                <w:p w14:paraId="26C08643">
                  <w:pPr>
                    <w:jc w:val="center"/>
                    <w:rPr>
                      <w:color w:val="auto"/>
                      <w:szCs w:val="21"/>
                    </w:rPr>
                  </w:pPr>
                  <w:r>
                    <w:rPr>
                      <w:color w:val="auto"/>
                      <w:szCs w:val="21"/>
                    </w:rPr>
                    <w:t>/</w:t>
                  </w:r>
                </w:p>
              </w:tc>
              <w:tc>
                <w:tcPr>
                  <w:tcW w:w="997" w:type="dxa"/>
                  <w:vAlign w:val="center"/>
                </w:tcPr>
                <w:p w14:paraId="72BF436D">
                  <w:pPr>
                    <w:jc w:val="center"/>
                    <w:rPr>
                      <w:rFonts w:hint="eastAsia" w:eastAsia="宋体"/>
                      <w:color w:val="auto"/>
                      <w:lang w:eastAsia="zh-CN"/>
                    </w:rPr>
                  </w:pPr>
                  <w:r>
                    <w:rPr>
                      <w:color w:val="auto"/>
                      <w:szCs w:val="21"/>
                    </w:rPr>
                    <w:t>生活污水</w:t>
                  </w:r>
                </w:p>
              </w:tc>
              <w:tc>
                <w:tcPr>
                  <w:tcW w:w="1493" w:type="dxa"/>
                  <w:vAlign w:val="center"/>
                </w:tcPr>
                <w:p w14:paraId="3F375799">
                  <w:pPr>
                    <w:jc w:val="center"/>
                    <w:rPr>
                      <w:color w:val="auto"/>
                      <w:szCs w:val="21"/>
                    </w:rPr>
                  </w:pPr>
                  <w:r>
                    <w:rPr>
                      <w:color w:val="auto"/>
                    </w:rPr>
                    <w:t>COD、SS、</w:t>
                  </w:r>
                  <w:r>
                    <w:rPr>
                      <w:rFonts w:hint="eastAsia"/>
                      <w:color w:val="auto"/>
                    </w:rPr>
                    <w:t>NH</w:t>
                  </w:r>
                  <w:r>
                    <w:rPr>
                      <w:rFonts w:hint="eastAsia"/>
                      <w:color w:val="auto"/>
                      <w:vertAlign w:val="subscript"/>
                    </w:rPr>
                    <w:t>3</w:t>
                  </w:r>
                  <w:r>
                    <w:rPr>
                      <w:rFonts w:hint="eastAsia"/>
                      <w:color w:val="auto"/>
                    </w:rPr>
                    <w:t>-N</w:t>
                  </w:r>
                  <w:r>
                    <w:rPr>
                      <w:color w:val="auto"/>
                    </w:rPr>
                    <w:t>、</w:t>
                  </w:r>
                  <w:r>
                    <w:rPr>
                      <w:rFonts w:hint="eastAsia"/>
                      <w:color w:val="auto"/>
                    </w:rPr>
                    <w:t>TP</w:t>
                  </w:r>
                  <w:r>
                    <w:rPr>
                      <w:color w:val="auto"/>
                    </w:rPr>
                    <w:t>、</w:t>
                  </w:r>
                  <w:r>
                    <w:rPr>
                      <w:rFonts w:hint="eastAsia"/>
                      <w:color w:val="auto"/>
                    </w:rPr>
                    <w:t>TN</w:t>
                  </w:r>
                </w:p>
              </w:tc>
              <w:tc>
                <w:tcPr>
                  <w:tcW w:w="3653" w:type="dxa"/>
                  <w:gridSpan w:val="3"/>
                  <w:vAlign w:val="center"/>
                </w:tcPr>
                <w:p w14:paraId="1EA86F53">
                  <w:pPr>
                    <w:jc w:val="center"/>
                    <w:rPr>
                      <w:rFonts w:hint="eastAsia" w:eastAsia="宋体"/>
                      <w:color w:val="auto"/>
                      <w:szCs w:val="21"/>
                      <w:lang w:eastAsia="zh-CN"/>
                    </w:rPr>
                  </w:pPr>
                  <w:r>
                    <w:rPr>
                      <w:color w:val="auto"/>
                      <w:szCs w:val="21"/>
                    </w:rPr>
                    <w:t>经化粪池处理后</w:t>
                  </w:r>
                  <w:r>
                    <w:rPr>
                      <w:rFonts w:hint="eastAsia"/>
                      <w:color w:val="auto"/>
                      <w:szCs w:val="21"/>
                      <w:lang w:eastAsia="zh-CN"/>
                    </w:rPr>
                    <w:t>接管高沟镇污水处理厂</w:t>
                  </w:r>
                </w:p>
              </w:tc>
            </w:tr>
            <w:tr w14:paraId="03A3A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restart"/>
                  <w:vAlign w:val="center"/>
                </w:tcPr>
                <w:p w14:paraId="6C0BC689">
                  <w:pPr>
                    <w:jc w:val="center"/>
                    <w:rPr>
                      <w:color w:val="auto"/>
                      <w:szCs w:val="21"/>
                    </w:rPr>
                  </w:pPr>
                  <w:r>
                    <w:rPr>
                      <w:color w:val="auto"/>
                      <w:szCs w:val="21"/>
                    </w:rPr>
                    <w:t>固废</w:t>
                  </w:r>
                </w:p>
              </w:tc>
              <w:tc>
                <w:tcPr>
                  <w:tcW w:w="1102" w:type="dxa"/>
                  <w:vAlign w:val="center"/>
                </w:tcPr>
                <w:p w14:paraId="2A4EDAE9">
                  <w:pPr>
                    <w:jc w:val="center"/>
                    <w:rPr>
                      <w:color w:val="auto"/>
                      <w:szCs w:val="21"/>
                    </w:rPr>
                  </w:pPr>
                  <w:r>
                    <w:rPr>
                      <w:rFonts w:hint="eastAsia"/>
                      <w:color w:val="auto"/>
                      <w:szCs w:val="21"/>
                    </w:rPr>
                    <w:t>旋切</w:t>
                  </w:r>
                </w:p>
              </w:tc>
              <w:tc>
                <w:tcPr>
                  <w:tcW w:w="514" w:type="dxa"/>
                  <w:vAlign w:val="center"/>
                </w:tcPr>
                <w:p w14:paraId="3A2F5658">
                  <w:pPr>
                    <w:jc w:val="center"/>
                    <w:rPr>
                      <w:color w:val="auto"/>
                      <w:szCs w:val="21"/>
                    </w:rPr>
                  </w:pPr>
                  <w:r>
                    <w:rPr>
                      <w:color w:val="auto"/>
                      <w:szCs w:val="21"/>
                    </w:rPr>
                    <w:t>S1</w:t>
                  </w:r>
                </w:p>
              </w:tc>
              <w:tc>
                <w:tcPr>
                  <w:tcW w:w="997" w:type="dxa"/>
                  <w:vAlign w:val="center"/>
                </w:tcPr>
                <w:p w14:paraId="3FC0D104">
                  <w:pPr>
                    <w:jc w:val="center"/>
                    <w:rPr>
                      <w:color w:val="auto"/>
                      <w:szCs w:val="21"/>
                    </w:rPr>
                  </w:pPr>
                  <w:r>
                    <w:rPr>
                      <w:color w:val="auto"/>
                      <w:szCs w:val="21"/>
                    </w:rPr>
                    <w:t>边角料</w:t>
                  </w:r>
                </w:p>
              </w:tc>
              <w:tc>
                <w:tcPr>
                  <w:tcW w:w="1493" w:type="dxa"/>
                  <w:vAlign w:val="center"/>
                </w:tcPr>
                <w:p w14:paraId="3E4613EE">
                  <w:pPr>
                    <w:jc w:val="center"/>
                    <w:rPr>
                      <w:color w:val="auto"/>
                      <w:szCs w:val="21"/>
                    </w:rPr>
                  </w:pPr>
                  <w:r>
                    <w:rPr>
                      <w:color w:val="auto"/>
                      <w:szCs w:val="21"/>
                    </w:rPr>
                    <w:t>木质边角料</w:t>
                  </w:r>
                </w:p>
              </w:tc>
              <w:tc>
                <w:tcPr>
                  <w:tcW w:w="2571" w:type="dxa"/>
                  <w:gridSpan w:val="2"/>
                  <w:vAlign w:val="center"/>
                </w:tcPr>
                <w:p w14:paraId="3B6D341D">
                  <w:pPr>
                    <w:jc w:val="center"/>
                    <w:rPr>
                      <w:color w:val="auto"/>
                      <w:szCs w:val="21"/>
                    </w:rPr>
                  </w:pPr>
                  <w:r>
                    <w:rPr>
                      <w:color w:val="auto"/>
                      <w:szCs w:val="21"/>
                    </w:rPr>
                    <w:t>一般固废暂存库</w:t>
                  </w:r>
                </w:p>
              </w:tc>
              <w:tc>
                <w:tcPr>
                  <w:tcW w:w="1082" w:type="dxa"/>
                  <w:vAlign w:val="center"/>
                </w:tcPr>
                <w:p w14:paraId="534105D7">
                  <w:pPr>
                    <w:jc w:val="center"/>
                    <w:rPr>
                      <w:color w:val="auto"/>
                      <w:szCs w:val="21"/>
                    </w:rPr>
                  </w:pPr>
                  <w:r>
                    <w:rPr>
                      <w:color w:val="auto"/>
                      <w:szCs w:val="21"/>
                    </w:rPr>
                    <w:t>外售资源回收单位</w:t>
                  </w:r>
                </w:p>
              </w:tc>
            </w:tr>
            <w:tr w14:paraId="4DBCF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2078D971">
                  <w:pPr>
                    <w:jc w:val="center"/>
                    <w:rPr>
                      <w:color w:val="auto"/>
                      <w:szCs w:val="21"/>
                    </w:rPr>
                  </w:pPr>
                  <w:r>
                    <w:rPr>
                      <w:rFonts w:hint="eastAsia"/>
                      <w:color w:val="auto"/>
                      <w:szCs w:val="21"/>
                    </w:rPr>
                    <w:t>涂胶</w:t>
                  </w:r>
                </w:p>
              </w:tc>
              <w:tc>
                <w:tcPr>
                  <w:tcW w:w="1102" w:type="dxa"/>
                  <w:vAlign w:val="center"/>
                </w:tcPr>
                <w:p w14:paraId="50EDA3B1">
                  <w:pPr>
                    <w:jc w:val="center"/>
                    <w:rPr>
                      <w:color w:val="auto"/>
                      <w:szCs w:val="21"/>
                    </w:rPr>
                  </w:pPr>
                  <w:r>
                    <w:rPr>
                      <w:rFonts w:hint="eastAsia"/>
                      <w:color w:val="auto"/>
                      <w:szCs w:val="21"/>
                    </w:rPr>
                    <w:t>涂胶</w:t>
                  </w:r>
                </w:p>
              </w:tc>
              <w:tc>
                <w:tcPr>
                  <w:tcW w:w="514" w:type="dxa"/>
                  <w:vAlign w:val="center"/>
                </w:tcPr>
                <w:p w14:paraId="59EE863D">
                  <w:pPr>
                    <w:jc w:val="center"/>
                    <w:rPr>
                      <w:color w:val="auto"/>
                      <w:szCs w:val="21"/>
                    </w:rPr>
                  </w:pPr>
                  <w:r>
                    <w:rPr>
                      <w:rFonts w:hint="eastAsia"/>
                      <w:color w:val="auto"/>
                      <w:szCs w:val="21"/>
                    </w:rPr>
                    <w:t>S2</w:t>
                  </w:r>
                </w:p>
              </w:tc>
              <w:tc>
                <w:tcPr>
                  <w:tcW w:w="997" w:type="dxa"/>
                  <w:vAlign w:val="center"/>
                </w:tcPr>
                <w:p w14:paraId="780FEECD">
                  <w:pPr>
                    <w:jc w:val="center"/>
                    <w:rPr>
                      <w:color w:val="auto"/>
                      <w:szCs w:val="21"/>
                    </w:rPr>
                  </w:pPr>
                  <w:r>
                    <w:rPr>
                      <w:rFonts w:hint="eastAsia"/>
                      <w:color w:val="auto"/>
                      <w:szCs w:val="21"/>
                    </w:rPr>
                    <w:t>废胶桶</w:t>
                  </w:r>
                </w:p>
              </w:tc>
              <w:tc>
                <w:tcPr>
                  <w:tcW w:w="1493" w:type="dxa"/>
                  <w:vAlign w:val="center"/>
                </w:tcPr>
                <w:p w14:paraId="3FF2CF74">
                  <w:pPr>
                    <w:jc w:val="center"/>
                    <w:rPr>
                      <w:color w:val="auto"/>
                      <w:szCs w:val="21"/>
                    </w:rPr>
                  </w:pPr>
                  <w:r>
                    <w:rPr>
                      <w:rFonts w:hint="eastAsia"/>
                      <w:color w:val="auto"/>
                      <w:szCs w:val="21"/>
                    </w:rPr>
                    <w:t>胶</w:t>
                  </w:r>
                </w:p>
              </w:tc>
              <w:tc>
                <w:tcPr>
                  <w:tcW w:w="2571" w:type="dxa"/>
                  <w:gridSpan w:val="2"/>
                  <w:vAlign w:val="center"/>
                </w:tcPr>
                <w:p w14:paraId="0CCAF6AB">
                  <w:pPr>
                    <w:jc w:val="center"/>
                    <w:rPr>
                      <w:color w:val="auto"/>
                      <w:szCs w:val="21"/>
                    </w:rPr>
                  </w:pPr>
                  <w:r>
                    <w:rPr>
                      <w:color w:val="auto"/>
                      <w:szCs w:val="21"/>
                    </w:rPr>
                    <w:t>危废库</w:t>
                  </w:r>
                </w:p>
              </w:tc>
              <w:tc>
                <w:tcPr>
                  <w:tcW w:w="1082" w:type="dxa"/>
                  <w:vAlign w:val="center"/>
                </w:tcPr>
                <w:p w14:paraId="4A7AEB11">
                  <w:pPr>
                    <w:jc w:val="center"/>
                    <w:rPr>
                      <w:color w:val="auto"/>
                      <w:szCs w:val="21"/>
                    </w:rPr>
                  </w:pPr>
                  <w:r>
                    <w:rPr>
                      <w:color w:val="auto"/>
                      <w:szCs w:val="21"/>
                    </w:rPr>
                    <w:t>委托有资质单位</w:t>
                  </w:r>
                  <w:r>
                    <w:rPr>
                      <w:color w:val="auto"/>
                    </w:rPr>
                    <w:t>安全处置</w:t>
                  </w:r>
                </w:p>
              </w:tc>
            </w:tr>
            <w:tr w14:paraId="50E0D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66FDC41A">
                  <w:pPr>
                    <w:jc w:val="center"/>
                    <w:rPr>
                      <w:rFonts w:hint="eastAsia"/>
                      <w:color w:val="auto"/>
                      <w:szCs w:val="21"/>
                    </w:rPr>
                  </w:pPr>
                </w:p>
              </w:tc>
              <w:tc>
                <w:tcPr>
                  <w:tcW w:w="1102" w:type="dxa"/>
                  <w:vAlign w:val="center"/>
                </w:tcPr>
                <w:p w14:paraId="1DF8BBD0">
                  <w:pPr>
                    <w:jc w:val="center"/>
                    <w:rPr>
                      <w:rFonts w:hint="eastAsia"/>
                      <w:color w:val="auto"/>
                      <w:szCs w:val="21"/>
                    </w:rPr>
                  </w:pPr>
                  <w:r>
                    <w:rPr>
                      <w:rFonts w:hint="eastAsia"/>
                      <w:color w:val="auto"/>
                      <w:szCs w:val="21"/>
                    </w:rPr>
                    <w:t>涂胶</w:t>
                  </w:r>
                </w:p>
              </w:tc>
              <w:tc>
                <w:tcPr>
                  <w:tcW w:w="514" w:type="dxa"/>
                  <w:vAlign w:val="center"/>
                </w:tcPr>
                <w:p w14:paraId="62B12CB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S3</w:t>
                  </w:r>
                </w:p>
              </w:tc>
              <w:tc>
                <w:tcPr>
                  <w:tcW w:w="997" w:type="dxa"/>
                  <w:vAlign w:val="center"/>
                </w:tcPr>
                <w:p w14:paraId="67B6031E">
                  <w:pPr>
                    <w:jc w:val="center"/>
                    <w:rPr>
                      <w:rFonts w:hint="eastAsia" w:eastAsia="宋体"/>
                      <w:color w:val="auto"/>
                      <w:szCs w:val="21"/>
                      <w:lang w:eastAsia="zh-CN"/>
                    </w:rPr>
                  </w:pPr>
                  <w:r>
                    <w:rPr>
                      <w:rFonts w:hint="eastAsia"/>
                      <w:color w:val="auto"/>
                      <w:szCs w:val="21"/>
                      <w:lang w:eastAsia="zh-CN"/>
                    </w:rPr>
                    <w:t>清洗废水</w:t>
                  </w:r>
                </w:p>
              </w:tc>
              <w:tc>
                <w:tcPr>
                  <w:tcW w:w="1493" w:type="dxa"/>
                  <w:vAlign w:val="center"/>
                </w:tcPr>
                <w:p w14:paraId="0C445E86">
                  <w:pPr>
                    <w:jc w:val="center"/>
                    <w:rPr>
                      <w:rFonts w:hint="eastAsia"/>
                      <w:color w:val="auto"/>
                      <w:szCs w:val="21"/>
                    </w:rPr>
                  </w:pPr>
                  <w:r>
                    <w:rPr>
                      <w:rFonts w:hint="eastAsia"/>
                      <w:color w:val="auto"/>
                      <w:szCs w:val="21"/>
                    </w:rPr>
                    <w:t>胶</w:t>
                  </w:r>
                </w:p>
              </w:tc>
              <w:tc>
                <w:tcPr>
                  <w:tcW w:w="2571" w:type="dxa"/>
                  <w:gridSpan w:val="2"/>
                  <w:vAlign w:val="center"/>
                </w:tcPr>
                <w:p w14:paraId="4219A47B">
                  <w:pPr>
                    <w:jc w:val="center"/>
                    <w:rPr>
                      <w:rFonts w:ascii="Times New Roman" w:hAnsi="Times New Roman" w:eastAsia="宋体" w:cs="Times New Roman"/>
                      <w:color w:val="auto"/>
                      <w:kern w:val="2"/>
                      <w:sz w:val="21"/>
                      <w:szCs w:val="21"/>
                      <w:lang w:val="en-US" w:eastAsia="zh-CN" w:bidi="ar-SA"/>
                    </w:rPr>
                  </w:pPr>
                  <w:r>
                    <w:rPr>
                      <w:color w:val="auto"/>
                      <w:szCs w:val="21"/>
                    </w:rPr>
                    <w:t>危废库</w:t>
                  </w:r>
                </w:p>
              </w:tc>
              <w:tc>
                <w:tcPr>
                  <w:tcW w:w="1082" w:type="dxa"/>
                  <w:vAlign w:val="center"/>
                </w:tcPr>
                <w:p w14:paraId="52A470DD">
                  <w:pPr>
                    <w:jc w:val="center"/>
                    <w:rPr>
                      <w:rFonts w:ascii="Times New Roman" w:hAnsi="Times New Roman" w:eastAsia="宋体" w:cs="Times New Roman"/>
                      <w:color w:val="auto"/>
                      <w:kern w:val="2"/>
                      <w:sz w:val="21"/>
                      <w:szCs w:val="21"/>
                      <w:lang w:val="en-US" w:eastAsia="zh-CN" w:bidi="ar-SA"/>
                    </w:rPr>
                  </w:pPr>
                  <w:r>
                    <w:rPr>
                      <w:color w:val="auto"/>
                      <w:szCs w:val="21"/>
                    </w:rPr>
                    <w:t>委托有资质单位</w:t>
                  </w:r>
                  <w:r>
                    <w:rPr>
                      <w:color w:val="auto"/>
                    </w:rPr>
                    <w:t>安全处置</w:t>
                  </w:r>
                </w:p>
              </w:tc>
            </w:tr>
            <w:tr w14:paraId="2EBD2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08F743BE">
                  <w:pPr>
                    <w:jc w:val="center"/>
                    <w:rPr>
                      <w:color w:val="auto"/>
                      <w:szCs w:val="21"/>
                    </w:rPr>
                  </w:pPr>
                </w:p>
              </w:tc>
              <w:tc>
                <w:tcPr>
                  <w:tcW w:w="1102" w:type="dxa"/>
                  <w:vAlign w:val="center"/>
                </w:tcPr>
                <w:p w14:paraId="38E9ADA2">
                  <w:pPr>
                    <w:jc w:val="center"/>
                    <w:rPr>
                      <w:color w:val="auto"/>
                      <w:szCs w:val="21"/>
                    </w:rPr>
                  </w:pPr>
                  <w:r>
                    <w:rPr>
                      <w:color w:val="auto"/>
                      <w:szCs w:val="21"/>
                    </w:rPr>
                    <w:t>设备维护</w:t>
                  </w:r>
                </w:p>
              </w:tc>
              <w:tc>
                <w:tcPr>
                  <w:tcW w:w="514" w:type="dxa"/>
                  <w:vAlign w:val="center"/>
                </w:tcPr>
                <w:p w14:paraId="05B59EF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S4</w:t>
                  </w:r>
                </w:p>
              </w:tc>
              <w:tc>
                <w:tcPr>
                  <w:tcW w:w="997" w:type="dxa"/>
                  <w:vAlign w:val="center"/>
                </w:tcPr>
                <w:p w14:paraId="4217D1A0">
                  <w:pPr>
                    <w:jc w:val="center"/>
                    <w:rPr>
                      <w:color w:val="auto"/>
                      <w:szCs w:val="21"/>
                    </w:rPr>
                  </w:pPr>
                  <w:r>
                    <w:rPr>
                      <w:color w:val="auto"/>
                      <w:szCs w:val="21"/>
                    </w:rPr>
                    <w:t>废</w:t>
                  </w:r>
                  <w:r>
                    <w:rPr>
                      <w:rFonts w:hint="eastAsia"/>
                      <w:color w:val="auto"/>
                      <w:szCs w:val="21"/>
                    </w:rPr>
                    <w:t>油桶</w:t>
                  </w:r>
                </w:p>
              </w:tc>
              <w:tc>
                <w:tcPr>
                  <w:tcW w:w="1493" w:type="dxa"/>
                  <w:vAlign w:val="center"/>
                </w:tcPr>
                <w:p w14:paraId="12B2679E">
                  <w:pPr>
                    <w:jc w:val="center"/>
                    <w:rPr>
                      <w:color w:val="auto"/>
                      <w:szCs w:val="21"/>
                    </w:rPr>
                  </w:pPr>
                  <w:r>
                    <w:rPr>
                      <w:rFonts w:hint="eastAsia"/>
                      <w:color w:val="auto"/>
                      <w:szCs w:val="21"/>
                    </w:rPr>
                    <w:t>液压</w:t>
                  </w:r>
                  <w:r>
                    <w:rPr>
                      <w:color w:val="auto"/>
                      <w:szCs w:val="21"/>
                    </w:rPr>
                    <w:t>油</w:t>
                  </w:r>
                </w:p>
              </w:tc>
              <w:tc>
                <w:tcPr>
                  <w:tcW w:w="2571" w:type="dxa"/>
                  <w:gridSpan w:val="2"/>
                  <w:vAlign w:val="center"/>
                </w:tcPr>
                <w:p w14:paraId="7CD993C6">
                  <w:pPr>
                    <w:jc w:val="center"/>
                    <w:rPr>
                      <w:color w:val="auto"/>
                      <w:szCs w:val="21"/>
                    </w:rPr>
                  </w:pPr>
                  <w:r>
                    <w:rPr>
                      <w:color w:val="auto"/>
                      <w:szCs w:val="21"/>
                    </w:rPr>
                    <w:t>危废库</w:t>
                  </w:r>
                </w:p>
              </w:tc>
              <w:tc>
                <w:tcPr>
                  <w:tcW w:w="1082" w:type="dxa"/>
                  <w:vAlign w:val="center"/>
                </w:tcPr>
                <w:p w14:paraId="684A6FA2">
                  <w:pPr>
                    <w:jc w:val="center"/>
                    <w:rPr>
                      <w:color w:val="auto"/>
                      <w:szCs w:val="21"/>
                    </w:rPr>
                  </w:pPr>
                  <w:r>
                    <w:rPr>
                      <w:color w:val="auto"/>
                      <w:szCs w:val="21"/>
                    </w:rPr>
                    <w:t>委托有资质单位</w:t>
                  </w:r>
                  <w:r>
                    <w:rPr>
                      <w:color w:val="auto"/>
                    </w:rPr>
                    <w:t>安全处置</w:t>
                  </w:r>
                </w:p>
              </w:tc>
            </w:tr>
            <w:tr w14:paraId="150C1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3F7F7468">
                  <w:pPr>
                    <w:jc w:val="center"/>
                    <w:rPr>
                      <w:color w:val="auto"/>
                      <w:szCs w:val="21"/>
                    </w:rPr>
                  </w:pPr>
                </w:p>
              </w:tc>
              <w:tc>
                <w:tcPr>
                  <w:tcW w:w="1102" w:type="dxa"/>
                  <w:vAlign w:val="center"/>
                </w:tcPr>
                <w:p w14:paraId="1A59EC58">
                  <w:pPr>
                    <w:jc w:val="center"/>
                    <w:rPr>
                      <w:color w:val="auto"/>
                      <w:szCs w:val="21"/>
                    </w:rPr>
                  </w:pPr>
                  <w:r>
                    <w:rPr>
                      <w:rFonts w:hint="eastAsia"/>
                      <w:color w:val="auto"/>
                      <w:szCs w:val="21"/>
                      <w:lang w:eastAsia="zh-CN"/>
                    </w:rPr>
                    <w:t>设备维护</w:t>
                  </w:r>
                </w:p>
              </w:tc>
              <w:tc>
                <w:tcPr>
                  <w:tcW w:w="514" w:type="dxa"/>
                  <w:vAlign w:val="center"/>
                </w:tcPr>
                <w:p w14:paraId="0F0569B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w:t>
                  </w:r>
                  <w:r>
                    <w:rPr>
                      <w:rFonts w:hint="eastAsia"/>
                      <w:color w:val="auto"/>
                      <w:szCs w:val="21"/>
                      <w:lang w:val="en-US" w:eastAsia="zh-CN"/>
                    </w:rPr>
                    <w:t>5</w:t>
                  </w:r>
                </w:p>
              </w:tc>
              <w:tc>
                <w:tcPr>
                  <w:tcW w:w="997" w:type="dxa"/>
                  <w:vAlign w:val="center"/>
                </w:tcPr>
                <w:p w14:paraId="4A1C091A">
                  <w:pPr>
                    <w:jc w:val="center"/>
                    <w:rPr>
                      <w:color w:val="auto"/>
                      <w:szCs w:val="21"/>
                    </w:rPr>
                  </w:pPr>
                  <w:r>
                    <w:rPr>
                      <w:rFonts w:hint="eastAsia"/>
                      <w:color w:val="auto"/>
                      <w:szCs w:val="21"/>
                    </w:rPr>
                    <w:t>废抹布</w:t>
                  </w:r>
                </w:p>
              </w:tc>
              <w:tc>
                <w:tcPr>
                  <w:tcW w:w="1493" w:type="dxa"/>
                  <w:vAlign w:val="center"/>
                </w:tcPr>
                <w:p w14:paraId="15FF8423">
                  <w:pPr>
                    <w:jc w:val="center"/>
                    <w:rPr>
                      <w:rFonts w:hint="eastAsia" w:eastAsia="宋体"/>
                      <w:color w:val="auto"/>
                      <w:szCs w:val="21"/>
                      <w:lang w:eastAsia="zh-CN"/>
                    </w:rPr>
                  </w:pPr>
                  <w:r>
                    <w:rPr>
                      <w:rFonts w:hint="eastAsia"/>
                      <w:color w:val="auto"/>
                      <w:szCs w:val="21"/>
                      <w:lang w:eastAsia="zh-CN"/>
                    </w:rPr>
                    <w:t>油</w:t>
                  </w:r>
                </w:p>
              </w:tc>
              <w:tc>
                <w:tcPr>
                  <w:tcW w:w="2571" w:type="dxa"/>
                  <w:gridSpan w:val="2"/>
                  <w:vAlign w:val="center"/>
                </w:tcPr>
                <w:p w14:paraId="20A61EDE">
                  <w:pPr>
                    <w:jc w:val="center"/>
                    <w:rPr>
                      <w:color w:val="auto"/>
                      <w:szCs w:val="21"/>
                    </w:rPr>
                  </w:pPr>
                  <w:r>
                    <w:rPr>
                      <w:color w:val="auto"/>
                      <w:szCs w:val="21"/>
                    </w:rPr>
                    <w:t>危废库</w:t>
                  </w:r>
                </w:p>
              </w:tc>
              <w:tc>
                <w:tcPr>
                  <w:tcW w:w="1082" w:type="dxa"/>
                  <w:vAlign w:val="center"/>
                </w:tcPr>
                <w:p w14:paraId="507A695A">
                  <w:pPr>
                    <w:jc w:val="center"/>
                    <w:rPr>
                      <w:color w:val="auto"/>
                      <w:szCs w:val="21"/>
                    </w:rPr>
                  </w:pPr>
                  <w:r>
                    <w:rPr>
                      <w:color w:val="auto"/>
                      <w:szCs w:val="21"/>
                    </w:rPr>
                    <w:t>委托有资质单位</w:t>
                  </w:r>
                  <w:r>
                    <w:rPr>
                      <w:color w:val="auto"/>
                    </w:rPr>
                    <w:t>安全处置</w:t>
                  </w:r>
                </w:p>
              </w:tc>
            </w:tr>
            <w:tr w14:paraId="32C6A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41623924">
                  <w:pPr>
                    <w:jc w:val="center"/>
                    <w:rPr>
                      <w:color w:val="auto"/>
                      <w:szCs w:val="21"/>
                    </w:rPr>
                  </w:pPr>
                </w:p>
              </w:tc>
              <w:tc>
                <w:tcPr>
                  <w:tcW w:w="1102" w:type="dxa"/>
                  <w:vAlign w:val="center"/>
                </w:tcPr>
                <w:p w14:paraId="52DF0F14">
                  <w:pPr>
                    <w:jc w:val="center"/>
                    <w:rPr>
                      <w:rFonts w:hint="eastAsia"/>
                      <w:color w:val="auto"/>
                      <w:szCs w:val="21"/>
                      <w:lang w:eastAsia="zh-CN"/>
                    </w:rPr>
                  </w:pPr>
                  <w:r>
                    <w:rPr>
                      <w:rFonts w:hint="eastAsia"/>
                      <w:color w:val="auto"/>
                      <w:szCs w:val="21"/>
                      <w:lang w:eastAsia="zh-CN"/>
                    </w:rPr>
                    <w:t>热压</w:t>
                  </w:r>
                </w:p>
              </w:tc>
              <w:tc>
                <w:tcPr>
                  <w:tcW w:w="514" w:type="dxa"/>
                  <w:vAlign w:val="center"/>
                </w:tcPr>
                <w:p w14:paraId="7B4AB6BF">
                  <w:pPr>
                    <w:jc w:val="center"/>
                    <w:rPr>
                      <w:rFonts w:hint="default" w:eastAsia="宋体"/>
                      <w:color w:val="auto"/>
                      <w:szCs w:val="21"/>
                      <w:lang w:val="en-US" w:eastAsia="zh-CN"/>
                    </w:rPr>
                  </w:pPr>
                  <w:r>
                    <w:rPr>
                      <w:rFonts w:hint="eastAsia"/>
                      <w:color w:val="auto"/>
                      <w:szCs w:val="21"/>
                      <w:lang w:val="en-US" w:eastAsia="zh-CN"/>
                    </w:rPr>
                    <w:t>S6</w:t>
                  </w:r>
                </w:p>
              </w:tc>
              <w:tc>
                <w:tcPr>
                  <w:tcW w:w="997" w:type="dxa"/>
                  <w:vAlign w:val="center"/>
                </w:tcPr>
                <w:p w14:paraId="51353A49">
                  <w:pPr>
                    <w:jc w:val="center"/>
                    <w:rPr>
                      <w:rFonts w:hint="eastAsia" w:eastAsia="宋体"/>
                      <w:color w:val="auto"/>
                      <w:szCs w:val="21"/>
                      <w:lang w:eastAsia="zh-CN"/>
                    </w:rPr>
                  </w:pPr>
                  <w:r>
                    <w:rPr>
                      <w:rFonts w:hint="eastAsia"/>
                      <w:color w:val="auto"/>
                      <w:szCs w:val="21"/>
                      <w:lang w:eastAsia="zh-CN"/>
                    </w:rPr>
                    <w:t>水喷淋废液</w:t>
                  </w:r>
                </w:p>
              </w:tc>
              <w:tc>
                <w:tcPr>
                  <w:tcW w:w="1493" w:type="dxa"/>
                  <w:vAlign w:val="center"/>
                </w:tcPr>
                <w:p w14:paraId="18E64ED1">
                  <w:pPr>
                    <w:jc w:val="center"/>
                    <w:rPr>
                      <w:rFonts w:hint="eastAsia"/>
                      <w:color w:val="auto"/>
                      <w:szCs w:val="21"/>
                      <w:lang w:eastAsia="zh-CN"/>
                    </w:rPr>
                  </w:pPr>
                  <w:r>
                    <w:rPr>
                      <w:rFonts w:hint="eastAsia"/>
                      <w:color w:val="auto"/>
                      <w:szCs w:val="21"/>
                      <w:lang w:eastAsia="zh-CN"/>
                    </w:rPr>
                    <w:t>氨</w:t>
                  </w:r>
                </w:p>
              </w:tc>
              <w:tc>
                <w:tcPr>
                  <w:tcW w:w="2571" w:type="dxa"/>
                  <w:gridSpan w:val="2"/>
                  <w:vAlign w:val="center"/>
                </w:tcPr>
                <w:p w14:paraId="1139B6F4">
                  <w:pPr>
                    <w:jc w:val="center"/>
                    <w:rPr>
                      <w:color w:val="auto"/>
                      <w:szCs w:val="21"/>
                    </w:rPr>
                  </w:pPr>
                  <w:r>
                    <w:rPr>
                      <w:color w:val="auto"/>
                      <w:szCs w:val="21"/>
                    </w:rPr>
                    <w:t>危废库</w:t>
                  </w:r>
                </w:p>
              </w:tc>
              <w:tc>
                <w:tcPr>
                  <w:tcW w:w="1082" w:type="dxa"/>
                  <w:vAlign w:val="center"/>
                </w:tcPr>
                <w:p w14:paraId="5A1710B2">
                  <w:pPr>
                    <w:jc w:val="center"/>
                    <w:rPr>
                      <w:color w:val="auto"/>
                      <w:szCs w:val="21"/>
                    </w:rPr>
                  </w:pPr>
                  <w:r>
                    <w:rPr>
                      <w:color w:val="auto"/>
                      <w:szCs w:val="21"/>
                    </w:rPr>
                    <w:t>委托有资质单位</w:t>
                  </w:r>
                  <w:r>
                    <w:rPr>
                      <w:color w:val="auto"/>
                    </w:rPr>
                    <w:t>安全处置</w:t>
                  </w:r>
                </w:p>
              </w:tc>
            </w:tr>
            <w:tr w14:paraId="73703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58352EAB">
                  <w:pPr>
                    <w:jc w:val="center"/>
                    <w:rPr>
                      <w:color w:val="auto"/>
                      <w:szCs w:val="21"/>
                    </w:rPr>
                  </w:pPr>
                </w:p>
              </w:tc>
              <w:tc>
                <w:tcPr>
                  <w:tcW w:w="1102" w:type="dxa"/>
                  <w:vAlign w:val="center"/>
                </w:tcPr>
                <w:p w14:paraId="60D574DE">
                  <w:pPr>
                    <w:jc w:val="center"/>
                    <w:rPr>
                      <w:color w:val="auto"/>
                      <w:szCs w:val="21"/>
                    </w:rPr>
                  </w:pPr>
                  <w:r>
                    <w:rPr>
                      <w:rFonts w:hint="eastAsia"/>
                      <w:color w:val="auto"/>
                      <w:szCs w:val="21"/>
                    </w:rPr>
                    <w:t>砂光工序</w:t>
                  </w:r>
                </w:p>
              </w:tc>
              <w:tc>
                <w:tcPr>
                  <w:tcW w:w="514" w:type="dxa"/>
                  <w:vAlign w:val="center"/>
                </w:tcPr>
                <w:p w14:paraId="6A16C63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S</w:t>
                  </w:r>
                  <w:r>
                    <w:rPr>
                      <w:rFonts w:hint="eastAsia"/>
                      <w:color w:val="auto"/>
                      <w:szCs w:val="21"/>
                      <w:lang w:val="en-US" w:eastAsia="zh-CN"/>
                    </w:rPr>
                    <w:t>7</w:t>
                  </w:r>
                </w:p>
              </w:tc>
              <w:tc>
                <w:tcPr>
                  <w:tcW w:w="997" w:type="dxa"/>
                  <w:vAlign w:val="center"/>
                </w:tcPr>
                <w:p w14:paraId="5967C38B">
                  <w:pPr>
                    <w:jc w:val="center"/>
                    <w:rPr>
                      <w:color w:val="auto"/>
                      <w:szCs w:val="21"/>
                    </w:rPr>
                  </w:pPr>
                  <w:r>
                    <w:rPr>
                      <w:rFonts w:hint="eastAsia"/>
                      <w:color w:val="auto"/>
                      <w:szCs w:val="21"/>
                    </w:rPr>
                    <w:t>废砂轮片</w:t>
                  </w:r>
                </w:p>
              </w:tc>
              <w:tc>
                <w:tcPr>
                  <w:tcW w:w="1493" w:type="dxa"/>
                  <w:vAlign w:val="center"/>
                </w:tcPr>
                <w:p w14:paraId="030B24F5">
                  <w:pPr>
                    <w:jc w:val="center"/>
                    <w:rPr>
                      <w:color w:val="auto"/>
                      <w:szCs w:val="21"/>
                    </w:rPr>
                  </w:pPr>
                  <w:r>
                    <w:rPr>
                      <w:rFonts w:hint="eastAsia"/>
                      <w:color w:val="auto"/>
                      <w:szCs w:val="21"/>
                    </w:rPr>
                    <w:t>砂轮片</w:t>
                  </w:r>
                </w:p>
              </w:tc>
              <w:tc>
                <w:tcPr>
                  <w:tcW w:w="2571" w:type="dxa"/>
                  <w:gridSpan w:val="2"/>
                  <w:vAlign w:val="center"/>
                </w:tcPr>
                <w:p w14:paraId="352E9189">
                  <w:pPr>
                    <w:snapToGrid w:val="0"/>
                    <w:jc w:val="center"/>
                    <w:rPr>
                      <w:color w:val="auto"/>
                      <w:szCs w:val="21"/>
                    </w:rPr>
                  </w:pPr>
                  <w:r>
                    <w:rPr>
                      <w:color w:val="auto"/>
                      <w:szCs w:val="21"/>
                    </w:rPr>
                    <w:t>一般固废暂存库</w:t>
                  </w:r>
                </w:p>
              </w:tc>
              <w:tc>
                <w:tcPr>
                  <w:tcW w:w="1082" w:type="dxa"/>
                  <w:vAlign w:val="center"/>
                </w:tcPr>
                <w:p w14:paraId="07E3F8F5">
                  <w:pPr>
                    <w:snapToGrid w:val="0"/>
                    <w:jc w:val="center"/>
                    <w:rPr>
                      <w:color w:val="auto"/>
                      <w:szCs w:val="21"/>
                    </w:rPr>
                  </w:pPr>
                  <w:r>
                    <w:rPr>
                      <w:color w:val="auto"/>
                      <w:szCs w:val="21"/>
                    </w:rPr>
                    <w:t>外售资源化利用</w:t>
                  </w:r>
                </w:p>
              </w:tc>
            </w:tr>
            <w:tr w14:paraId="617C5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vAlign w:val="center"/>
                </w:tcPr>
                <w:p w14:paraId="7AF1F7A9">
                  <w:pPr>
                    <w:jc w:val="center"/>
                    <w:rPr>
                      <w:color w:val="auto"/>
                      <w:szCs w:val="21"/>
                    </w:rPr>
                  </w:pPr>
                </w:p>
              </w:tc>
              <w:tc>
                <w:tcPr>
                  <w:tcW w:w="1102" w:type="dxa"/>
                  <w:vAlign w:val="center"/>
                </w:tcPr>
                <w:p w14:paraId="0DD8AEB3">
                  <w:pPr>
                    <w:jc w:val="center"/>
                    <w:rPr>
                      <w:color w:val="auto"/>
                      <w:szCs w:val="21"/>
                    </w:rPr>
                  </w:pPr>
                  <w:r>
                    <w:rPr>
                      <w:rFonts w:hint="eastAsia"/>
                      <w:color w:val="auto"/>
                      <w:szCs w:val="21"/>
                    </w:rPr>
                    <w:t>胶合板生产</w:t>
                  </w:r>
                </w:p>
              </w:tc>
              <w:tc>
                <w:tcPr>
                  <w:tcW w:w="514" w:type="dxa"/>
                  <w:vAlign w:val="center"/>
                </w:tcPr>
                <w:p w14:paraId="2CEC182F">
                  <w:pPr>
                    <w:jc w:val="center"/>
                    <w:rPr>
                      <w:rFonts w:hint="default" w:eastAsia="宋体"/>
                      <w:color w:val="auto"/>
                      <w:szCs w:val="21"/>
                      <w:lang w:val="en-US" w:eastAsia="zh-CN"/>
                    </w:rPr>
                  </w:pPr>
                  <w:r>
                    <w:rPr>
                      <w:rFonts w:hint="eastAsia"/>
                      <w:color w:val="auto"/>
                      <w:szCs w:val="21"/>
                      <w:lang w:val="en-US" w:eastAsia="zh-CN"/>
                    </w:rPr>
                    <w:t>S8</w:t>
                  </w:r>
                </w:p>
              </w:tc>
              <w:tc>
                <w:tcPr>
                  <w:tcW w:w="997" w:type="dxa"/>
                  <w:vAlign w:val="center"/>
                </w:tcPr>
                <w:p w14:paraId="5F7357D6">
                  <w:pPr>
                    <w:jc w:val="center"/>
                    <w:rPr>
                      <w:color w:val="auto"/>
                      <w:szCs w:val="21"/>
                    </w:rPr>
                  </w:pPr>
                  <w:r>
                    <w:rPr>
                      <w:rFonts w:hint="eastAsia"/>
                      <w:color w:val="auto"/>
                      <w:szCs w:val="21"/>
                    </w:rPr>
                    <w:t>不合格品</w:t>
                  </w:r>
                </w:p>
              </w:tc>
              <w:tc>
                <w:tcPr>
                  <w:tcW w:w="1493" w:type="dxa"/>
                  <w:vAlign w:val="center"/>
                </w:tcPr>
                <w:p w14:paraId="242F0DF4">
                  <w:pPr>
                    <w:jc w:val="center"/>
                    <w:rPr>
                      <w:color w:val="auto"/>
                      <w:szCs w:val="21"/>
                    </w:rPr>
                  </w:pPr>
                  <w:r>
                    <w:rPr>
                      <w:color w:val="auto"/>
                      <w:szCs w:val="21"/>
                    </w:rPr>
                    <w:t>木质</w:t>
                  </w:r>
                </w:p>
              </w:tc>
              <w:tc>
                <w:tcPr>
                  <w:tcW w:w="2571" w:type="dxa"/>
                  <w:gridSpan w:val="2"/>
                  <w:vAlign w:val="center"/>
                </w:tcPr>
                <w:p w14:paraId="317CF7AD">
                  <w:pPr>
                    <w:snapToGrid w:val="0"/>
                    <w:jc w:val="center"/>
                    <w:rPr>
                      <w:color w:val="auto"/>
                      <w:szCs w:val="21"/>
                    </w:rPr>
                  </w:pPr>
                  <w:r>
                    <w:rPr>
                      <w:color w:val="auto"/>
                      <w:szCs w:val="21"/>
                    </w:rPr>
                    <w:t>一般固废暂存库</w:t>
                  </w:r>
                </w:p>
              </w:tc>
              <w:tc>
                <w:tcPr>
                  <w:tcW w:w="1082" w:type="dxa"/>
                  <w:vAlign w:val="center"/>
                </w:tcPr>
                <w:p w14:paraId="5D318BAF">
                  <w:pPr>
                    <w:snapToGrid w:val="0"/>
                    <w:jc w:val="center"/>
                    <w:rPr>
                      <w:color w:val="auto"/>
                      <w:szCs w:val="21"/>
                    </w:rPr>
                  </w:pPr>
                  <w:r>
                    <w:rPr>
                      <w:color w:val="auto"/>
                      <w:szCs w:val="21"/>
                    </w:rPr>
                    <w:t>外售资源化利用</w:t>
                  </w:r>
                </w:p>
              </w:tc>
            </w:tr>
            <w:tr w14:paraId="73588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tcPr>
                <w:p w14:paraId="1CA565AD">
                  <w:pPr>
                    <w:jc w:val="center"/>
                    <w:rPr>
                      <w:color w:val="auto"/>
                      <w:szCs w:val="21"/>
                    </w:rPr>
                  </w:pPr>
                </w:p>
              </w:tc>
              <w:tc>
                <w:tcPr>
                  <w:tcW w:w="1102" w:type="dxa"/>
                  <w:vAlign w:val="center"/>
                </w:tcPr>
                <w:p w14:paraId="2504B4EA">
                  <w:pPr>
                    <w:adjustRightInd w:val="0"/>
                    <w:snapToGrid w:val="0"/>
                    <w:jc w:val="center"/>
                    <w:rPr>
                      <w:color w:val="auto"/>
                      <w:szCs w:val="21"/>
                    </w:rPr>
                  </w:pPr>
                  <w:r>
                    <w:rPr>
                      <w:color w:val="auto"/>
                    </w:rPr>
                    <w:t>废气处理</w:t>
                  </w:r>
                </w:p>
              </w:tc>
              <w:tc>
                <w:tcPr>
                  <w:tcW w:w="514" w:type="dxa"/>
                  <w:vAlign w:val="center"/>
                </w:tcPr>
                <w:p w14:paraId="42CBEA21">
                  <w:pPr>
                    <w:adjustRightInd w:val="0"/>
                    <w:snapToGrid w:val="0"/>
                    <w:jc w:val="center"/>
                    <w:rPr>
                      <w:color w:val="auto"/>
                    </w:rPr>
                  </w:pPr>
                  <w:r>
                    <w:rPr>
                      <w:color w:val="auto"/>
                    </w:rPr>
                    <w:t>/</w:t>
                  </w:r>
                </w:p>
              </w:tc>
              <w:tc>
                <w:tcPr>
                  <w:tcW w:w="997" w:type="dxa"/>
                  <w:vAlign w:val="center"/>
                </w:tcPr>
                <w:p w14:paraId="00A37709">
                  <w:pPr>
                    <w:adjustRightInd w:val="0"/>
                    <w:snapToGrid w:val="0"/>
                    <w:jc w:val="center"/>
                    <w:rPr>
                      <w:color w:val="auto"/>
                    </w:rPr>
                  </w:pPr>
                  <w:r>
                    <w:rPr>
                      <w:bCs/>
                      <w:color w:val="auto"/>
                      <w:kern w:val="21"/>
                      <w:szCs w:val="21"/>
                    </w:rPr>
                    <w:t>收集的颗粒物</w:t>
                  </w:r>
                </w:p>
              </w:tc>
              <w:tc>
                <w:tcPr>
                  <w:tcW w:w="1493" w:type="dxa"/>
                  <w:vAlign w:val="center"/>
                </w:tcPr>
                <w:p w14:paraId="025B9E8B">
                  <w:pPr>
                    <w:adjustRightInd w:val="0"/>
                    <w:snapToGrid w:val="0"/>
                    <w:jc w:val="center"/>
                    <w:rPr>
                      <w:color w:val="auto"/>
                      <w:szCs w:val="21"/>
                    </w:rPr>
                  </w:pPr>
                  <w:r>
                    <w:rPr>
                      <w:color w:val="auto"/>
                    </w:rPr>
                    <w:t>木颗粒物</w:t>
                  </w:r>
                  <w:r>
                    <w:rPr>
                      <w:rFonts w:hint="eastAsia"/>
                      <w:color w:val="auto"/>
                    </w:rPr>
                    <w:t>、面粉颗粒物</w:t>
                  </w:r>
                </w:p>
              </w:tc>
              <w:tc>
                <w:tcPr>
                  <w:tcW w:w="2571" w:type="dxa"/>
                  <w:gridSpan w:val="2"/>
                  <w:vAlign w:val="center"/>
                </w:tcPr>
                <w:p w14:paraId="7B84A50A">
                  <w:pPr>
                    <w:adjustRightInd w:val="0"/>
                    <w:snapToGrid w:val="0"/>
                    <w:jc w:val="center"/>
                    <w:rPr>
                      <w:color w:val="auto"/>
                      <w:szCs w:val="21"/>
                    </w:rPr>
                  </w:pPr>
                  <w:r>
                    <w:rPr>
                      <w:color w:val="auto"/>
                      <w:szCs w:val="21"/>
                    </w:rPr>
                    <w:t>一般固废暂存库</w:t>
                  </w:r>
                </w:p>
              </w:tc>
              <w:tc>
                <w:tcPr>
                  <w:tcW w:w="1082" w:type="dxa"/>
                  <w:vMerge w:val="restart"/>
                  <w:vAlign w:val="center"/>
                </w:tcPr>
                <w:p w14:paraId="78ABFD19">
                  <w:pPr>
                    <w:adjustRightInd w:val="0"/>
                    <w:snapToGrid w:val="0"/>
                    <w:jc w:val="center"/>
                    <w:rPr>
                      <w:color w:val="auto"/>
                      <w:szCs w:val="21"/>
                    </w:rPr>
                  </w:pPr>
                  <w:r>
                    <w:rPr>
                      <w:color w:val="auto"/>
                      <w:szCs w:val="21"/>
                    </w:rPr>
                    <w:t>外售资源回收单位</w:t>
                  </w:r>
                </w:p>
              </w:tc>
            </w:tr>
            <w:tr w14:paraId="466CE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tcPr>
                <w:p w14:paraId="6F838B0A">
                  <w:pPr>
                    <w:jc w:val="center"/>
                    <w:rPr>
                      <w:color w:val="auto"/>
                      <w:szCs w:val="21"/>
                    </w:rPr>
                  </w:pPr>
                </w:p>
              </w:tc>
              <w:tc>
                <w:tcPr>
                  <w:tcW w:w="1102" w:type="dxa"/>
                  <w:vAlign w:val="center"/>
                </w:tcPr>
                <w:p w14:paraId="3397D918">
                  <w:pPr>
                    <w:adjustRightInd w:val="0"/>
                    <w:snapToGrid w:val="0"/>
                    <w:jc w:val="center"/>
                    <w:rPr>
                      <w:color w:val="auto"/>
                    </w:rPr>
                  </w:pPr>
                  <w:r>
                    <w:rPr>
                      <w:color w:val="auto"/>
                    </w:rPr>
                    <w:t>废气处理</w:t>
                  </w:r>
                </w:p>
              </w:tc>
              <w:tc>
                <w:tcPr>
                  <w:tcW w:w="514" w:type="dxa"/>
                  <w:vAlign w:val="center"/>
                </w:tcPr>
                <w:p w14:paraId="5394035F">
                  <w:pPr>
                    <w:adjustRightInd w:val="0"/>
                    <w:snapToGrid w:val="0"/>
                    <w:jc w:val="center"/>
                    <w:rPr>
                      <w:color w:val="auto"/>
                    </w:rPr>
                  </w:pPr>
                  <w:r>
                    <w:rPr>
                      <w:color w:val="auto"/>
                    </w:rPr>
                    <w:t>/</w:t>
                  </w:r>
                </w:p>
              </w:tc>
              <w:tc>
                <w:tcPr>
                  <w:tcW w:w="997" w:type="dxa"/>
                  <w:vAlign w:val="center"/>
                </w:tcPr>
                <w:p w14:paraId="3D8B275E">
                  <w:pPr>
                    <w:adjustRightInd w:val="0"/>
                    <w:snapToGrid w:val="0"/>
                    <w:jc w:val="center"/>
                    <w:rPr>
                      <w:color w:val="auto"/>
                    </w:rPr>
                  </w:pPr>
                  <w:r>
                    <w:rPr>
                      <w:rFonts w:hint="eastAsia"/>
                      <w:color w:val="auto"/>
                      <w:szCs w:val="21"/>
                    </w:rPr>
                    <w:t>废布袋</w:t>
                  </w:r>
                </w:p>
              </w:tc>
              <w:tc>
                <w:tcPr>
                  <w:tcW w:w="1493" w:type="dxa"/>
                  <w:vAlign w:val="center"/>
                </w:tcPr>
                <w:p w14:paraId="20E61E70">
                  <w:pPr>
                    <w:adjustRightInd w:val="0"/>
                    <w:snapToGrid w:val="0"/>
                    <w:jc w:val="center"/>
                    <w:rPr>
                      <w:color w:val="auto"/>
                    </w:rPr>
                  </w:pPr>
                  <w:r>
                    <w:rPr>
                      <w:rFonts w:hint="eastAsia"/>
                      <w:color w:val="auto"/>
                      <w:szCs w:val="21"/>
                    </w:rPr>
                    <w:t>废布袋</w:t>
                  </w:r>
                </w:p>
              </w:tc>
              <w:tc>
                <w:tcPr>
                  <w:tcW w:w="2571" w:type="dxa"/>
                  <w:gridSpan w:val="2"/>
                  <w:vAlign w:val="center"/>
                </w:tcPr>
                <w:p w14:paraId="513007E5">
                  <w:pPr>
                    <w:adjustRightInd w:val="0"/>
                    <w:snapToGrid w:val="0"/>
                    <w:jc w:val="center"/>
                    <w:rPr>
                      <w:color w:val="auto"/>
                    </w:rPr>
                  </w:pPr>
                  <w:r>
                    <w:rPr>
                      <w:color w:val="auto"/>
                      <w:szCs w:val="21"/>
                    </w:rPr>
                    <w:t>一般固废暂存库</w:t>
                  </w:r>
                </w:p>
              </w:tc>
              <w:tc>
                <w:tcPr>
                  <w:tcW w:w="1082" w:type="dxa"/>
                  <w:vMerge w:val="continue"/>
                  <w:vAlign w:val="center"/>
                </w:tcPr>
                <w:p w14:paraId="3B1ACA4A">
                  <w:pPr>
                    <w:adjustRightInd w:val="0"/>
                    <w:snapToGrid w:val="0"/>
                    <w:jc w:val="center"/>
                    <w:rPr>
                      <w:color w:val="auto"/>
                    </w:rPr>
                  </w:pPr>
                </w:p>
              </w:tc>
            </w:tr>
            <w:tr w14:paraId="12A11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tcPr>
                <w:p w14:paraId="2B48B8D3">
                  <w:pPr>
                    <w:jc w:val="center"/>
                    <w:rPr>
                      <w:color w:val="auto"/>
                      <w:szCs w:val="21"/>
                    </w:rPr>
                  </w:pPr>
                </w:p>
              </w:tc>
              <w:tc>
                <w:tcPr>
                  <w:tcW w:w="1102" w:type="dxa"/>
                  <w:vAlign w:val="center"/>
                </w:tcPr>
                <w:p w14:paraId="22741692">
                  <w:pPr>
                    <w:adjustRightInd w:val="0"/>
                    <w:snapToGrid w:val="0"/>
                    <w:jc w:val="center"/>
                    <w:rPr>
                      <w:color w:val="auto"/>
                    </w:rPr>
                  </w:pPr>
                  <w:r>
                    <w:rPr>
                      <w:color w:val="auto"/>
                    </w:rPr>
                    <w:t>废气处理</w:t>
                  </w:r>
                </w:p>
              </w:tc>
              <w:tc>
                <w:tcPr>
                  <w:tcW w:w="514" w:type="dxa"/>
                  <w:vAlign w:val="center"/>
                </w:tcPr>
                <w:p w14:paraId="2CDE8A59">
                  <w:pPr>
                    <w:adjustRightInd w:val="0"/>
                    <w:snapToGrid w:val="0"/>
                    <w:jc w:val="center"/>
                    <w:rPr>
                      <w:color w:val="auto"/>
                    </w:rPr>
                  </w:pPr>
                  <w:r>
                    <w:rPr>
                      <w:color w:val="auto"/>
                    </w:rPr>
                    <w:t>/</w:t>
                  </w:r>
                </w:p>
              </w:tc>
              <w:tc>
                <w:tcPr>
                  <w:tcW w:w="997" w:type="dxa"/>
                  <w:vAlign w:val="center"/>
                </w:tcPr>
                <w:p w14:paraId="39C455E3">
                  <w:pPr>
                    <w:adjustRightInd w:val="0"/>
                    <w:snapToGrid w:val="0"/>
                    <w:jc w:val="center"/>
                    <w:rPr>
                      <w:color w:val="auto"/>
                    </w:rPr>
                  </w:pPr>
                  <w:r>
                    <w:rPr>
                      <w:rFonts w:hint="eastAsia"/>
                      <w:color w:val="auto"/>
                    </w:rPr>
                    <w:t>废活性炭</w:t>
                  </w:r>
                </w:p>
              </w:tc>
              <w:tc>
                <w:tcPr>
                  <w:tcW w:w="1493" w:type="dxa"/>
                  <w:vAlign w:val="center"/>
                </w:tcPr>
                <w:p w14:paraId="2FC3BD73">
                  <w:pPr>
                    <w:adjustRightInd w:val="0"/>
                    <w:snapToGrid w:val="0"/>
                    <w:jc w:val="center"/>
                    <w:rPr>
                      <w:color w:val="auto"/>
                    </w:rPr>
                  </w:pPr>
                  <w:r>
                    <w:rPr>
                      <w:bCs/>
                      <w:color w:val="auto"/>
                      <w:kern w:val="21"/>
                      <w:szCs w:val="21"/>
                    </w:rPr>
                    <w:t>甲醛</w:t>
                  </w:r>
                  <w:r>
                    <w:rPr>
                      <w:rFonts w:hint="eastAsia"/>
                      <w:bCs/>
                      <w:color w:val="auto"/>
                      <w:kern w:val="21"/>
                      <w:szCs w:val="21"/>
                    </w:rPr>
                    <w:t>、非甲烷总烃</w:t>
                  </w:r>
                </w:p>
              </w:tc>
              <w:tc>
                <w:tcPr>
                  <w:tcW w:w="2571" w:type="dxa"/>
                  <w:gridSpan w:val="2"/>
                  <w:vAlign w:val="center"/>
                </w:tcPr>
                <w:p w14:paraId="4307D43F">
                  <w:pPr>
                    <w:adjustRightInd w:val="0"/>
                    <w:snapToGrid w:val="0"/>
                    <w:jc w:val="center"/>
                    <w:rPr>
                      <w:color w:val="auto"/>
                      <w:szCs w:val="21"/>
                    </w:rPr>
                  </w:pPr>
                  <w:r>
                    <w:rPr>
                      <w:color w:val="auto"/>
                      <w:szCs w:val="21"/>
                    </w:rPr>
                    <w:t>危废</w:t>
                  </w:r>
                  <w:r>
                    <w:rPr>
                      <w:rFonts w:hint="eastAsia"/>
                      <w:color w:val="auto"/>
                      <w:szCs w:val="21"/>
                    </w:rPr>
                    <w:t>暂存间</w:t>
                  </w:r>
                </w:p>
              </w:tc>
              <w:tc>
                <w:tcPr>
                  <w:tcW w:w="1082" w:type="dxa"/>
                  <w:vAlign w:val="center"/>
                </w:tcPr>
                <w:p w14:paraId="585FD639">
                  <w:pPr>
                    <w:adjustRightInd w:val="0"/>
                    <w:snapToGrid w:val="0"/>
                    <w:jc w:val="center"/>
                    <w:rPr>
                      <w:color w:val="auto"/>
                    </w:rPr>
                  </w:pPr>
                  <w:r>
                    <w:rPr>
                      <w:color w:val="auto"/>
                      <w:szCs w:val="21"/>
                    </w:rPr>
                    <w:t>委托有资质单位</w:t>
                  </w:r>
                  <w:r>
                    <w:rPr>
                      <w:color w:val="auto"/>
                    </w:rPr>
                    <w:t>安全处置</w:t>
                  </w:r>
                </w:p>
              </w:tc>
            </w:tr>
            <w:tr w14:paraId="085D1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Merge w:val="continue"/>
                </w:tcPr>
                <w:p w14:paraId="21AF400E">
                  <w:pPr>
                    <w:jc w:val="center"/>
                    <w:rPr>
                      <w:color w:val="auto"/>
                      <w:szCs w:val="21"/>
                    </w:rPr>
                  </w:pPr>
                </w:p>
              </w:tc>
              <w:tc>
                <w:tcPr>
                  <w:tcW w:w="1102" w:type="dxa"/>
                  <w:vAlign w:val="center"/>
                </w:tcPr>
                <w:p w14:paraId="3C3E4CD2">
                  <w:pPr>
                    <w:jc w:val="center"/>
                    <w:rPr>
                      <w:color w:val="auto"/>
                      <w:szCs w:val="21"/>
                    </w:rPr>
                  </w:pPr>
                  <w:r>
                    <w:rPr>
                      <w:rFonts w:hint="eastAsia"/>
                      <w:color w:val="auto"/>
                      <w:szCs w:val="21"/>
                    </w:rPr>
                    <w:t>员工生活</w:t>
                  </w:r>
                </w:p>
              </w:tc>
              <w:tc>
                <w:tcPr>
                  <w:tcW w:w="514" w:type="dxa"/>
                  <w:vAlign w:val="center"/>
                </w:tcPr>
                <w:p w14:paraId="1B11757A">
                  <w:pPr>
                    <w:jc w:val="center"/>
                    <w:rPr>
                      <w:color w:val="auto"/>
                    </w:rPr>
                  </w:pPr>
                  <w:r>
                    <w:rPr>
                      <w:color w:val="auto"/>
                    </w:rPr>
                    <w:t>/</w:t>
                  </w:r>
                </w:p>
              </w:tc>
              <w:tc>
                <w:tcPr>
                  <w:tcW w:w="997" w:type="dxa"/>
                  <w:vAlign w:val="center"/>
                </w:tcPr>
                <w:p w14:paraId="2425A566">
                  <w:pPr>
                    <w:jc w:val="center"/>
                    <w:rPr>
                      <w:color w:val="auto"/>
                    </w:rPr>
                  </w:pPr>
                  <w:r>
                    <w:rPr>
                      <w:color w:val="auto"/>
                    </w:rPr>
                    <w:t>生活垃圾</w:t>
                  </w:r>
                </w:p>
              </w:tc>
              <w:tc>
                <w:tcPr>
                  <w:tcW w:w="1493" w:type="dxa"/>
                  <w:vAlign w:val="center"/>
                </w:tcPr>
                <w:p w14:paraId="0B8F27D3">
                  <w:pPr>
                    <w:jc w:val="center"/>
                    <w:rPr>
                      <w:color w:val="auto"/>
                      <w:szCs w:val="21"/>
                    </w:rPr>
                  </w:pPr>
                  <w:r>
                    <w:rPr>
                      <w:color w:val="auto"/>
                    </w:rPr>
                    <w:t>生活垃圾</w:t>
                  </w:r>
                </w:p>
              </w:tc>
              <w:tc>
                <w:tcPr>
                  <w:tcW w:w="2571" w:type="dxa"/>
                  <w:gridSpan w:val="2"/>
                  <w:vAlign w:val="center"/>
                </w:tcPr>
                <w:p w14:paraId="52FE88AB">
                  <w:pPr>
                    <w:jc w:val="center"/>
                    <w:rPr>
                      <w:color w:val="auto"/>
                      <w:szCs w:val="21"/>
                    </w:rPr>
                  </w:pPr>
                  <w:r>
                    <w:rPr>
                      <w:color w:val="auto"/>
                      <w:szCs w:val="21"/>
                    </w:rPr>
                    <w:t>垃圾桶</w:t>
                  </w:r>
                </w:p>
              </w:tc>
              <w:tc>
                <w:tcPr>
                  <w:tcW w:w="1082" w:type="dxa"/>
                  <w:vAlign w:val="center"/>
                </w:tcPr>
                <w:p w14:paraId="1100D829">
                  <w:pPr>
                    <w:jc w:val="center"/>
                    <w:rPr>
                      <w:color w:val="auto"/>
                      <w:szCs w:val="21"/>
                    </w:rPr>
                  </w:pPr>
                  <w:r>
                    <w:rPr>
                      <w:color w:val="auto"/>
                      <w:szCs w:val="21"/>
                    </w:rPr>
                    <w:t>环卫部门</w:t>
                  </w:r>
                </w:p>
              </w:tc>
            </w:tr>
          </w:tbl>
          <w:p w14:paraId="60A05C3A">
            <w:pPr>
              <w:spacing w:line="360" w:lineRule="auto"/>
              <w:ind w:firstLine="422" w:firstLineChars="200"/>
              <w:contextualSpacing/>
              <w:rPr>
                <w:b/>
                <w:bCs/>
                <w:color w:val="auto"/>
              </w:rPr>
            </w:pPr>
          </w:p>
          <w:p w14:paraId="3551FD59">
            <w:pPr>
              <w:tabs>
                <w:tab w:val="left" w:pos="1065"/>
                <w:tab w:val="center" w:pos="3972"/>
              </w:tabs>
              <w:adjustRightInd w:val="0"/>
              <w:snapToGrid w:val="0"/>
              <w:rPr>
                <w:bCs/>
                <w:color w:val="auto"/>
                <w:szCs w:val="21"/>
              </w:rPr>
            </w:pPr>
          </w:p>
          <w:p w14:paraId="79C74D67">
            <w:pPr>
              <w:tabs>
                <w:tab w:val="left" w:pos="1065"/>
                <w:tab w:val="center" w:pos="3972"/>
              </w:tabs>
              <w:adjustRightInd w:val="0"/>
              <w:snapToGrid w:val="0"/>
              <w:rPr>
                <w:bCs/>
                <w:color w:val="auto"/>
                <w:szCs w:val="21"/>
              </w:rPr>
            </w:pPr>
          </w:p>
          <w:p w14:paraId="1212285A">
            <w:pPr>
              <w:tabs>
                <w:tab w:val="left" w:pos="1065"/>
                <w:tab w:val="center" w:pos="3972"/>
              </w:tabs>
              <w:adjustRightInd w:val="0"/>
              <w:snapToGrid w:val="0"/>
              <w:rPr>
                <w:bCs/>
                <w:color w:val="auto"/>
                <w:szCs w:val="21"/>
              </w:rPr>
            </w:pPr>
          </w:p>
          <w:p w14:paraId="731DB6D2">
            <w:pPr>
              <w:tabs>
                <w:tab w:val="left" w:pos="1065"/>
                <w:tab w:val="center" w:pos="3972"/>
              </w:tabs>
              <w:adjustRightInd w:val="0"/>
              <w:snapToGrid w:val="0"/>
              <w:rPr>
                <w:bCs/>
                <w:color w:val="auto"/>
                <w:szCs w:val="21"/>
              </w:rPr>
            </w:pPr>
          </w:p>
          <w:p w14:paraId="43F10275">
            <w:pPr>
              <w:tabs>
                <w:tab w:val="left" w:pos="1065"/>
                <w:tab w:val="center" w:pos="3972"/>
              </w:tabs>
              <w:adjustRightInd w:val="0"/>
              <w:snapToGrid w:val="0"/>
              <w:rPr>
                <w:bCs/>
                <w:color w:val="auto"/>
                <w:szCs w:val="21"/>
              </w:rPr>
            </w:pPr>
          </w:p>
          <w:p w14:paraId="5DBE555B">
            <w:pPr>
              <w:tabs>
                <w:tab w:val="left" w:pos="1065"/>
                <w:tab w:val="center" w:pos="3972"/>
              </w:tabs>
              <w:adjustRightInd w:val="0"/>
              <w:snapToGrid w:val="0"/>
              <w:rPr>
                <w:bCs/>
                <w:color w:val="auto"/>
                <w:szCs w:val="21"/>
              </w:rPr>
            </w:pPr>
          </w:p>
          <w:p w14:paraId="20D19812">
            <w:pPr>
              <w:tabs>
                <w:tab w:val="left" w:pos="1065"/>
                <w:tab w:val="center" w:pos="3972"/>
              </w:tabs>
              <w:adjustRightInd w:val="0"/>
              <w:snapToGrid w:val="0"/>
              <w:rPr>
                <w:bCs/>
                <w:color w:val="auto"/>
                <w:szCs w:val="21"/>
              </w:rPr>
            </w:pPr>
          </w:p>
          <w:p w14:paraId="03332B03">
            <w:pPr>
              <w:tabs>
                <w:tab w:val="left" w:pos="1065"/>
                <w:tab w:val="center" w:pos="3972"/>
              </w:tabs>
              <w:adjustRightInd w:val="0"/>
              <w:snapToGrid w:val="0"/>
              <w:rPr>
                <w:bCs/>
                <w:color w:val="auto"/>
                <w:szCs w:val="21"/>
              </w:rPr>
            </w:pPr>
          </w:p>
        </w:tc>
      </w:tr>
      <w:tr w14:paraId="288D6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9" w:hRule="atLeast"/>
          <w:jc w:val="center"/>
        </w:trPr>
        <w:tc>
          <w:tcPr>
            <w:tcW w:w="511" w:type="dxa"/>
            <w:vAlign w:val="center"/>
          </w:tcPr>
          <w:p w14:paraId="07A24081">
            <w:pPr>
              <w:pStyle w:val="37"/>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324" w:type="dxa"/>
          </w:tcPr>
          <w:p w14:paraId="54445138">
            <w:pPr>
              <w:spacing w:line="360" w:lineRule="auto"/>
              <w:ind w:firstLine="480" w:firstLineChars="200"/>
              <w:rPr>
                <w:rFonts w:hint="eastAsia"/>
                <w:bCs/>
                <w:color w:val="auto"/>
                <w:sz w:val="24"/>
              </w:rPr>
            </w:pPr>
            <w:r>
              <w:rPr>
                <w:rFonts w:hint="eastAsia"/>
                <w:bCs/>
                <w:color w:val="auto"/>
                <w:sz w:val="24"/>
              </w:rPr>
              <w:t>本项目为新建项目，租赁淮安奥峰木业有限公司厂房</w:t>
            </w:r>
            <w:r>
              <w:rPr>
                <w:rFonts w:hint="eastAsia"/>
                <w:bCs/>
                <w:color w:val="auto"/>
                <w:sz w:val="24"/>
                <w:lang w:eastAsia="zh-CN"/>
              </w:rPr>
              <w:t>。原</w:t>
            </w:r>
            <w:r>
              <w:rPr>
                <w:rFonts w:hint="eastAsia"/>
                <w:bCs/>
                <w:color w:val="auto"/>
                <w:sz w:val="24"/>
              </w:rPr>
              <w:t>淮安奥峰木业有限公司</w:t>
            </w:r>
            <w:r>
              <w:rPr>
                <w:rFonts w:hint="eastAsia"/>
                <w:bCs/>
                <w:color w:val="auto"/>
                <w:sz w:val="24"/>
                <w:lang w:eastAsia="zh-CN"/>
              </w:rPr>
              <w:t>经营状况：原奥峰木业</w:t>
            </w:r>
            <w:r>
              <w:rPr>
                <w:rFonts w:hint="eastAsia"/>
                <w:bCs/>
                <w:color w:val="auto"/>
                <w:sz w:val="24"/>
              </w:rPr>
              <w:t>建设项目为木制品加工项目</w:t>
            </w:r>
            <w:r>
              <w:rPr>
                <w:rFonts w:hint="eastAsia"/>
                <w:bCs/>
                <w:color w:val="auto"/>
                <w:sz w:val="24"/>
                <w:lang w:eastAsia="zh-CN"/>
              </w:rPr>
              <w:t>，</w:t>
            </w:r>
            <w:r>
              <w:rPr>
                <w:rFonts w:hint="eastAsia"/>
                <w:bCs/>
                <w:color w:val="auto"/>
                <w:sz w:val="24"/>
              </w:rPr>
              <w:t>年产胶合板11000m</w:t>
            </w:r>
            <w:r>
              <w:rPr>
                <w:rFonts w:hint="eastAsia"/>
                <w:bCs/>
                <w:color w:val="auto"/>
                <w:sz w:val="24"/>
                <w:vertAlign w:val="superscript"/>
              </w:rPr>
              <w:t>3</w:t>
            </w:r>
            <w:r>
              <w:rPr>
                <w:rFonts w:hint="eastAsia"/>
                <w:bCs/>
                <w:color w:val="auto"/>
                <w:sz w:val="24"/>
              </w:rPr>
              <w:t>的生产规模</w:t>
            </w:r>
            <w:r>
              <w:rPr>
                <w:rFonts w:hint="eastAsia"/>
                <w:bCs/>
                <w:color w:val="auto"/>
                <w:sz w:val="24"/>
                <w:lang w:eastAsia="zh-CN"/>
              </w:rPr>
              <w:t>。</w:t>
            </w:r>
            <w:r>
              <w:rPr>
                <w:rFonts w:hint="eastAsia"/>
                <w:bCs/>
                <w:color w:val="auto"/>
                <w:sz w:val="24"/>
              </w:rPr>
              <w:t>胶合板是由木单板用胶粘剂胶合而成的三层或多层的人造板，是家具和建筑常用材料，为人造板三大板之一。项目外购半成品芯板加工成胶合板，胶合板是多层板，按规格定层，生产工序主要分为半成品芯板磨边、干燥、兑胶、涂胶、冷压、热压、砂光、锯边检验等工序，不涉及制胶工段。</w:t>
            </w:r>
          </w:p>
          <w:p w14:paraId="4C403E5C">
            <w:pPr>
              <w:spacing w:line="360" w:lineRule="auto"/>
              <w:ind w:firstLine="420" w:firstLineChars="200"/>
              <w:jc w:val="center"/>
              <w:rPr>
                <w:color w:val="auto"/>
              </w:rPr>
            </w:pPr>
            <w:r>
              <w:rPr>
                <w:color w:val="auto"/>
              </w:rPr>
              <w:object>
                <v:shape id="_x0000_i1028" o:spt="75" type="#_x0000_t75" style="height:281.1pt;width:260.95pt;" o:ole="t" filled="f" o:preferrelative="t" stroked="f" coordsize="21600,21600">
                  <v:path/>
                  <v:fill on="f" focussize="0,0"/>
                  <v:stroke on="f"/>
                  <v:imagedata r:id="rId17" o:title=""/>
                  <o:lock v:ext="edit" aspectratio="t"/>
                  <w10:wrap type="none"/>
                  <w10:anchorlock/>
                </v:shape>
                <o:OLEObject Type="Embed" ProgID="Visio.Drawing.11" ShapeID="_x0000_i1028" DrawAspect="Content" ObjectID="_1468075728" r:id="rId16">
                  <o:LockedField>false</o:LockedField>
                </o:OLEObject>
              </w:object>
            </w:r>
          </w:p>
          <w:p w14:paraId="7AAC80FD">
            <w:pPr>
              <w:spacing w:line="360" w:lineRule="auto"/>
              <w:ind w:firstLine="482" w:firstLineChars="200"/>
              <w:jc w:val="center"/>
              <w:rPr>
                <w:rFonts w:hint="eastAsia"/>
                <w:b/>
                <w:bCs w:val="0"/>
                <w:color w:val="auto"/>
                <w:sz w:val="24"/>
                <w:lang w:eastAsia="zh-CN"/>
              </w:rPr>
            </w:pPr>
            <w:r>
              <w:rPr>
                <w:rFonts w:hint="eastAsia"/>
                <w:b/>
                <w:bCs w:val="0"/>
                <w:color w:val="auto"/>
                <w:sz w:val="24"/>
                <w:lang w:eastAsia="zh-CN"/>
              </w:rPr>
              <w:t>原奥峰木业胶合板生产工艺流程图</w:t>
            </w:r>
          </w:p>
          <w:p w14:paraId="351F9B9F">
            <w:pPr>
              <w:spacing w:line="360" w:lineRule="auto"/>
              <w:ind w:firstLine="480" w:firstLineChars="200"/>
              <w:rPr>
                <w:rFonts w:hint="eastAsia"/>
                <w:bCs/>
                <w:color w:val="auto"/>
                <w:sz w:val="24"/>
                <w:lang w:eastAsia="zh-CN"/>
              </w:rPr>
            </w:pPr>
            <w:r>
              <w:rPr>
                <w:rFonts w:hint="eastAsia"/>
                <w:bCs/>
                <w:color w:val="auto"/>
                <w:sz w:val="24"/>
                <w:lang w:eastAsia="zh-CN"/>
              </w:rPr>
              <w:t>原奥峰木业废气治理措施：磨边粉尘经集气罩收集+脉冲布袋除尘器处理后1#15m排气筒排放。锅炉废气经管道收集+冷却水池+脉冲布袋除尘器处理后2#25m排气筒排放。兑胶、涂胶、冷压、热压废气经集气罩收集+UV光氧+活性炭吸附处理后3#15m排气筒排放。砂光、锯边、多边锯粉尘集气罩收集+沉降室+脉冲布袋除尘器+4#15m排气筒排放。废气得到合理的废气处理措施收集后达标排放，废水和固废零排放。</w:t>
            </w:r>
          </w:p>
          <w:p w14:paraId="7DD88121">
            <w:pPr>
              <w:spacing w:line="360" w:lineRule="auto"/>
              <w:ind w:firstLine="480" w:firstLineChars="200"/>
              <w:rPr>
                <w:rFonts w:hint="eastAsia" w:eastAsia="宋体"/>
                <w:bCs/>
                <w:color w:val="auto"/>
                <w:sz w:val="24"/>
                <w:lang w:eastAsia="zh-CN"/>
              </w:rPr>
            </w:pPr>
            <w:r>
              <w:rPr>
                <w:rFonts w:hint="eastAsia"/>
                <w:bCs/>
                <w:color w:val="auto"/>
                <w:sz w:val="24"/>
                <w:lang w:eastAsia="zh-CN"/>
              </w:rPr>
              <w:t>原奥峰木业废水治理措施：</w:t>
            </w:r>
            <w:r>
              <w:rPr>
                <w:rFonts w:hint="eastAsia"/>
                <w:color w:val="auto"/>
                <w:sz w:val="24"/>
                <w:szCs w:val="24"/>
              </w:rPr>
              <w:t>建设项目近期使用锅炉，燃烧废气冷却水定期补充不外排，远期集中供热后蒸汽冷凝水作为</w:t>
            </w:r>
            <w:r>
              <w:rPr>
                <w:rFonts w:hint="eastAsia"/>
                <w:color w:val="auto"/>
                <w:sz w:val="24"/>
                <w:szCs w:val="24"/>
                <w:lang w:eastAsia="zh-CN"/>
              </w:rPr>
              <w:t>清洗</w:t>
            </w:r>
            <w:r>
              <w:rPr>
                <w:rFonts w:hint="eastAsia"/>
                <w:color w:val="auto"/>
                <w:sz w:val="24"/>
                <w:szCs w:val="24"/>
              </w:rPr>
              <w:t>水排入雨水管网；</w:t>
            </w:r>
            <w:r>
              <w:rPr>
                <w:rFonts w:hint="eastAsia" w:hAnsi="宋体"/>
                <w:color w:val="auto"/>
                <w:sz w:val="24"/>
                <w:szCs w:val="24"/>
              </w:rPr>
              <w:t>职工生活污水近期</w:t>
            </w:r>
            <w:r>
              <w:rPr>
                <w:rFonts w:hAnsi="宋体"/>
                <w:color w:val="auto"/>
                <w:sz w:val="24"/>
                <w:szCs w:val="24"/>
              </w:rPr>
              <w:t>经</w:t>
            </w:r>
            <w:r>
              <w:rPr>
                <w:rFonts w:hint="eastAsia" w:hAnsi="宋体"/>
                <w:color w:val="auto"/>
                <w:sz w:val="24"/>
                <w:szCs w:val="24"/>
              </w:rPr>
              <w:t>化粪池</w:t>
            </w:r>
            <w:r>
              <w:rPr>
                <w:rFonts w:hAnsiTheme="minorEastAsia" w:eastAsiaTheme="minorEastAsia"/>
                <w:color w:val="auto"/>
                <w:sz w:val="24"/>
                <w:szCs w:val="24"/>
              </w:rPr>
              <w:t>预处理后用于周边肥田</w:t>
            </w:r>
            <w:r>
              <w:rPr>
                <w:rFonts w:hint="eastAsia" w:hAnsiTheme="minorEastAsia" w:eastAsiaTheme="minorEastAsia"/>
                <w:color w:val="auto"/>
                <w:sz w:val="24"/>
                <w:szCs w:val="24"/>
              </w:rPr>
              <w:t>，</w:t>
            </w:r>
            <w:r>
              <w:rPr>
                <w:rFonts w:hAnsiTheme="minorEastAsia" w:eastAsiaTheme="minorEastAsia"/>
                <w:color w:val="auto"/>
                <w:sz w:val="24"/>
                <w:szCs w:val="24"/>
              </w:rPr>
              <w:t>远期接管至</w:t>
            </w:r>
            <w:r>
              <w:rPr>
                <w:rFonts w:hint="eastAsia" w:hAnsiTheme="minorEastAsia" w:eastAsiaTheme="minorEastAsia"/>
                <w:color w:val="auto"/>
                <w:sz w:val="24"/>
                <w:szCs w:val="24"/>
              </w:rPr>
              <w:t>高沟镇污水处理厂</w:t>
            </w:r>
            <w:r>
              <w:rPr>
                <w:rFonts w:hAnsiTheme="minorEastAsia" w:eastAsiaTheme="minorEastAsia"/>
                <w:color w:val="auto"/>
                <w:sz w:val="24"/>
                <w:szCs w:val="24"/>
              </w:rPr>
              <w:t>集中处理</w:t>
            </w:r>
            <w:r>
              <w:rPr>
                <w:rFonts w:hint="eastAsia"/>
                <w:color w:val="auto"/>
                <w:sz w:val="24"/>
                <w:szCs w:val="24"/>
              </w:rPr>
              <w:t>；厂区</w:t>
            </w:r>
            <w:r>
              <w:rPr>
                <w:rFonts w:hAnsiTheme="minorEastAsia" w:eastAsiaTheme="minorEastAsia"/>
                <w:color w:val="auto"/>
                <w:sz w:val="24"/>
                <w:szCs w:val="24"/>
              </w:rPr>
              <w:t>绿化用水全部消耗，不产生外排水</w:t>
            </w:r>
            <w:r>
              <w:rPr>
                <w:rFonts w:hint="eastAsia"/>
                <w:color w:val="auto"/>
                <w:sz w:val="24"/>
                <w:szCs w:val="24"/>
              </w:rPr>
              <w:t>。</w:t>
            </w:r>
            <w:r>
              <w:rPr>
                <w:rFonts w:hint="eastAsia"/>
                <w:color w:val="auto"/>
                <w:sz w:val="24"/>
                <w:szCs w:val="24"/>
                <w:lang w:eastAsia="zh-CN"/>
              </w:rPr>
              <w:t>项目雨水排口位于厂区东北侧。</w:t>
            </w:r>
          </w:p>
          <w:p w14:paraId="266B7685">
            <w:pPr>
              <w:spacing w:line="360" w:lineRule="auto"/>
              <w:ind w:firstLine="480" w:firstLineChars="200"/>
              <w:rPr>
                <w:color w:val="auto"/>
                <w:sz w:val="24"/>
              </w:rPr>
            </w:pPr>
            <w:r>
              <w:rPr>
                <w:rFonts w:hint="eastAsia"/>
                <w:bCs/>
                <w:color w:val="auto"/>
                <w:sz w:val="24"/>
                <w:lang w:eastAsia="zh-CN"/>
              </w:rPr>
              <w:t>后由于疫情和经济等原因，企业关停，所有设备全部拆除变卖，目前是空置厂房。</w:t>
            </w:r>
            <w:r>
              <w:rPr>
                <w:rFonts w:hint="eastAsia"/>
                <w:bCs/>
                <w:color w:val="auto"/>
                <w:sz w:val="24"/>
              </w:rPr>
              <w:t>因此无与本项目有关的原有污染情况及主要环境问题，目前本项目设备目前尚未进场，无未批先建行为。</w:t>
            </w:r>
          </w:p>
        </w:tc>
      </w:tr>
    </w:tbl>
    <w:p w14:paraId="2C80A9D0">
      <w:pPr>
        <w:pStyle w:val="37"/>
        <w:jc w:val="center"/>
        <w:rPr>
          <w:rFonts w:ascii="Times New Roman" w:hAnsi="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E7658A8">
      <w:pPr>
        <w:pStyle w:val="37"/>
        <w:jc w:val="center"/>
        <w:outlineLvl w:val="0"/>
        <w:rPr>
          <w:rFonts w:ascii="Times New Roman" w:hAnsi="Times New Roman"/>
          <w:b/>
          <w:snapToGrid w:val="0"/>
          <w:sz w:val="30"/>
          <w:szCs w:val="30"/>
        </w:rPr>
      </w:pPr>
      <w:bookmarkStart w:id="25" w:name="_Toc737"/>
      <w:r>
        <w:rPr>
          <w:rFonts w:ascii="Times New Roman" w:hAnsi="Times New Roman"/>
          <w:b/>
          <w:snapToGrid w:val="0"/>
          <w:sz w:val="30"/>
          <w:szCs w:val="30"/>
        </w:rPr>
        <w:t>三、区域环境质量现状、环境保护目标及评价标准</w:t>
      </w:r>
      <w:bookmarkEnd w:id="25"/>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8541"/>
      </w:tblGrid>
      <w:tr w14:paraId="17072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20" w:type="dxa"/>
            <w:vAlign w:val="center"/>
          </w:tcPr>
          <w:p w14:paraId="0F0DA5FE">
            <w:pPr>
              <w:adjustRightInd w:val="0"/>
              <w:snapToGrid w:val="0"/>
              <w:jc w:val="center"/>
              <w:rPr>
                <w:color w:val="auto"/>
                <w:kern w:val="0"/>
                <w:sz w:val="24"/>
              </w:rPr>
            </w:pPr>
            <w:r>
              <w:rPr>
                <w:color w:val="auto"/>
                <w:kern w:val="0"/>
                <w:sz w:val="24"/>
              </w:rPr>
              <w:t>区域环境质量现状</w:t>
            </w:r>
          </w:p>
        </w:tc>
        <w:tc>
          <w:tcPr>
            <w:tcW w:w="8541" w:type="dxa"/>
            <w:vAlign w:val="center"/>
          </w:tcPr>
          <w:p w14:paraId="7A86ADC3">
            <w:pPr>
              <w:spacing w:line="360" w:lineRule="auto"/>
              <w:ind w:firstLine="482" w:firstLineChars="200"/>
              <w:rPr>
                <w:b/>
                <w:bCs/>
                <w:color w:val="auto"/>
                <w:sz w:val="24"/>
              </w:rPr>
            </w:pPr>
            <w:r>
              <w:rPr>
                <w:b/>
                <w:bCs/>
                <w:color w:val="auto"/>
                <w:sz w:val="24"/>
              </w:rPr>
              <w:t>1、环境空气质量</w:t>
            </w:r>
          </w:p>
          <w:p w14:paraId="1253A605">
            <w:pPr>
              <w:widowControl/>
              <w:adjustRightInd w:val="0"/>
              <w:snapToGrid w:val="0"/>
              <w:spacing w:line="360" w:lineRule="auto"/>
              <w:ind w:firstLine="480" w:firstLineChars="200"/>
              <w:rPr>
                <w:color w:val="auto"/>
                <w:kern w:val="0"/>
                <w:sz w:val="24"/>
                <w:szCs w:val="28"/>
              </w:rPr>
            </w:pPr>
            <w:r>
              <w:rPr>
                <w:rFonts w:hint="eastAsia"/>
                <w:color w:val="auto"/>
                <w:kern w:val="0"/>
                <w:sz w:val="24"/>
                <w:szCs w:val="28"/>
              </w:rPr>
              <w:t>（1）</w:t>
            </w:r>
            <w:r>
              <w:rPr>
                <w:color w:val="auto"/>
                <w:kern w:val="0"/>
                <w:sz w:val="24"/>
                <w:szCs w:val="28"/>
              </w:rPr>
              <w:t>项目所在区域达标判断</w:t>
            </w:r>
          </w:p>
          <w:p w14:paraId="22193F7C">
            <w:pPr>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根据淮安市生态环境局2024年6月5日发布的《2023 年淮安市生态环境状况公报》，</w:t>
            </w:r>
            <w:r>
              <w:rPr>
                <w:color w:val="auto"/>
                <w:sz w:val="24"/>
              </w:rPr>
              <w:t>2023年，全市细颗粒物（PM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）浓度年均浓度分别为36微克/立方米、58微克/立方米、8微克/立方米、25微克/立方米、1.0毫克/立方米、158微克/立方米。与2022年相比，O</w:t>
            </w:r>
            <w:r>
              <w:rPr>
                <w:color w:val="auto"/>
                <w:sz w:val="24"/>
                <w:vertAlign w:val="subscript"/>
              </w:rPr>
              <w:t>3</w:t>
            </w:r>
            <w:r>
              <w:rPr>
                <w:color w:val="auto"/>
                <w:sz w:val="24"/>
              </w:rPr>
              <w:t>污染有所改善，O</w:t>
            </w:r>
            <w:r>
              <w:rPr>
                <w:color w:val="auto"/>
                <w:sz w:val="24"/>
                <w:vertAlign w:val="subscript"/>
              </w:rPr>
              <w:t>3</w:t>
            </w:r>
            <w:r>
              <w:rPr>
                <w:color w:val="auto"/>
                <w:sz w:val="24"/>
              </w:rPr>
              <w:t>为首要污染物的超标天减少3天，PM</w:t>
            </w:r>
            <w:r>
              <w:rPr>
                <w:color w:val="auto"/>
                <w:sz w:val="24"/>
                <w:vertAlign w:val="subscript"/>
              </w:rPr>
              <w:t>2.5</w:t>
            </w:r>
            <w:r>
              <w:rPr>
                <w:color w:val="auto"/>
                <w:sz w:val="24"/>
              </w:rPr>
              <w:t>浓度有所反弹，PM</w:t>
            </w:r>
            <w:r>
              <w:rPr>
                <w:color w:val="auto"/>
                <w:sz w:val="24"/>
                <w:vertAlign w:val="subscript"/>
              </w:rPr>
              <w:t>2.5</w:t>
            </w:r>
            <w:r>
              <w:rPr>
                <w:color w:val="auto"/>
                <w:sz w:val="24"/>
              </w:rPr>
              <w:t>为首要污染物的超标天增加7天。PM</w:t>
            </w:r>
            <w:r>
              <w:rPr>
                <w:color w:val="auto"/>
                <w:sz w:val="24"/>
                <w:vertAlign w:val="subscript"/>
              </w:rPr>
              <w:t>10</w:t>
            </w:r>
            <w:r>
              <w:rPr>
                <w:color w:val="auto"/>
                <w:sz w:val="24"/>
              </w:rPr>
              <w:t>、SO</w:t>
            </w:r>
            <w:r>
              <w:rPr>
                <w:color w:val="auto"/>
                <w:sz w:val="24"/>
                <w:vertAlign w:val="subscript"/>
              </w:rPr>
              <w:t>2</w:t>
            </w:r>
            <w:r>
              <w:rPr>
                <w:color w:val="auto"/>
                <w:sz w:val="24"/>
              </w:rPr>
              <w:t>、O</w:t>
            </w:r>
            <w:r>
              <w:rPr>
                <w:color w:val="auto"/>
                <w:sz w:val="24"/>
                <w:vertAlign w:val="subscript"/>
              </w:rPr>
              <w:t>3</w:t>
            </w:r>
            <w:r>
              <w:rPr>
                <w:color w:val="auto"/>
                <w:sz w:val="24"/>
              </w:rPr>
              <w:t>降幅分别为3.3%、11.1%、0.6%。</w:t>
            </w:r>
            <w:r>
              <w:rPr>
                <w:rFonts w:hint="eastAsia"/>
                <w:color w:val="auto"/>
                <w:sz w:val="24"/>
              </w:rPr>
              <w:t>可吸入颗粒物（PM10）、二氧化硫（SO</w:t>
            </w:r>
            <w:r>
              <w:rPr>
                <w:rFonts w:hint="eastAsia"/>
                <w:color w:val="auto"/>
                <w:sz w:val="24"/>
                <w:vertAlign w:val="subscript"/>
              </w:rPr>
              <w:t>2</w:t>
            </w:r>
            <w:r>
              <w:rPr>
                <w:rFonts w:hint="eastAsia"/>
                <w:color w:val="auto"/>
                <w:sz w:val="24"/>
              </w:rPr>
              <w:t>）、二氧化氮（NO</w:t>
            </w:r>
            <w:r>
              <w:rPr>
                <w:rFonts w:hint="eastAsia"/>
                <w:color w:val="auto"/>
                <w:sz w:val="24"/>
                <w:vertAlign w:val="subscript"/>
              </w:rPr>
              <w:t>2</w:t>
            </w:r>
            <w:r>
              <w:rPr>
                <w:rFonts w:hint="eastAsia"/>
                <w:color w:val="auto"/>
                <w:sz w:val="24"/>
              </w:rPr>
              <w:t>）、一氧化碳（CO）和臭氧（O</w:t>
            </w:r>
            <w:r>
              <w:rPr>
                <w:rFonts w:hint="eastAsia"/>
                <w:color w:val="auto"/>
                <w:sz w:val="24"/>
                <w:vertAlign w:val="subscript"/>
              </w:rPr>
              <w:t>3</w:t>
            </w:r>
            <w:r>
              <w:rPr>
                <w:rFonts w:hint="eastAsia"/>
                <w:color w:val="auto"/>
                <w:sz w:val="24"/>
              </w:rPr>
              <w:t>）污染物浓度达到国家二级标准。PM</w:t>
            </w:r>
            <w:r>
              <w:rPr>
                <w:rFonts w:hint="eastAsia"/>
                <w:color w:val="auto"/>
                <w:sz w:val="24"/>
                <w:vertAlign w:val="subscript"/>
              </w:rPr>
              <w:t>2.5</w:t>
            </w:r>
            <w:r>
              <w:rPr>
                <w:rFonts w:hint="eastAsia"/>
                <w:color w:val="auto"/>
                <w:sz w:val="24"/>
              </w:rPr>
              <w:t>浓度在36微克/立方米，未达到国家二级标准，故建设项目所在地为不达标区</w:t>
            </w:r>
            <w:r>
              <w:rPr>
                <w:color w:val="auto"/>
                <w:sz w:val="24"/>
              </w:rPr>
              <w:t>。</w:t>
            </w:r>
          </w:p>
          <w:p w14:paraId="4E326A3B">
            <w:pPr>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根据引用的现状监测数据，建设项目所在区域非甲烷总烃环境质量达标。</w:t>
            </w:r>
          </w:p>
          <w:p w14:paraId="65FE247C">
            <w:pPr>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随着《淮安市2023年大气污染防治工作计划》（淮大气防治发</w:t>
            </w:r>
            <w:r>
              <w:rPr>
                <w:rFonts w:hint="eastAsia" w:eastAsiaTheme="minorEastAsia"/>
                <w:color w:val="auto"/>
                <w:kern w:val="0"/>
                <w:sz w:val="24"/>
                <w:lang w:eastAsia="zh-CN"/>
              </w:rPr>
              <w:t>〔2023〕1号</w:t>
            </w:r>
            <w:r>
              <w:rPr>
                <w:rFonts w:hint="eastAsia" w:eastAsiaTheme="minorEastAsia"/>
                <w:color w:val="auto"/>
                <w:kern w:val="0"/>
                <w:sz w:val="24"/>
              </w:rPr>
              <w:t>）、《市生态环境局“十四五”主要污染物减排实施方案》（淮环发</w:t>
            </w:r>
            <w:r>
              <w:rPr>
                <w:rFonts w:hint="eastAsia" w:eastAsiaTheme="minorEastAsia"/>
                <w:color w:val="auto"/>
                <w:kern w:val="0"/>
                <w:sz w:val="24"/>
                <w:lang w:eastAsia="zh-CN"/>
              </w:rPr>
              <w:t>〔2023〕150号</w:t>
            </w:r>
            <w:r>
              <w:rPr>
                <w:rFonts w:hint="eastAsia" w:eastAsiaTheme="minorEastAsia"/>
                <w:color w:val="auto"/>
                <w:kern w:val="0"/>
                <w:sz w:val="24"/>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176A0535">
            <w:pPr>
              <w:spacing w:line="360" w:lineRule="auto"/>
              <w:ind w:firstLine="480" w:firstLineChars="200"/>
              <w:rPr>
                <w:color w:val="auto"/>
                <w:sz w:val="24"/>
              </w:rPr>
            </w:pPr>
            <w:r>
              <w:rPr>
                <w:color w:val="auto"/>
                <w:sz w:val="24"/>
              </w:rPr>
              <w:t>（2）特征污染物环境质量现状评价</w:t>
            </w:r>
          </w:p>
          <w:p w14:paraId="1A52BAA3">
            <w:pPr>
              <w:adjustRightInd w:val="0"/>
              <w:snapToGrid w:val="0"/>
              <w:spacing w:line="360" w:lineRule="auto"/>
              <w:ind w:firstLine="480" w:firstLineChars="200"/>
              <w:rPr>
                <w:rFonts w:hint="eastAsia" w:eastAsia="宋体"/>
                <w:bCs/>
                <w:color w:val="auto"/>
                <w:sz w:val="24"/>
                <w:lang w:eastAsia="zh-CN"/>
              </w:rPr>
            </w:pPr>
            <w:r>
              <w:rPr>
                <w:color w:val="auto"/>
                <w:sz w:val="24"/>
              </w:rPr>
              <w:t>根据《环境影响评价技术导则 大气环境》（HJ2.2-2018）中6.2.2中要求引用周边现状数据。非甲烷总烃引用监测数据来自《</w:t>
            </w:r>
            <w:r>
              <w:rPr>
                <w:rFonts w:hint="eastAsia"/>
                <w:color w:val="auto"/>
                <w:sz w:val="24"/>
              </w:rPr>
              <w:t>江苏今世缘酒业股份</w:t>
            </w:r>
            <w:r>
              <w:rPr>
                <w:color w:val="auto"/>
                <w:sz w:val="24"/>
              </w:rPr>
              <w:t>有限公司监测报告》（报告编号：</w:t>
            </w:r>
            <w:r>
              <w:rPr>
                <w:rFonts w:hint="eastAsia"/>
                <w:color w:val="auto"/>
                <w:sz w:val="24"/>
              </w:rPr>
              <w:t>NTADT2304000101</w:t>
            </w:r>
            <w:r>
              <w:rPr>
                <w:color w:val="auto"/>
                <w:sz w:val="24"/>
              </w:rPr>
              <w:t>）。</w:t>
            </w:r>
            <w:r>
              <w:rPr>
                <w:rFonts w:eastAsia="宋体"/>
                <w:color w:val="auto"/>
                <w:sz w:val="24"/>
              </w:rPr>
              <w:t>本项目位于</w:t>
            </w:r>
            <w:r>
              <w:rPr>
                <w:rFonts w:hint="eastAsia" w:eastAsia="宋体"/>
                <w:color w:val="auto"/>
                <w:sz w:val="24"/>
              </w:rPr>
              <w:t>G2高沟镇三口小区</w:t>
            </w:r>
            <w:r>
              <w:rPr>
                <w:rFonts w:eastAsia="宋体"/>
                <w:color w:val="auto"/>
                <w:sz w:val="24"/>
              </w:rPr>
              <w:t>北方向约</w:t>
            </w:r>
            <w:r>
              <w:rPr>
                <w:rFonts w:hint="eastAsia" w:eastAsia="宋体"/>
                <w:color w:val="auto"/>
                <w:sz w:val="24"/>
              </w:rPr>
              <w:t>2028</w:t>
            </w:r>
            <w:r>
              <w:rPr>
                <w:rFonts w:eastAsia="宋体"/>
                <w:color w:val="auto"/>
                <w:sz w:val="24"/>
              </w:rPr>
              <w:t>m，在大气评价范围内，引用非甲烷总烃</w:t>
            </w:r>
            <w:r>
              <w:rPr>
                <w:rFonts w:hint="eastAsia"/>
                <w:color w:val="auto"/>
                <w:sz w:val="24"/>
                <w:lang w:eastAsia="zh-CN"/>
              </w:rPr>
              <w:t>、氨、臭气浓度</w:t>
            </w:r>
            <w:r>
              <w:rPr>
                <w:rFonts w:eastAsia="宋体"/>
                <w:color w:val="auto"/>
                <w:sz w:val="24"/>
              </w:rPr>
              <w:t>实测时间为202</w:t>
            </w:r>
            <w:r>
              <w:rPr>
                <w:rFonts w:hint="eastAsia" w:eastAsia="宋体"/>
                <w:color w:val="auto"/>
                <w:sz w:val="24"/>
              </w:rPr>
              <w:t>3</w:t>
            </w:r>
            <w:r>
              <w:rPr>
                <w:rFonts w:eastAsia="宋体"/>
                <w:color w:val="auto"/>
                <w:sz w:val="24"/>
              </w:rPr>
              <w:t>.</w:t>
            </w:r>
            <w:r>
              <w:rPr>
                <w:rFonts w:hint="eastAsia" w:eastAsia="宋体"/>
                <w:color w:val="auto"/>
                <w:sz w:val="24"/>
              </w:rPr>
              <w:t>1</w:t>
            </w:r>
            <w:r>
              <w:rPr>
                <w:rFonts w:eastAsia="宋体"/>
                <w:color w:val="auto"/>
                <w:sz w:val="24"/>
              </w:rPr>
              <w:t>.</w:t>
            </w:r>
            <w:r>
              <w:rPr>
                <w:rFonts w:hint="eastAsia" w:eastAsia="宋体"/>
                <w:color w:val="auto"/>
                <w:sz w:val="24"/>
              </w:rPr>
              <w:t>7</w:t>
            </w:r>
            <w:r>
              <w:rPr>
                <w:rFonts w:eastAsia="宋体"/>
                <w:color w:val="auto"/>
                <w:sz w:val="24"/>
              </w:rPr>
              <w:t>~</w:t>
            </w:r>
            <w:r>
              <w:rPr>
                <w:rFonts w:hint="eastAsia" w:eastAsia="宋体"/>
                <w:color w:val="auto"/>
                <w:sz w:val="24"/>
              </w:rPr>
              <w:t>1</w:t>
            </w:r>
            <w:r>
              <w:rPr>
                <w:rFonts w:eastAsia="宋体"/>
                <w:color w:val="auto"/>
                <w:sz w:val="24"/>
              </w:rPr>
              <w:t>.</w:t>
            </w:r>
            <w:r>
              <w:rPr>
                <w:rFonts w:hint="eastAsia" w:eastAsia="宋体"/>
                <w:color w:val="auto"/>
                <w:sz w:val="24"/>
              </w:rPr>
              <w:t>13</w:t>
            </w:r>
            <w:r>
              <w:rPr>
                <w:rFonts w:eastAsia="宋体"/>
                <w:color w:val="auto"/>
                <w:sz w:val="24"/>
              </w:rPr>
              <w:t>，符合三年有效期的要求，本次引用数据具有可行性。</w:t>
            </w:r>
            <w:r>
              <w:rPr>
                <w:rFonts w:hint="eastAsia" w:eastAsia="宋体"/>
                <w:color w:val="auto"/>
                <w:sz w:val="24"/>
                <w:lang w:eastAsia="zh-CN"/>
              </w:rPr>
              <w:t>甲醛</w:t>
            </w:r>
            <w:r>
              <w:rPr>
                <w:rFonts w:hint="eastAsia"/>
                <w:color w:val="auto"/>
                <w:sz w:val="24"/>
                <w:lang w:eastAsia="zh-CN"/>
              </w:rPr>
              <w:t>委托苏州巨成环保科技有限公司进行监测，监测时间为</w:t>
            </w:r>
            <w:r>
              <w:rPr>
                <w:rFonts w:eastAsia="宋体"/>
                <w:color w:val="auto"/>
                <w:sz w:val="24"/>
              </w:rPr>
              <w:t>202</w:t>
            </w:r>
            <w:r>
              <w:rPr>
                <w:rFonts w:hint="eastAsia" w:eastAsia="宋体"/>
                <w:color w:val="auto"/>
                <w:sz w:val="24"/>
                <w:lang w:val="en-US" w:eastAsia="zh-CN"/>
              </w:rPr>
              <w:t>4</w:t>
            </w:r>
            <w:r>
              <w:rPr>
                <w:rFonts w:eastAsia="宋体"/>
                <w:color w:val="auto"/>
                <w:sz w:val="24"/>
              </w:rPr>
              <w:t>.</w:t>
            </w:r>
            <w:r>
              <w:rPr>
                <w:rFonts w:hint="eastAsia" w:eastAsia="宋体"/>
                <w:color w:val="auto"/>
                <w:sz w:val="24"/>
              </w:rPr>
              <w:t>1</w:t>
            </w:r>
            <w:r>
              <w:rPr>
                <w:rFonts w:hint="eastAsia" w:eastAsia="宋体"/>
                <w:color w:val="auto"/>
                <w:sz w:val="24"/>
                <w:lang w:val="en-US" w:eastAsia="zh-CN"/>
              </w:rPr>
              <w:t>2</w:t>
            </w:r>
            <w:r>
              <w:rPr>
                <w:rFonts w:eastAsia="宋体"/>
                <w:color w:val="auto"/>
                <w:sz w:val="24"/>
              </w:rPr>
              <w:t>.</w:t>
            </w:r>
            <w:r>
              <w:rPr>
                <w:rFonts w:hint="eastAsia" w:eastAsia="宋体"/>
                <w:color w:val="auto"/>
                <w:sz w:val="24"/>
                <w:lang w:val="en-US" w:eastAsia="zh-CN"/>
              </w:rPr>
              <w:t>1</w:t>
            </w:r>
            <w:r>
              <w:rPr>
                <w:rFonts w:hint="eastAsia"/>
                <w:color w:val="auto"/>
                <w:sz w:val="24"/>
                <w:lang w:val="en-US" w:eastAsia="zh-CN"/>
              </w:rPr>
              <w:t>6</w:t>
            </w:r>
            <w:r>
              <w:rPr>
                <w:rFonts w:eastAsia="宋体"/>
                <w:color w:val="auto"/>
                <w:sz w:val="24"/>
              </w:rPr>
              <w:t>~</w:t>
            </w:r>
            <w:r>
              <w:rPr>
                <w:rFonts w:hint="eastAsia" w:eastAsia="宋体"/>
                <w:color w:val="auto"/>
                <w:sz w:val="24"/>
              </w:rPr>
              <w:t>1</w:t>
            </w:r>
            <w:r>
              <w:rPr>
                <w:rFonts w:hint="eastAsia" w:eastAsia="宋体"/>
                <w:color w:val="auto"/>
                <w:sz w:val="24"/>
                <w:lang w:val="en-US" w:eastAsia="zh-CN"/>
              </w:rPr>
              <w:t>2</w:t>
            </w:r>
            <w:r>
              <w:rPr>
                <w:rFonts w:eastAsia="宋体"/>
                <w:color w:val="auto"/>
                <w:sz w:val="24"/>
              </w:rPr>
              <w:t>.</w:t>
            </w:r>
            <w:r>
              <w:rPr>
                <w:rFonts w:hint="eastAsia" w:eastAsia="宋体"/>
                <w:color w:val="auto"/>
                <w:sz w:val="24"/>
                <w:lang w:val="en-US" w:eastAsia="zh-CN"/>
              </w:rPr>
              <w:t>2</w:t>
            </w:r>
            <w:r>
              <w:rPr>
                <w:rFonts w:hint="eastAsia"/>
                <w:color w:val="auto"/>
                <w:sz w:val="24"/>
                <w:lang w:val="en-US" w:eastAsia="zh-CN"/>
              </w:rPr>
              <w:t>2</w:t>
            </w:r>
            <w:r>
              <w:rPr>
                <w:rFonts w:hint="eastAsia" w:eastAsia="宋体"/>
                <w:color w:val="auto"/>
                <w:sz w:val="24"/>
                <w:lang w:eastAsia="zh-CN"/>
              </w:rPr>
              <w:t>，具体</w:t>
            </w:r>
            <w:r>
              <w:rPr>
                <w:rFonts w:hint="eastAsia"/>
                <w:color w:val="auto"/>
                <w:sz w:val="24"/>
              </w:rPr>
              <w:t>见表3-1</w:t>
            </w:r>
            <w:r>
              <w:rPr>
                <w:rFonts w:hint="eastAsia"/>
                <w:color w:val="auto"/>
                <w:sz w:val="24"/>
                <w:lang w:eastAsia="zh-CN"/>
              </w:rPr>
              <w:t>。</w:t>
            </w:r>
          </w:p>
          <w:p w14:paraId="46B3272D">
            <w:pPr>
              <w:numPr>
                <w:ilvl w:val="0"/>
                <w:numId w:val="6"/>
              </w:numPr>
              <w:adjustRightInd w:val="0"/>
              <w:snapToGrid w:val="0"/>
              <w:spacing w:line="360" w:lineRule="auto"/>
              <w:rPr>
                <w:color w:val="auto"/>
                <w:sz w:val="24"/>
              </w:rPr>
            </w:pPr>
            <w:r>
              <w:rPr>
                <w:color w:val="auto"/>
                <w:sz w:val="24"/>
              </w:rPr>
              <w:t>监测点位及监测因子</w:t>
            </w:r>
          </w:p>
          <w:p w14:paraId="51C7A0FB">
            <w:pPr>
              <w:adjustRightInd w:val="0"/>
              <w:snapToGrid w:val="0"/>
              <w:spacing w:line="360" w:lineRule="auto"/>
              <w:ind w:firstLine="480" w:firstLineChars="200"/>
              <w:rPr>
                <w:color w:val="auto"/>
                <w:sz w:val="24"/>
              </w:rPr>
            </w:pPr>
            <w:r>
              <w:rPr>
                <w:color w:val="auto"/>
                <w:sz w:val="24"/>
              </w:rPr>
              <w:t>监测点位具体布置见表3-1。</w:t>
            </w:r>
          </w:p>
          <w:p w14:paraId="14B647FF">
            <w:pPr>
              <w:keepNext/>
              <w:adjustRightInd w:val="0"/>
              <w:snapToGrid w:val="0"/>
              <w:jc w:val="center"/>
              <w:rPr>
                <w:b/>
                <w:color w:val="auto"/>
                <w:szCs w:val="21"/>
              </w:rPr>
            </w:pPr>
            <w:bookmarkStart w:id="26" w:name="_Ref531085711"/>
            <w:r>
              <w:rPr>
                <w:b/>
                <w:color w:val="auto"/>
                <w:szCs w:val="21"/>
              </w:rPr>
              <w:t>表</w:t>
            </w:r>
            <w:bookmarkEnd w:id="26"/>
            <w:r>
              <w:rPr>
                <w:b/>
                <w:color w:val="auto"/>
                <w:szCs w:val="21"/>
              </w:rPr>
              <w:t>3-1  其他污染物补充监测点位基本信息</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8"/>
              <w:gridCol w:w="973"/>
              <w:gridCol w:w="939"/>
              <w:gridCol w:w="920"/>
              <w:gridCol w:w="1131"/>
              <w:gridCol w:w="2026"/>
              <w:gridCol w:w="737"/>
              <w:gridCol w:w="1081"/>
            </w:tblGrid>
            <w:tr w14:paraId="08051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19" w:type="dxa"/>
                  <w:vMerge w:val="restart"/>
                  <w:tcBorders>
                    <w:top w:val="single" w:color="auto" w:sz="12" w:space="0"/>
                    <w:bottom w:val="single" w:color="auto" w:sz="4" w:space="0"/>
                  </w:tcBorders>
                  <w:vAlign w:val="center"/>
                </w:tcPr>
                <w:p w14:paraId="0C921F96">
                  <w:pPr>
                    <w:pStyle w:val="285"/>
                    <w:spacing w:after="0"/>
                    <w:rPr>
                      <w:b/>
                      <w:color w:val="auto"/>
                      <w:szCs w:val="21"/>
                    </w:rPr>
                  </w:pPr>
                  <w:r>
                    <w:rPr>
                      <w:b/>
                      <w:color w:val="auto"/>
                      <w:szCs w:val="21"/>
                    </w:rPr>
                    <w:t>测点编号</w:t>
                  </w:r>
                </w:p>
              </w:tc>
              <w:tc>
                <w:tcPr>
                  <w:tcW w:w="975" w:type="dxa"/>
                  <w:vMerge w:val="restart"/>
                  <w:tcBorders>
                    <w:top w:val="single" w:color="auto" w:sz="12" w:space="0"/>
                    <w:bottom w:val="single" w:color="auto" w:sz="4" w:space="0"/>
                  </w:tcBorders>
                  <w:vAlign w:val="center"/>
                </w:tcPr>
                <w:p w14:paraId="20C43BEF">
                  <w:pPr>
                    <w:pStyle w:val="285"/>
                    <w:spacing w:after="0"/>
                    <w:rPr>
                      <w:b/>
                      <w:color w:val="auto"/>
                      <w:szCs w:val="21"/>
                    </w:rPr>
                  </w:pPr>
                  <w:r>
                    <w:rPr>
                      <w:b/>
                      <w:color w:val="auto"/>
                      <w:szCs w:val="21"/>
                    </w:rPr>
                    <w:t>监测点名称</w:t>
                  </w:r>
                </w:p>
              </w:tc>
              <w:tc>
                <w:tcPr>
                  <w:tcW w:w="1859" w:type="dxa"/>
                  <w:gridSpan w:val="2"/>
                  <w:tcBorders>
                    <w:top w:val="single" w:color="auto" w:sz="12" w:space="0"/>
                    <w:bottom w:val="single" w:color="auto" w:sz="4" w:space="0"/>
                  </w:tcBorders>
                  <w:vAlign w:val="center"/>
                </w:tcPr>
                <w:p w14:paraId="780D9F2C">
                  <w:pPr>
                    <w:pStyle w:val="285"/>
                    <w:spacing w:after="0"/>
                    <w:rPr>
                      <w:b/>
                      <w:color w:val="auto"/>
                      <w:szCs w:val="21"/>
                    </w:rPr>
                  </w:pPr>
                  <w:r>
                    <w:rPr>
                      <w:b/>
                      <w:color w:val="auto"/>
                      <w:szCs w:val="21"/>
                    </w:rPr>
                    <w:t>监测点坐标</w:t>
                  </w:r>
                </w:p>
              </w:tc>
              <w:tc>
                <w:tcPr>
                  <w:tcW w:w="1132" w:type="dxa"/>
                  <w:vMerge w:val="restart"/>
                  <w:tcBorders>
                    <w:top w:val="single" w:color="auto" w:sz="12" w:space="0"/>
                    <w:bottom w:val="single" w:color="auto" w:sz="4" w:space="0"/>
                  </w:tcBorders>
                  <w:vAlign w:val="center"/>
                </w:tcPr>
                <w:p w14:paraId="0A09F908">
                  <w:pPr>
                    <w:pStyle w:val="285"/>
                    <w:spacing w:after="0"/>
                    <w:rPr>
                      <w:b/>
                      <w:color w:val="auto"/>
                      <w:szCs w:val="21"/>
                    </w:rPr>
                  </w:pPr>
                  <w:r>
                    <w:rPr>
                      <w:b/>
                      <w:color w:val="auto"/>
                      <w:szCs w:val="21"/>
                    </w:rPr>
                    <w:t>监测因子</w:t>
                  </w:r>
                </w:p>
              </w:tc>
              <w:tc>
                <w:tcPr>
                  <w:tcW w:w="2026" w:type="dxa"/>
                  <w:vMerge w:val="restart"/>
                  <w:tcBorders>
                    <w:top w:val="single" w:color="auto" w:sz="12" w:space="0"/>
                    <w:bottom w:val="single" w:color="auto" w:sz="4" w:space="0"/>
                  </w:tcBorders>
                  <w:vAlign w:val="center"/>
                </w:tcPr>
                <w:p w14:paraId="751B9A7C">
                  <w:pPr>
                    <w:pStyle w:val="285"/>
                    <w:spacing w:after="0"/>
                    <w:rPr>
                      <w:b/>
                      <w:color w:val="auto"/>
                      <w:szCs w:val="21"/>
                    </w:rPr>
                  </w:pPr>
                  <w:r>
                    <w:rPr>
                      <w:b/>
                      <w:color w:val="auto"/>
                      <w:szCs w:val="21"/>
                    </w:rPr>
                    <w:t>监测时段</w:t>
                  </w:r>
                </w:p>
              </w:tc>
              <w:tc>
                <w:tcPr>
                  <w:tcW w:w="738" w:type="dxa"/>
                  <w:vMerge w:val="restart"/>
                  <w:tcBorders>
                    <w:top w:val="single" w:color="auto" w:sz="12" w:space="0"/>
                    <w:bottom w:val="single" w:color="auto" w:sz="4" w:space="0"/>
                  </w:tcBorders>
                  <w:vAlign w:val="center"/>
                </w:tcPr>
                <w:p w14:paraId="14B48D5E">
                  <w:pPr>
                    <w:pStyle w:val="285"/>
                    <w:spacing w:after="0"/>
                    <w:rPr>
                      <w:b/>
                      <w:color w:val="auto"/>
                      <w:szCs w:val="21"/>
                    </w:rPr>
                  </w:pPr>
                  <w:r>
                    <w:rPr>
                      <w:b/>
                      <w:color w:val="auto"/>
                      <w:szCs w:val="21"/>
                    </w:rPr>
                    <w:t>相对厂址方位</w:t>
                  </w:r>
                </w:p>
              </w:tc>
              <w:tc>
                <w:tcPr>
                  <w:tcW w:w="1082" w:type="dxa"/>
                  <w:vMerge w:val="restart"/>
                  <w:tcBorders>
                    <w:top w:val="single" w:color="auto" w:sz="12" w:space="0"/>
                    <w:bottom w:val="single" w:color="auto" w:sz="4" w:space="0"/>
                  </w:tcBorders>
                  <w:vAlign w:val="center"/>
                </w:tcPr>
                <w:p w14:paraId="1E26DFAF">
                  <w:pPr>
                    <w:pStyle w:val="285"/>
                    <w:spacing w:after="0"/>
                    <w:rPr>
                      <w:b/>
                      <w:color w:val="auto"/>
                      <w:szCs w:val="21"/>
                    </w:rPr>
                  </w:pPr>
                  <w:r>
                    <w:rPr>
                      <w:b/>
                      <w:color w:val="auto"/>
                      <w:szCs w:val="21"/>
                    </w:rPr>
                    <w:t>相对厂界</w:t>
                  </w:r>
                  <w:r>
                    <w:rPr>
                      <w:rFonts w:hint="eastAsia"/>
                      <w:b/>
                      <w:color w:val="auto"/>
                      <w:szCs w:val="21"/>
                      <w:lang w:eastAsia="zh-CN"/>
                    </w:rPr>
                    <w:t>距离</w:t>
                  </w:r>
                  <w:r>
                    <w:rPr>
                      <w:b/>
                      <w:color w:val="auto"/>
                      <w:szCs w:val="21"/>
                    </w:rPr>
                    <w:t>/m</w:t>
                  </w:r>
                </w:p>
              </w:tc>
            </w:tr>
            <w:tr w14:paraId="3C6B1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19" w:type="dxa"/>
                  <w:vMerge w:val="continue"/>
                  <w:tcBorders>
                    <w:top w:val="single" w:color="auto" w:sz="4" w:space="0"/>
                    <w:bottom w:val="single" w:color="auto" w:sz="12" w:space="0"/>
                  </w:tcBorders>
                  <w:vAlign w:val="center"/>
                </w:tcPr>
                <w:p w14:paraId="49731F42">
                  <w:pPr>
                    <w:pStyle w:val="285"/>
                    <w:spacing w:after="0"/>
                    <w:rPr>
                      <w:color w:val="auto"/>
                      <w:szCs w:val="21"/>
                    </w:rPr>
                  </w:pPr>
                </w:p>
              </w:tc>
              <w:tc>
                <w:tcPr>
                  <w:tcW w:w="975" w:type="dxa"/>
                  <w:vMerge w:val="continue"/>
                  <w:tcBorders>
                    <w:top w:val="single" w:color="auto" w:sz="4" w:space="0"/>
                    <w:bottom w:val="single" w:color="auto" w:sz="12" w:space="0"/>
                  </w:tcBorders>
                  <w:vAlign w:val="center"/>
                </w:tcPr>
                <w:p w14:paraId="7969E7A7">
                  <w:pPr>
                    <w:pStyle w:val="285"/>
                    <w:spacing w:after="0"/>
                    <w:rPr>
                      <w:color w:val="auto"/>
                      <w:szCs w:val="21"/>
                    </w:rPr>
                  </w:pPr>
                </w:p>
              </w:tc>
              <w:tc>
                <w:tcPr>
                  <w:tcW w:w="939" w:type="dxa"/>
                  <w:tcBorders>
                    <w:top w:val="single" w:color="auto" w:sz="4" w:space="0"/>
                    <w:bottom w:val="single" w:color="auto" w:sz="12" w:space="0"/>
                  </w:tcBorders>
                  <w:vAlign w:val="center"/>
                </w:tcPr>
                <w:p w14:paraId="1E1DF856">
                  <w:pPr>
                    <w:pStyle w:val="285"/>
                    <w:spacing w:after="0"/>
                    <w:rPr>
                      <w:b/>
                      <w:color w:val="auto"/>
                      <w:szCs w:val="21"/>
                    </w:rPr>
                  </w:pPr>
                  <w:r>
                    <w:rPr>
                      <w:b/>
                      <w:color w:val="auto"/>
                      <w:szCs w:val="21"/>
                    </w:rPr>
                    <w:t>X</w:t>
                  </w:r>
                </w:p>
              </w:tc>
              <w:tc>
                <w:tcPr>
                  <w:tcW w:w="920" w:type="dxa"/>
                  <w:tcBorders>
                    <w:top w:val="single" w:color="auto" w:sz="4" w:space="0"/>
                    <w:bottom w:val="single" w:color="auto" w:sz="12" w:space="0"/>
                  </w:tcBorders>
                  <w:vAlign w:val="center"/>
                </w:tcPr>
                <w:p w14:paraId="320881F3">
                  <w:pPr>
                    <w:pStyle w:val="285"/>
                    <w:spacing w:after="0"/>
                    <w:rPr>
                      <w:b/>
                      <w:color w:val="auto"/>
                      <w:szCs w:val="21"/>
                    </w:rPr>
                  </w:pPr>
                  <w:r>
                    <w:rPr>
                      <w:b/>
                      <w:color w:val="auto"/>
                      <w:szCs w:val="21"/>
                    </w:rPr>
                    <w:t>Y</w:t>
                  </w:r>
                </w:p>
              </w:tc>
              <w:tc>
                <w:tcPr>
                  <w:tcW w:w="1132" w:type="dxa"/>
                  <w:vMerge w:val="continue"/>
                  <w:tcBorders>
                    <w:top w:val="single" w:color="auto" w:sz="4" w:space="0"/>
                    <w:bottom w:val="single" w:color="auto" w:sz="12" w:space="0"/>
                  </w:tcBorders>
                  <w:vAlign w:val="center"/>
                </w:tcPr>
                <w:p w14:paraId="4BCCD638">
                  <w:pPr>
                    <w:pStyle w:val="285"/>
                    <w:spacing w:after="0"/>
                    <w:rPr>
                      <w:color w:val="auto"/>
                      <w:szCs w:val="21"/>
                    </w:rPr>
                  </w:pPr>
                </w:p>
              </w:tc>
              <w:tc>
                <w:tcPr>
                  <w:tcW w:w="2026" w:type="dxa"/>
                  <w:vMerge w:val="continue"/>
                  <w:tcBorders>
                    <w:top w:val="single" w:color="auto" w:sz="4" w:space="0"/>
                    <w:bottom w:val="single" w:color="auto" w:sz="12" w:space="0"/>
                  </w:tcBorders>
                  <w:vAlign w:val="center"/>
                </w:tcPr>
                <w:p w14:paraId="76468740">
                  <w:pPr>
                    <w:pStyle w:val="285"/>
                    <w:spacing w:after="0"/>
                    <w:rPr>
                      <w:color w:val="auto"/>
                      <w:szCs w:val="21"/>
                    </w:rPr>
                  </w:pPr>
                </w:p>
              </w:tc>
              <w:tc>
                <w:tcPr>
                  <w:tcW w:w="738" w:type="dxa"/>
                  <w:vMerge w:val="continue"/>
                  <w:tcBorders>
                    <w:top w:val="single" w:color="auto" w:sz="4" w:space="0"/>
                    <w:bottom w:val="single" w:color="auto" w:sz="12" w:space="0"/>
                  </w:tcBorders>
                  <w:vAlign w:val="center"/>
                </w:tcPr>
                <w:p w14:paraId="33393870">
                  <w:pPr>
                    <w:pStyle w:val="285"/>
                    <w:spacing w:after="0"/>
                    <w:rPr>
                      <w:color w:val="auto"/>
                      <w:szCs w:val="21"/>
                    </w:rPr>
                  </w:pPr>
                </w:p>
              </w:tc>
              <w:tc>
                <w:tcPr>
                  <w:tcW w:w="1082" w:type="dxa"/>
                  <w:vMerge w:val="continue"/>
                  <w:tcBorders>
                    <w:top w:val="single" w:color="auto" w:sz="4" w:space="0"/>
                    <w:bottom w:val="single" w:color="auto" w:sz="12" w:space="0"/>
                  </w:tcBorders>
                  <w:vAlign w:val="center"/>
                </w:tcPr>
                <w:p w14:paraId="654FA5AA">
                  <w:pPr>
                    <w:pStyle w:val="285"/>
                    <w:spacing w:after="0"/>
                    <w:rPr>
                      <w:color w:val="auto"/>
                      <w:szCs w:val="21"/>
                    </w:rPr>
                  </w:pPr>
                </w:p>
              </w:tc>
            </w:tr>
            <w:tr w14:paraId="1D8A2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19" w:type="dxa"/>
                  <w:tcBorders>
                    <w:top w:val="single" w:color="auto" w:sz="6" w:space="0"/>
                    <w:bottom w:val="single" w:color="auto" w:sz="6" w:space="0"/>
                  </w:tcBorders>
                  <w:vAlign w:val="center"/>
                </w:tcPr>
                <w:p w14:paraId="35F6786F">
                  <w:pPr>
                    <w:pStyle w:val="285"/>
                    <w:spacing w:after="0"/>
                    <w:rPr>
                      <w:color w:val="auto"/>
                      <w:szCs w:val="21"/>
                    </w:rPr>
                  </w:pPr>
                  <w:r>
                    <w:rPr>
                      <w:color w:val="auto"/>
                      <w:szCs w:val="21"/>
                    </w:rPr>
                    <w:t>G</w:t>
                  </w:r>
                  <w:r>
                    <w:rPr>
                      <w:rFonts w:hint="eastAsia"/>
                      <w:color w:val="auto"/>
                      <w:szCs w:val="21"/>
                    </w:rPr>
                    <w:t>2</w:t>
                  </w:r>
                </w:p>
              </w:tc>
              <w:tc>
                <w:tcPr>
                  <w:tcW w:w="975" w:type="dxa"/>
                  <w:tcBorders>
                    <w:top w:val="single" w:color="auto" w:sz="6" w:space="0"/>
                    <w:bottom w:val="single" w:color="auto" w:sz="6" w:space="0"/>
                  </w:tcBorders>
                  <w:vAlign w:val="center"/>
                </w:tcPr>
                <w:p w14:paraId="0A839CE6">
                  <w:pPr>
                    <w:pStyle w:val="285"/>
                    <w:spacing w:after="0"/>
                    <w:rPr>
                      <w:color w:val="auto"/>
                      <w:szCs w:val="21"/>
                    </w:rPr>
                  </w:pPr>
                  <w:r>
                    <w:rPr>
                      <w:rFonts w:hint="eastAsia"/>
                      <w:color w:val="auto"/>
                      <w:szCs w:val="21"/>
                    </w:rPr>
                    <w:t>高沟镇三口小区</w:t>
                  </w:r>
                </w:p>
              </w:tc>
              <w:tc>
                <w:tcPr>
                  <w:tcW w:w="939" w:type="dxa"/>
                  <w:tcBorders>
                    <w:top w:val="single" w:color="auto" w:sz="6" w:space="0"/>
                    <w:bottom w:val="single" w:color="auto" w:sz="6" w:space="0"/>
                  </w:tcBorders>
                  <w:vAlign w:val="center"/>
                </w:tcPr>
                <w:p w14:paraId="4CB1AEB0">
                  <w:pPr>
                    <w:pStyle w:val="285"/>
                    <w:spacing w:after="0"/>
                    <w:rPr>
                      <w:color w:val="auto"/>
                      <w:szCs w:val="21"/>
                    </w:rPr>
                  </w:pPr>
                  <w:r>
                    <w:rPr>
                      <w:color w:val="auto"/>
                      <w:szCs w:val="21"/>
                    </w:rPr>
                    <w:t>701834.12</w:t>
                  </w:r>
                </w:p>
              </w:tc>
              <w:tc>
                <w:tcPr>
                  <w:tcW w:w="920" w:type="dxa"/>
                  <w:tcBorders>
                    <w:top w:val="single" w:color="auto" w:sz="6" w:space="0"/>
                    <w:bottom w:val="single" w:color="auto" w:sz="6" w:space="0"/>
                  </w:tcBorders>
                  <w:vAlign w:val="center"/>
                </w:tcPr>
                <w:p w14:paraId="6C597006">
                  <w:pPr>
                    <w:pStyle w:val="285"/>
                    <w:spacing w:after="0"/>
                    <w:rPr>
                      <w:color w:val="auto"/>
                      <w:szCs w:val="21"/>
                    </w:rPr>
                  </w:pPr>
                  <w:r>
                    <w:rPr>
                      <w:color w:val="auto"/>
                      <w:szCs w:val="21"/>
                    </w:rPr>
                    <w:t>765557.00</w:t>
                  </w:r>
                </w:p>
              </w:tc>
              <w:tc>
                <w:tcPr>
                  <w:tcW w:w="1132" w:type="dxa"/>
                  <w:tcBorders>
                    <w:top w:val="single" w:color="auto" w:sz="6" w:space="0"/>
                    <w:bottom w:val="single" w:color="auto" w:sz="6" w:space="0"/>
                  </w:tcBorders>
                  <w:vAlign w:val="center"/>
                </w:tcPr>
                <w:p w14:paraId="0F7AB737">
                  <w:pPr>
                    <w:pStyle w:val="285"/>
                    <w:spacing w:after="0"/>
                    <w:rPr>
                      <w:rFonts w:hint="eastAsia" w:eastAsia="宋体"/>
                      <w:color w:val="auto"/>
                      <w:lang w:eastAsia="zh-CN"/>
                    </w:rPr>
                  </w:pPr>
                  <w:r>
                    <w:rPr>
                      <w:color w:val="auto"/>
                      <w:szCs w:val="21"/>
                    </w:rPr>
                    <w:t>非甲烷总烃</w:t>
                  </w:r>
                  <w:r>
                    <w:rPr>
                      <w:rFonts w:hint="eastAsia"/>
                      <w:color w:val="auto"/>
                      <w:szCs w:val="21"/>
                      <w:lang w:eastAsia="zh-CN"/>
                    </w:rPr>
                    <w:t>、氨、臭气浓度</w:t>
                  </w:r>
                </w:p>
              </w:tc>
              <w:tc>
                <w:tcPr>
                  <w:tcW w:w="2026" w:type="dxa"/>
                  <w:tcBorders>
                    <w:top w:val="single" w:color="auto" w:sz="6" w:space="0"/>
                    <w:bottom w:val="single" w:color="auto" w:sz="6" w:space="0"/>
                  </w:tcBorders>
                  <w:vAlign w:val="center"/>
                </w:tcPr>
                <w:p w14:paraId="6C5D73CF">
                  <w:pPr>
                    <w:pStyle w:val="285"/>
                    <w:spacing w:after="0"/>
                    <w:rPr>
                      <w:color w:val="auto"/>
                      <w:szCs w:val="21"/>
                    </w:rPr>
                  </w:pPr>
                  <w:r>
                    <w:rPr>
                      <w:color w:val="auto"/>
                      <w:szCs w:val="21"/>
                    </w:rPr>
                    <w:t>202</w:t>
                  </w:r>
                  <w:r>
                    <w:rPr>
                      <w:rFonts w:hint="eastAsia"/>
                      <w:color w:val="auto"/>
                      <w:szCs w:val="21"/>
                    </w:rPr>
                    <w:t>3</w:t>
                  </w:r>
                  <w:r>
                    <w:rPr>
                      <w:color w:val="auto"/>
                      <w:szCs w:val="21"/>
                    </w:rPr>
                    <w:t>.</w:t>
                  </w:r>
                  <w:r>
                    <w:rPr>
                      <w:rFonts w:hint="eastAsia"/>
                      <w:color w:val="auto"/>
                      <w:szCs w:val="21"/>
                    </w:rPr>
                    <w:t>1</w:t>
                  </w:r>
                  <w:r>
                    <w:rPr>
                      <w:color w:val="auto"/>
                      <w:szCs w:val="21"/>
                    </w:rPr>
                    <w:t>.</w:t>
                  </w:r>
                  <w:r>
                    <w:rPr>
                      <w:rFonts w:hint="eastAsia"/>
                      <w:color w:val="auto"/>
                      <w:szCs w:val="21"/>
                    </w:rPr>
                    <w:t>7</w:t>
                  </w:r>
                  <w:r>
                    <w:rPr>
                      <w:color w:val="auto"/>
                      <w:szCs w:val="21"/>
                    </w:rPr>
                    <w:t>~202</w:t>
                  </w:r>
                  <w:r>
                    <w:rPr>
                      <w:rFonts w:hint="eastAsia"/>
                      <w:color w:val="auto"/>
                      <w:szCs w:val="21"/>
                    </w:rPr>
                    <w:t>3</w:t>
                  </w:r>
                  <w:r>
                    <w:rPr>
                      <w:color w:val="auto"/>
                      <w:szCs w:val="21"/>
                    </w:rPr>
                    <w:t>.</w:t>
                  </w:r>
                  <w:r>
                    <w:rPr>
                      <w:rFonts w:hint="eastAsia"/>
                      <w:color w:val="auto"/>
                      <w:szCs w:val="21"/>
                    </w:rPr>
                    <w:t>1</w:t>
                  </w:r>
                  <w:r>
                    <w:rPr>
                      <w:color w:val="auto"/>
                      <w:szCs w:val="21"/>
                    </w:rPr>
                    <w:t>.</w:t>
                  </w:r>
                  <w:r>
                    <w:rPr>
                      <w:rFonts w:hint="eastAsia"/>
                      <w:color w:val="auto"/>
                      <w:szCs w:val="21"/>
                    </w:rPr>
                    <w:t>13</w:t>
                  </w:r>
                </w:p>
              </w:tc>
              <w:tc>
                <w:tcPr>
                  <w:tcW w:w="738" w:type="dxa"/>
                  <w:tcBorders>
                    <w:top w:val="single" w:color="auto" w:sz="6" w:space="0"/>
                    <w:bottom w:val="single" w:color="auto" w:sz="6" w:space="0"/>
                  </w:tcBorders>
                  <w:vAlign w:val="center"/>
                </w:tcPr>
                <w:p w14:paraId="6EDA2069">
                  <w:pPr>
                    <w:pStyle w:val="285"/>
                    <w:spacing w:after="0"/>
                    <w:rPr>
                      <w:color w:val="auto"/>
                      <w:szCs w:val="21"/>
                    </w:rPr>
                  </w:pPr>
                  <w:r>
                    <w:rPr>
                      <w:color w:val="auto"/>
                      <w:szCs w:val="21"/>
                    </w:rPr>
                    <w:t>南</w:t>
                  </w:r>
                </w:p>
              </w:tc>
              <w:tc>
                <w:tcPr>
                  <w:tcW w:w="1082" w:type="dxa"/>
                  <w:tcBorders>
                    <w:top w:val="single" w:color="auto" w:sz="6" w:space="0"/>
                    <w:bottom w:val="single" w:color="auto" w:sz="6" w:space="0"/>
                  </w:tcBorders>
                  <w:vAlign w:val="center"/>
                </w:tcPr>
                <w:p w14:paraId="1FFBFFFB">
                  <w:pPr>
                    <w:pStyle w:val="285"/>
                    <w:spacing w:after="0"/>
                    <w:rPr>
                      <w:color w:val="auto"/>
                      <w:szCs w:val="21"/>
                    </w:rPr>
                  </w:pPr>
                  <w:r>
                    <w:rPr>
                      <w:rFonts w:hint="eastAsia"/>
                      <w:color w:val="auto"/>
                      <w:szCs w:val="21"/>
                    </w:rPr>
                    <w:t>2028</w:t>
                  </w:r>
                </w:p>
              </w:tc>
            </w:tr>
            <w:tr w14:paraId="64A47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19" w:type="dxa"/>
                  <w:tcBorders>
                    <w:top w:val="single" w:color="auto" w:sz="6" w:space="0"/>
                    <w:bottom w:val="single" w:color="auto" w:sz="6" w:space="0"/>
                  </w:tcBorders>
                  <w:vAlign w:val="center"/>
                </w:tcPr>
                <w:p w14:paraId="6037B0F1">
                  <w:pPr>
                    <w:pStyle w:val="285"/>
                    <w:spacing w:after="0"/>
                    <w:rPr>
                      <w:rFonts w:hint="default" w:eastAsia="宋体"/>
                      <w:color w:val="auto"/>
                      <w:szCs w:val="21"/>
                      <w:lang w:val="en-US" w:eastAsia="zh-CN"/>
                    </w:rPr>
                  </w:pPr>
                  <w:r>
                    <w:rPr>
                      <w:rFonts w:hint="eastAsia"/>
                      <w:color w:val="auto"/>
                      <w:szCs w:val="21"/>
                      <w:lang w:val="en-US" w:eastAsia="zh-CN"/>
                    </w:rPr>
                    <w:t>G1</w:t>
                  </w:r>
                </w:p>
              </w:tc>
              <w:tc>
                <w:tcPr>
                  <w:tcW w:w="975" w:type="dxa"/>
                  <w:tcBorders>
                    <w:top w:val="single" w:color="auto" w:sz="6" w:space="0"/>
                    <w:bottom w:val="single" w:color="auto" w:sz="6" w:space="0"/>
                  </w:tcBorders>
                  <w:vAlign w:val="center"/>
                </w:tcPr>
                <w:p w14:paraId="14CE3DE9">
                  <w:pPr>
                    <w:pStyle w:val="285"/>
                    <w:spacing w:after="0"/>
                    <w:rPr>
                      <w:rFonts w:hint="eastAsia" w:eastAsia="宋体"/>
                      <w:color w:val="auto"/>
                      <w:szCs w:val="21"/>
                      <w:lang w:eastAsia="zh-CN"/>
                    </w:rPr>
                  </w:pPr>
                  <w:r>
                    <w:rPr>
                      <w:rFonts w:hint="eastAsia"/>
                      <w:color w:val="auto"/>
                      <w:szCs w:val="21"/>
                      <w:lang w:eastAsia="zh-CN"/>
                    </w:rPr>
                    <w:t>王道圩小区</w:t>
                  </w:r>
                </w:p>
              </w:tc>
              <w:tc>
                <w:tcPr>
                  <w:tcW w:w="939" w:type="dxa"/>
                  <w:tcBorders>
                    <w:top w:val="single" w:color="auto" w:sz="6" w:space="0"/>
                    <w:bottom w:val="single" w:color="auto" w:sz="6" w:space="0"/>
                  </w:tcBorders>
                  <w:vAlign w:val="center"/>
                </w:tcPr>
                <w:p w14:paraId="78EDC37B">
                  <w:pPr>
                    <w:pStyle w:val="285"/>
                    <w:spacing w:after="0"/>
                    <w:rPr>
                      <w:color w:val="auto"/>
                      <w:szCs w:val="21"/>
                    </w:rPr>
                  </w:pPr>
                  <w:r>
                    <w:rPr>
                      <w:rFonts w:hint="eastAsia"/>
                      <w:color w:val="auto"/>
                      <w:szCs w:val="21"/>
                    </w:rPr>
                    <w:t>701449.20</w:t>
                  </w:r>
                </w:p>
              </w:tc>
              <w:tc>
                <w:tcPr>
                  <w:tcW w:w="920" w:type="dxa"/>
                  <w:tcBorders>
                    <w:top w:val="single" w:color="auto" w:sz="6" w:space="0"/>
                    <w:bottom w:val="single" w:color="auto" w:sz="6" w:space="0"/>
                  </w:tcBorders>
                  <w:vAlign w:val="center"/>
                </w:tcPr>
                <w:p w14:paraId="7518C51C">
                  <w:pPr>
                    <w:pStyle w:val="285"/>
                    <w:spacing w:after="0"/>
                    <w:rPr>
                      <w:color w:val="auto"/>
                      <w:szCs w:val="21"/>
                    </w:rPr>
                  </w:pPr>
                  <w:r>
                    <w:rPr>
                      <w:rFonts w:hint="eastAsia"/>
                      <w:color w:val="auto"/>
                      <w:szCs w:val="21"/>
                    </w:rPr>
                    <w:t>767614.30</w:t>
                  </w:r>
                </w:p>
              </w:tc>
              <w:tc>
                <w:tcPr>
                  <w:tcW w:w="1132" w:type="dxa"/>
                  <w:tcBorders>
                    <w:top w:val="single" w:color="auto" w:sz="6" w:space="0"/>
                    <w:bottom w:val="single" w:color="auto" w:sz="6" w:space="0"/>
                  </w:tcBorders>
                  <w:vAlign w:val="center"/>
                </w:tcPr>
                <w:p w14:paraId="7DABC6F6">
                  <w:pPr>
                    <w:pStyle w:val="285"/>
                    <w:spacing w:after="0"/>
                    <w:rPr>
                      <w:rFonts w:hint="eastAsia" w:eastAsia="宋体"/>
                      <w:color w:val="auto"/>
                      <w:szCs w:val="21"/>
                      <w:lang w:eastAsia="zh-CN"/>
                    </w:rPr>
                  </w:pPr>
                  <w:r>
                    <w:rPr>
                      <w:rFonts w:hint="eastAsia"/>
                      <w:color w:val="auto"/>
                      <w:szCs w:val="21"/>
                      <w:lang w:eastAsia="zh-CN"/>
                    </w:rPr>
                    <w:t>甲醛</w:t>
                  </w:r>
                </w:p>
              </w:tc>
              <w:tc>
                <w:tcPr>
                  <w:tcW w:w="2026" w:type="dxa"/>
                  <w:tcBorders>
                    <w:top w:val="single" w:color="auto" w:sz="6" w:space="0"/>
                    <w:bottom w:val="single" w:color="auto" w:sz="6" w:space="0"/>
                  </w:tcBorders>
                  <w:vAlign w:val="center"/>
                </w:tcPr>
                <w:p w14:paraId="79687146">
                  <w:pPr>
                    <w:pStyle w:val="285"/>
                    <w:spacing w:after="0"/>
                    <w:rPr>
                      <w:rFonts w:hint="default" w:eastAsia="宋体"/>
                      <w:color w:val="auto"/>
                      <w:szCs w:val="21"/>
                      <w:lang w:val="en-US" w:eastAsia="zh-CN"/>
                    </w:rPr>
                  </w:pPr>
                  <w:r>
                    <w:rPr>
                      <w:rFonts w:hint="eastAsia"/>
                      <w:color w:val="auto"/>
                      <w:szCs w:val="21"/>
                      <w:lang w:val="en-US" w:eastAsia="zh-CN"/>
                    </w:rPr>
                    <w:t>2024.12.16</w:t>
                  </w:r>
                  <w:r>
                    <w:rPr>
                      <w:color w:val="auto"/>
                      <w:szCs w:val="21"/>
                    </w:rPr>
                    <w:t>~</w:t>
                  </w:r>
                  <w:r>
                    <w:rPr>
                      <w:rFonts w:hint="eastAsia"/>
                      <w:color w:val="auto"/>
                      <w:szCs w:val="21"/>
                      <w:lang w:val="en-US" w:eastAsia="zh-CN"/>
                    </w:rPr>
                    <w:t>2024.12.22</w:t>
                  </w:r>
                </w:p>
              </w:tc>
              <w:tc>
                <w:tcPr>
                  <w:tcW w:w="738" w:type="dxa"/>
                  <w:tcBorders>
                    <w:top w:val="single" w:color="auto" w:sz="6" w:space="0"/>
                    <w:bottom w:val="single" w:color="auto" w:sz="6" w:space="0"/>
                  </w:tcBorders>
                  <w:vAlign w:val="center"/>
                </w:tcPr>
                <w:p w14:paraId="1437BC5F">
                  <w:pPr>
                    <w:pStyle w:val="285"/>
                    <w:spacing w:after="0"/>
                    <w:rPr>
                      <w:rFonts w:hint="eastAsia" w:eastAsia="宋体"/>
                      <w:color w:val="auto"/>
                      <w:szCs w:val="21"/>
                      <w:lang w:eastAsia="zh-CN"/>
                    </w:rPr>
                  </w:pPr>
                  <w:r>
                    <w:rPr>
                      <w:rFonts w:hint="eastAsia"/>
                      <w:color w:val="auto"/>
                      <w:szCs w:val="21"/>
                      <w:lang w:eastAsia="zh-CN"/>
                    </w:rPr>
                    <w:t>西</w:t>
                  </w:r>
                </w:p>
              </w:tc>
              <w:tc>
                <w:tcPr>
                  <w:tcW w:w="1082" w:type="dxa"/>
                  <w:tcBorders>
                    <w:top w:val="single" w:color="auto" w:sz="6" w:space="0"/>
                    <w:bottom w:val="single" w:color="auto" w:sz="6" w:space="0"/>
                  </w:tcBorders>
                  <w:vAlign w:val="center"/>
                </w:tcPr>
                <w:p w14:paraId="707797FB">
                  <w:pPr>
                    <w:pStyle w:val="285"/>
                    <w:spacing w:after="0"/>
                    <w:rPr>
                      <w:rFonts w:hint="default" w:eastAsia="宋体"/>
                      <w:color w:val="auto"/>
                      <w:szCs w:val="21"/>
                      <w:lang w:val="en-US" w:eastAsia="zh-CN"/>
                    </w:rPr>
                  </w:pPr>
                  <w:r>
                    <w:rPr>
                      <w:rFonts w:hint="eastAsia"/>
                      <w:color w:val="auto"/>
                      <w:szCs w:val="21"/>
                      <w:lang w:val="en-US" w:eastAsia="zh-CN"/>
                    </w:rPr>
                    <w:t>118</w:t>
                  </w:r>
                </w:p>
              </w:tc>
            </w:tr>
          </w:tbl>
          <w:p w14:paraId="2C889005">
            <w:pPr>
              <w:numPr>
                <w:ilvl w:val="0"/>
                <w:numId w:val="6"/>
              </w:numPr>
              <w:adjustRightInd w:val="0"/>
              <w:snapToGrid w:val="0"/>
              <w:spacing w:line="360" w:lineRule="auto"/>
              <w:rPr>
                <w:color w:val="auto"/>
                <w:sz w:val="24"/>
              </w:rPr>
            </w:pPr>
            <w:r>
              <w:rPr>
                <w:color w:val="auto"/>
                <w:sz w:val="24"/>
              </w:rPr>
              <w:t>监测项目</w:t>
            </w:r>
          </w:p>
          <w:p w14:paraId="62C2B117">
            <w:pPr>
              <w:adjustRightInd w:val="0"/>
              <w:snapToGrid w:val="0"/>
              <w:spacing w:line="360" w:lineRule="auto"/>
              <w:ind w:firstLine="480" w:firstLineChars="200"/>
              <w:rPr>
                <w:color w:val="auto"/>
                <w:sz w:val="24"/>
              </w:rPr>
            </w:pPr>
            <w:r>
              <w:rPr>
                <w:color w:val="auto"/>
                <w:sz w:val="24"/>
              </w:rPr>
              <w:t>非甲烷总烃</w:t>
            </w:r>
            <w:r>
              <w:rPr>
                <w:rFonts w:hint="eastAsia"/>
                <w:color w:val="auto"/>
                <w:sz w:val="24"/>
                <w:lang w:eastAsia="zh-CN"/>
              </w:rPr>
              <w:t>、氨、臭气浓度、甲醛</w:t>
            </w:r>
            <w:r>
              <w:rPr>
                <w:color w:val="auto"/>
                <w:sz w:val="24"/>
              </w:rPr>
              <w:t>监测期间的气象要素。</w:t>
            </w:r>
          </w:p>
          <w:p w14:paraId="2B3FF1AA">
            <w:pPr>
              <w:numPr>
                <w:ilvl w:val="0"/>
                <w:numId w:val="6"/>
              </w:numPr>
              <w:adjustRightInd w:val="0"/>
              <w:snapToGrid w:val="0"/>
              <w:spacing w:line="360" w:lineRule="auto"/>
              <w:rPr>
                <w:color w:val="auto"/>
                <w:sz w:val="24"/>
              </w:rPr>
            </w:pPr>
            <w:r>
              <w:rPr>
                <w:color w:val="auto"/>
                <w:sz w:val="24"/>
              </w:rPr>
              <w:t>监测频次和时间</w:t>
            </w:r>
          </w:p>
          <w:p w14:paraId="0890090B">
            <w:pPr>
              <w:adjustRightInd w:val="0"/>
              <w:snapToGrid w:val="0"/>
              <w:spacing w:line="360" w:lineRule="auto"/>
              <w:ind w:firstLine="480" w:firstLineChars="200"/>
              <w:rPr>
                <w:color w:val="auto"/>
                <w:sz w:val="24"/>
              </w:rPr>
            </w:pPr>
            <w:r>
              <w:rPr>
                <w:color w:val="auto"/>
                <w:sz w:val="24"/>
              </w:rPr>
              <w:t>非甲烷总烃</w:t>
            </w:r>
            <w:r>
              <w:rPr>
                <w:rFonts w:hint="eastAsia"/>
                <w:color w:val="auto"/>
                <w:sz w:val="24"/>
                <w:lang w:eastAsia="zh-CN"/>
              </w:rPr>
              <w:t>、氨、臭气浓度</w:t>
            </w:r>
            <w:r>
              <w:rPr>
                <w:color w:val="auto"/>
                <w:sz w:val="24"/>
              </w:rPr>
              <w:t>监测时间为202</w:t>
            </w:r>
            <w:r>
              <w:rPr>
                <w:rFonts w:hint="eastAsia"/>
                <w:color w:val="auto"/>
                <w:sz w:val="24"/>
              </w:rPr>
              <w:t>3</w:t>
            </w:r>
            <w:r>
              <w:rPr>
                <w:color w:val="auto"/>
                <w:sz w:val="24"/>
              </w:rPr>
              <w:t>年</w:t>
            </w:r>
            <w:r>
              <w:rPr>
                <w:rFonts w:hint="eastAsia"/>
                <w:color w:val="auto"/>
                <w:sz w:val="24"/>
              </w:rPr>
              <w:t>1</w:t>
            </w:r>
            <w:r>
              <w:rPr>
                <w:color w:val="auto"/>
                <w:sz w:val="24"/>
              </w:rPr>
              <w:t>月</w:t>
            </w:r>
            <w:r>
              <w:rPr>
                <w:rFonts w:hint="eastAsia"/>
                <w:color w:val="auto"/>
                <w:sz w:val="24"/>
              </w:rPr>
              <w:t>7</w:t>
            </w:r>
            <w:r>
              <w:rPr>
                <w:color w:val="auto"/>
                <w:sz w:val="24"/>
              </w:rPr>
              <w:t>日~202</w:t>
            </w:r>
            <w:r>
              <w:rPr>
                <w:rFonts w:hint="eastAsia"/>
                <w:color w:val="auto"/>
                <w:sz w:val="24"/>
              </w:rPr>
              <w:t>3</w:t>
            </w:r>
            <w:r>
              <w:rPr>
                <w:color w:val="auto"/>
                <w:sz w:val="24"/>
              </w:rPr>
              <w:t>年</w:t>
            </w:r>
            <w:r>
              <w:rPr>
                <w:rFonts w:hint="eastAsia"/>
                <w:color w:val="auto"/>
                <w:sz w:val="24"/>
              </w:rPr>
              <w:t>1</w:t>
            </w:r>
            <w:r>
              <w:rPr>
                <w:color w:val="auto"/>
                <w:sz w:val="24"/>
              </w:rPr>
              <w:t>月</w:t>
            </w:r>
            <w:r>
              <w:rPr>
                <w:rFonts w:hint="eastAsia"/>
                <w:color w:val="auto"/>
                <w:sz w:val="24"/>
              </w:rPr>
              <w:t>13</w:t>
            </w:r>
            <w:r>
              <w:rPr>
                <w:color w:val="auto"/>
                <w:sz w:val="24"/>
              </w:rPr>
              <w:t>日，连续检测7天，每天监测4次，获取当地时间02、08、14、20时4个小时浓度值。</w:t>
            </w:r>
            <w:r>
              <w:rPr>
                <w:rFonts w:hint="eastAsia"/>
                <w:color w:val="auto"/>
                <w:sz w:val="24"/>
                <w:lang w:eastAsia="zh-CN"/>
              </w:rPr>
              <w:t>甲醛检测时间</w:t>
            </w:r>
            <w:r>
              <w:rPr>
                <w:color w:val="auto"/>
                <w:sz w:val="24"/>
              </w:rPr>
              <w:t>为202</w:t>
            </w:r>
            <w:r>
              <w:rPr>
                <w:rFonts w:hint="eastAsia"/>
                <w:color w:val="auto"/>
                <w:sz w:val="24"/>
                <w:lang w:val="en-US" w:eastAsia="zh-CN"/>
              </w:rPr>
              <w:t>4</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lang w:val="en-US" w:eastAsia="zh-CN"/>
              </w:rPr>
              <w:t>16</w:t>
            </w:r>
            <w:r>
              <w:rPr>
                <w:color w:val="auto"/>
                <w:sz w:val="24"/>
              </w:rPr>
              <w:t>日~202</w:t>
            </w:r>
            <w:r>
              <w:rPr>
                <w:rFonts w:hint="eastAsia"/>
                <w:color w:val="auto"/>
                <w:sz w:val="24"/>
                <w:lang w:val="en-US" w:eastAsia="zh-CN"/>
              </w:rPr>
              <w:t>4</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lang w:val="en-US" w:eastAsia="zh-CN"/>
              </w:rPr>
              <w:t>22</w:t>
            </w:r>
            <w:r>
              <w:rPr>
                <w:color w:val="auto"/>
                <w:sz w:val="24"/>
              </w:rPr>
              <w:t>日，连续检测7天，每天监测4次，获取当地时间02、08、14、20时4个小时浓度值。监测同时记录风向、风速、气压、气温等常规气象要素。</w:t>
            </w:r>
          </w:p>
          <w:p w14:paraId="4369D8AF">
            <w:pPr>
              <w:numPr>
                <w:ilvl w:val="0"/>
                <w:numId w:val="6"/>
              </w:numPr>
              <w:adjustRightInd w:val="0"/>
              <w:snapToGrid w:val="0"/>
              <w:spacing w:line="360" w:lineRule="auto"/>
              <w:rPr>
                <w:color w:val="auto"/>
                <w:sz w:val="24"/>
              </w:rPr>
            </w:pPr>
            <w:r>
              <w:rPr>
                <w:color w:val="auto"/>
                <w:sz w:val="24"/>
              </w:rPr>
              <w:t>监测结果及评价</w:t>
            </w:r>
          </w:p>
          <w:p w14:paraId="7D08FC94">
            <w:pPr>
              <w:adjustRightInd w:val="0"/>
              <w:snapToGrid w:val="0"/>
              <w:spacing w:line="360" w:lineRule="auto"/>
              <w:ind w:firstLine="480" w:firstLineChars="200"/>
              <w:rPr>
                <w:color w:val="auto"/>
                <w:sz w:val="24"/>
              </w:rPr>
            </w:pPr>
            <w:r>
              <w:rPr>
                <w:color w:val="auto"/>
                <w:sz w:val="24"/>
              </w:rPr>
              <w:t>具体监测结果见表3-2。</w:t>
            </w:r>
          </w:p>
          <w:p w14:paraId="6827360B">
            <w:pPr>
              <w:keepNext/>
              <w:adjustRightInd w:val="0"/>
              <w:snapToGrid w:val="0"/>
              <w:jc w:val="center"/>
              <w:rPr>
                <w:b/>
                <w:color w:val="auto"/>
                <w:szCs w:val="21"/>
              </w:rPr>
            </w:pPr>
            <w:r>
              <w:rPr>
                <w:b/>
                <w:color w:val="auto"/>
                <w:szCs w:val="21"/>
              </w:rPr>
              <w:t>表3-</w:t>
            </w:r>
            <w:r>
              <w:rPr>
                <w:rFonts w:hint="eastAsia"/>
                <w:b/>
                <w:color w:val="auto"/>
                <w:szCs w:val="21"/>
              </w:rPr>
              <w:t>2</w:t>
            </w:r>
            <w:r>
              <w:rPr>
                <w:b/>
                <w:color w:val="auto"/>
                <w:szCs w:val="21"/>
              </w:rPr>
              <w:t xml:space="preserve">  特征污染物环境质量现状（监测结果）表</w:t>
            </w:r>
          </w:p>
          <w:tbl>
            <w:tblPr>
              <w:tblStyle w:val="42"/>
              <w:tblW w:w="49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55"/>
              <w:gridCol w:w="715"/>
              <w:gridCol w:w="1254"/>
              <w:gridCol w:w="649"/>
              <w:gridCol w:w="542"/>
              <w:gridCol w:w="825"/>
              <w:gridCol w:w="933"/>
              <w:gridCol w:w="649"/>
              <w:gridCol w:w="542"/>
              <w:gridCol w:w="826"/>
              <w:gridCol w:w="472"/>
            </w:tblGrid>
            <w:tr w14:paraId="3CB41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7" w:type="dxa"/>
                  <w:vMerge w:val="restart"/>
                  <w:tcBorders>
                    <w:top w:val="single" w:color="auto" w:sz="12" w:space="0"/>
                    <w:left w:val="nil"/>
                  </w:tcBorders>
                  <w:vAlign w:val="center"/>
                </w:tcPr>
                <w:p w14:paraId="59C58AFA">
                  <w:pPr>
                    <w:pStyle w:val="285"/>
                    <w:spacing w:after="0"/>
                    <w:rPr>
                      <w:b/>
                      <w:color w:val="auto"/>
                      <w:szCs w:val="21"/>
                    </w:rPr>
                  </w:pPr>
                  <w:r>
                    <w:rPr>
                      <w:b/>
                      <w:color w:val="auto"/>
                      <w:szCs w:val="21"/>
                    </w:rPr>
                    <w:t>测点名称</w:t>
                  </w:r>
                </w:p>
              </w:tc>
              <w:tc>
                <w:tcPr>
                  <w:tcW w:w="715" w:type="dxa"/>
                  <w:vMerge w:val="restart"/>
                  <w:tcBorders>
                    <w:top w:val="single" w:color="auto" w:sz="12" w:space="0"/>
                  </w:tcBorders>
                  <w:vAlign w:val="center"/>
                </w:tcPr>
                <w:p w14:paraId="74E3B0A0">
                  <w:pPr>
                    <w:pStyle w:val="285"/>
                    <w:spacing w:after="0"/>
                    <w:rPr>
                      <w:b/>
                      <w:color w:val="auto"/>
                      <w:szCs w:val="21"/>
                    </w:rPr>
                  </w:pPr>
                  <w:r>
                    <w:rPr>
                      <w:b/>
                      <w:color w:val="auto"/>
                      <w:szCs w:val="21"/>
                    </w:rPr>
                    <w:t>项目</w:t>
                  </w:r>
                </w:p>
              </w:tc>
              <w:tc>
                <w:tcPr>
                  <w:tcW w:w="3272" w:type="dxa"/>
                  <w:gridSpan w:val="4"/>
                  <w:tcBorders>
                    <w:top w:val="single" w:color="auto" w:sz="12" w:space="0"/>
                  </w:tcBorders>
                  <w:vAlign w:val="center"/>
                </w:tcPr>
                <w:p w14:paraId="23873ADC">
                  <w:pPr>
                    <w:pStyle w:val="285"/>
                    <w:spacing w:after="0"/>
                    <w:rPr>
                      <w:b/>
                      <w:color w:val="auto"/>
                      <w:szCs w:val="21"/>
                    </w:rPr>
                  </w:pPr>
                  <w:r>
                    <w:rPr>
                      <w:b/>
                      <w:color w:val="auto"/>
                      <w:szCs w:val="21"/>
                    </w:rPr>
                    <w:t>小时浓度</w:t>
                  </w:r>
                </w:p>
              </w:tc>
              <w:tc>
                <w:tcPr>
                  <w:tcW w:w="2952" w:type="dxa"/>
                  <w:gridSpan w:val="4"/>
                  <w:tcBorders>
                    <w:top w:val="single" w:color="auto" w:sz="12" w:space="0"/>
                  </w:tcBorders>
                  <w:vAlign w:val="center"/>
                </w:tcPr>
                <w:p w14:paraId="39F14A6E">
                  <w:pPr>
                    <w:pStyle w:val="285"/>
                    <w:spacing w:after="0"/>
                    <w:rPr>
                      <w:b/>
                      <w:color w:val="auto"/>
                      <w:szCs w:val="21"/>
                    </w:rPr>
                  </w:pPr>
                  <w:r>
                    <w:rPr>
                      <w:b/>
                      <w:color w:val="auto"/>
                      <w:szCs w:val="21"/>
                    </w:rPr>
                    <w:t>日均浓度</w:t>
                  </w:r>
                </w:p>
              </w:tc>
              <w:tc>
                <w:tcPr>
                  <w:tcW w:w="472" w:type="dxa"/>
                  <w:vMerge w:val="restart"/>
                  <w:tcBorders>
                    <w:top w:val="single" w:color="auto" w:sz="12" w:space="0"/>
                    <w:right w:val="nil"/>
                  </w:tcBorders>
                  <w:vAlign w:val="center"/>
                </w:tcPr>
                <w:p w14:paraId="60C7AD37">
                  <w:pPr>
                    <w:pStyle w:val="285"/>
                    <w:spacing w:after="0"/>
                    <w:rPr>
                      <w:b/>
                      <w:color w:val="auto"/>
                      <w:szCs w:val="21"/>
                    </w:rPr>
                  </w:pPr>
                  <w:r>
                    <w:rPr>
                      <w:b/>
                      <w:color w:val="auto"/>
                      <w:szCs w:val="21"/>
                    </w:rPr>
                    <w:t>达标情况</w:t>
                  </w:r>
                </w:p>
              </w:tc>
            </w:tr>
            <w:tr w14:paraId="05F38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7" w:type="dxa"/>
                  <w:vMerge w:val="continue"/>
                  <w:tcBorders>
                    <w:left w:val="nil"/>
                    <w:bottom w:val="single" w:color="auto" w:sz="12" w:space="0"/>
                  </w:tcBorders>
                  <w:vAlign w:val="center"/>
                </w:tcPr>
                <w:p w14:paraId="57361D8D">
                  <w:pPr>
                    <w:pStyle w:val="285"/>
                    <w:spacing w:after="0"/>
                    <w:rPr>
                      <w:b/>
                      <w:color w:val="auto"/>
                      <w:szCs w:val="21"/>
                    </w:rPr>
                  </w:pPr>
                </w:p>
              </w:tc>
              <w:tc>
                <w:tcPr>
                  <w:tcW w:w="715" w:type="dxa"/>
                  <w:vMerge w:val="continue"/>
                  <w:tcBorders>
                    <w:bottom w:val="single" w:color="auto" w:sz="12" w:space="0"/>
                  </w:tcBorders>
                  <w:vAlign w:val="center"/>
                </w:tcPr>
                <w:p w14:paraId="0B2B1E18">
                  <w:pPr>
                    <w:pStyle w:val="285"/>
                    <w:spacing w:after="0"/>
                    <w:rPr>
                      <w:b/>
                      <w:color w:val="auto"/>
                      <w:szCs w:val="21"/>
                    </w:rPr>
                  </w:pPr>
                </w:p>
              </w:tc>
              <w:tc>
                <w:tcPr>
                  <w:tcW w:w="1255" w:type="dxa"/>
                  <w:tcBorders>
                    <w:bottom w:val="single" w:color="auto" w:sz="12" w:space="0"/>
                  </w:tcBorders>
                  <w:vAlign w:val="center"/>
                </w:tcPr>
                <w:p w14:paraId="235B8DB1">
                  <w:pPr>
                    <w:pStyle w:val="285"/>
                    <w:spacing w:after="0"/>
                    <w:rPr>
                      <w:b/>
                      <w:color w:val="auto"/>
                      <w:szCs w:val="21"/>
                    </w:rPr>
                  </w:pPr>
                  <w:r>
                    <w:rPr>
                      <w:b/>
                      <w:color w:val="auto"/>
                      <w:szCs w:val="21"/>
                    </w:rPr>
                    <w:t>浓度范围</w:t>
                  </w:r>
                </w:p>
                <w:p w14:paraId="22370B63">
                  <w:pPr>
                    <w:pStyle w:val="285"/>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0" w:type="dxa"/>
                  <w:tcBorders>
                    <w:bottom w:val="single" w:color="auto" w:sz="12" w:space="0"/>
                  </w:tcBorders>
                  <w:vAlign w:val="center"/>
                </w:tcPr>
                <w:p w14:paraId="64EBAF07">
                  <w:pPr>
                    <w:pStyle w:val="285"/>
                    <w:spacing w:after="0"/>
                    <w:rPr>
                      <w:b/>
                      <w:color w:val="auto"/>
                      <w:szCs w:val="21"/>
                    </w:rPr>
                  </w:pPr>
                  <w:r>
                    <w:rPr>
                      <w:b/>
                      <w:color w:val="auto"/>
                      <w:szCs w:val="21"/>
                    </w:rPr>
                    <w:t>最大占标率%</w:t>
                  </w:r>
                </w:p>
              </w:tc>
              <w:tc>
                <w:tcPr>
                  <w:tcW w:w="542" w:type="dxa"/>
                  <w:tcBorders>
                    <w:bottom w:val="single" w:color="auto" w:sz="12" w:space="0"/>
                  </w:tcBorders>
                  <w:vAlign w:val="center"/>
                </w:tcPr>
                <w:p w14:paraId="003C2062">
                  <w:pPr>
                    <w:pStyle w:val="285"/>
                    <w:spacing w:after="0"/>
                    <w:rPr>
                      <w:b/>
                      <w:color w:val="auto"/>
                      <w:szCs w:val="21"/>
                    </w:rPr>
                  </w:pPr>
                  <w:r>
                    <w:rPr>
                      <w:b/>
                      <w:color w:val="auto"/>
                      <w:szCs w:val="21"/>
                    </w:rPr>
                    <w:t>超标率%</w:t>
                  </w:r>
                </w:p>
              </w:tc>
              <w:tc>
                <w:tcPr>
                  <w:tcW w:w="825" w:type="dxa"/>
                  <w:tcBorders>
                    <w:bottom w:val="single" w:color="auto" w:sz="12" w:space="0"/>
                  </w:tcBorders>
                  <w:vAlign w:val="center"/>
                </w:tcPr>
                <w:p w14:paraId="2B1A60A3">
                  <w:pPr>
                    <w:pStyle w:val="285"/>
                    <w:spacing w:after="0"/>
                    <w:rPr>
                      <w:b/>
                      <w:color w:val="auto"/>
                      <w:szCs w:val="21"/>
                    </w:rPr>
                  </w:pPr>
                  <w:r>
                    <w:rPr>
                      <w:b/>
                      <w:color w:val="auto"/>
                      <w:szCs w:val="21"/>
                    </w:rPr>
                    <w:t>标准值</w:t>
                  </w:r>
                </w:p>
                <w:p w14:paraId="1BBF719C">
                  <w:pPr>
                    <w:pStyle w:val="285"/>
                    <w:spacing w:after="0"/>
                    <w:rPr>
                      <w:b/>
                      <w:color w:val="auto"/>
                      <w:szCs w:val="21"/>
                    </w:rPr>
                  </w:pPr>
                  <w:r>
                    <w:rPr>
                      <w:b/>
                      <w:color w:val="auto"/>
                      <w:szCs w:val="21"/>
                    </w:rPr>
                    <w:t>(mg/m</w:t>
                  </w:r>
                  <w:r>
                    <w:rPr>
                      <w:b/>
                      <w:color w:val="auto"/>
                      <w:szCs w:val="21"/>
                      <w:vertAlign w:val="superscript"/>
                    </w:rPr>
                    <w:t>3</w:t>
                  </w:r>
                  <w:r>
                    <w:rPr>
                      <w:b/>
                      <w:color w:val="auto"/>
                      <w:szCs w:val="21"/>
                    </w:rPr>
                    <w:t>)</w:t>
                  </w:r>
                </w:p>
              </w:tc>
              <w:tc>
                <w:tcPr>
                  <w:tcW w:w="934" w:type="dxa"/>
                  <w:tcBorders>
                    <w:bottom w:val="single" w:color="auto" w:sz="12" w:space="0"/>
                  </w:tcBorders>
                  <w:vAlign w:val="center"/>
                </w:tcPr>
                <w:p w14:paraId="16D9741D">
                  <w:pPr>
                    <w:pStyle w:val="285"/>
                    <w:spacing w:after="0"/>
                    <w:rPr>
                      <w:b/>
                      <w:color w:val="auto"/>
                      <w:szCs w:val="21"/>
                    </w:rPr>
                  </w:pPr>
                  <w:r>
                    <w:rPr>
                      <w:b/>
                      <w:color w:val="auto"/>
                      <w:szCs w:val="21"/>
                    </w:rPr>
                    <w:t>浓度范围</w:t>
                  </w:r>
                </w:p>
                <w:p w14:paraId="0286689D">
                  <w:pPr>
                    <w:pStyle w:val="285"/>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0" w:type="dxa"/>
                  <w:tcBorders>
                    <w:bottom w:val="single" w:color="auto" w:sz="12" w:space="0"/>
                  </w:tcBorders>
                  <w:vAlign w:val="center"/>
                </w:tcPr>
                <w:p w14:paraId="3F3E84C8">
                  <w:pPr>
                    <w:pStyle w:val="285"/>
                    <w:spacing w:after="0"/>
                    <w:rPr>
                      <w:b/>
                      <w:color w:val="auto"/>
                      <w:szCs w:val="21"/>
                    </w:rPr>
                  </w:pPr>
                  <w:r>
                    <w:rPr>
                      <w:b/>
                      <w:color w:val="auto"/>
                      <w:szCs w:val="21"/>
                    </w:rPr>
                    <w:t>最大占标率%</w:t>
                  </w:r>
                </w:p>
              </w:tc>
              <w:tc>
                <w:tcPr>
                  <w:tcW w:w="542" w:type="dxa"/>
                  <w:tcBorders>
                    <w:bottom w:val="single" w:color="auto" w:sz="12" w:space="0"/>
                  </w:tcBorders>
                  <w:vAlign w:val="center"/>
                </w:tcPr>
                <w:p w14:paraId="0AEDC3CF">
                  <w:pPr>
                    <w:pStyle w:val="285"/>
                    <w:spacing w:after="0"/>
                    <w:rPr>
                      <w:b/>
                      <w:color w:val="auto"/>
                      <w:szCs w:val="21"/>
                    </w:rPr>
                  </w:pPr>
                  <w:r>
                    <w:rPr>
                      <w:b/>
                      <w:color w:val="auto"/>
                      <w:szCs w:val="21"/>
                    </w:rPr>
                    <w:t>超标率%</w:t>
                  </w:r>
                </w:p>
              </w:tc>
              <w:tc>
                <w:tcPr>
                  <w:tcW w:w="826" w:type="dxa"/>
                  <w:tcBorders>
                    <w:bottom w:val="single" w:color="auto" w:sz="12" w:space="0"/>
                  </w:tcBorders>
                  <w:vAlign w:val="center"/>
                </w:tcPr>
                <w:p w14:paraId="69CB90E8">
                  <w:pPr>
                    <w:pStyle w:val="285"/>
                    <w:spacing w:after="0"/>
                    <w:rPr>
                      <w:b/>
                      <w:color w:val="auto"/>
                      <w:szCs w:val="21"/>
                    </w:rPr>
                  </w:pPr>
                  <w:r>
                    <w:rPr>
                      <w:b/>
                      <w:color w:val="auto"/>
                      <w:szCs w:val="21"/>
                    </w:rPr>
                    <w:t>标准值</w:t>
                  </w:r>
                </w:p>
                <w:p w14:paraId="1927B352">
                  <w:pPr>
                    <w:pStyle w:val="285"/>
                    <w:spacing w:after="0"/>
                    <w:rPr>
                      <w:b/>
                      <w:color w:val="auto"/>
                      <w:szCs w:val="21"/>
                    </w:rPr>
                  </w:pPr>
                  <w:r>
                    <w:rPr>
                      <w:b/>
                      <w:color w:val="auto"/>
                      <w:szCs w:val="21"/>
                    </w:rPr>
                    <w:t>(mg/m</w:t>
                  </w:r>
                  <w:r>
                    <w:rPr>
                      <w:b/>
                      <w:color w:val="auto"/>
                      <w:szCs w:val="21"/>
                      <w:vertAlign w:val="superscript"/>
                    </w:rPr>
                    <w:t>3</w:t>
                  </w:r>
                  <w:r>
                    <w:rPr>
                      <w:b/>
                      <w:color w:val="auto"/>
                      <w:szCs w:val="21"/>
                    </w:rPr>
                    <w:t>)</w:t>
                  </w:r>
                </w:p>
              </w:tc>
              <w:tc>
                <w:tcPr>
                  <w:tcW w:w="472" w:type="dxa"/>
                  <w:vMerge w:val="continue"/>
                  <w:tcBorders>
                    <w:bottom w:val="single" w:color="auto" w:sz="12" w:space="0"/>
                    <w:right w:val="nil"/>
                  </w:tcBorders>
                  <w:vAlign w:val="center"/>
                </w:tcPr>
                <w:p w14:paraId="4EE49F84">
                  <w:pPr>
                    <w:pStyle w:val="285"/>
                    <w:spacing w:after="0"/>
                    <w:rPr>
                      <w:color w:val="auto"/>
                      <w:szCs w:val="21"/>
                    </w:rPr>
                  </w:pPr>
                </w:p>
              </w:tc>
            </w:tr>
            <w:tr w14:paraId="024AB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 w:type="dxa"/>
                  <w:tcBorders>
                    <w:top w:val="single" w:color="auto" w:sz="8" w:space="0"/>
                    <w:left w:val="nil"/>
                    <w:bottom w:val="single" w:color="auto" w:sz="8" w:space="0"/>
                  </w:tcBorders>
                  <w:vAlign w:val="center"/>
                </w:tcPr>
                <w:p w14:paraId="53D7A477">
                  <w:pPr>
                    <w:pStyle w:val="285"/>
                    <w:spacing w:after="0"/>
                    <w:rPr>
                      <w:color w:val="auto"/>
                      <w:szCs w:val="21"/>
                    </w:rPr>
                  </w:pPr>
                  <w:r>
                    <w:rPr>
                      <w:color w:val="auto"/>
                      <w:szCs w:val="21"/>
                    </w:rPr>
                    <w:t>G</w:t>
                  </w:r>
                  <w:r>
                    <w:rPr>
                      <w:rFonts w:hint="eastAsia"/>
                      <w:color w:val="auto"/>
                      <w:szCs w:val="21"/>
                    </w:rPr>
                    <w:t>2高沟镇三口小区</w:t>
                  </w:r>
                </w:p>
              </w:tc>
              <w:tc>
                <w:tcPr>
                  <w:tcW w:w="715" w:type="dxa"/>
                  <w:tcBorders>
                    <w:top w:val="single" w:color="auto" w:sz="8" w:space="0"/>
                    <w:bottom w:val="single" w:color="auto" w:sz="8" w:space="0"/>
                  </w:tcBorders>
                  <w:vAlign w:val="center"/>
                </w:tcPr>
                <w:p w14:paraId="0AB76446">
                  <w:pPr>
                    <w:pStyle w:val="285"/>
                    <w:spacing w:after="0"/>
                    <w:rPr>
                      <w:color w:val="auto"/>
                      <w:szCs w:val="21"/>
                    </w:rPr>
                  </w:pPr>
                  <w:r>
                    <w:rPr>
                      <w:color w:val="auto"/>
                      <w:szCs w:val="21"/>
                    </w:rPr>
                    <w:t>NMHC</w:t>
                  </w:r>
                </w:p>
              </w:tc>
              <w:tc>
                <w:tcPr>
                  <w:tcW w:w="1255" w:type="dxa"/>
                  <w:tcBorders>
                    <w:top w:val="single" w:color="auto" w:sz="8" w:space="0"/>
                    <w:bottom w:val="single" w:color="auto" w:sz="8" w:space="0"/>
                  </w:tcBorders>
                  <w:vAlign w:val="center"/>
                </w:tcPr>
                <w:p w14:paraId="5EC6B133">
                  <w:pPr>
                    <w:pStyle w:val="285"/>
                    <w:spacing w:after="0"/>
                    <w:rPr>
                      <w:color w:val="auto"/>
                      <w:szCs w:val="21"/>
                    </w:rPr>
                  </w:pPr>
                  <w:r>
                    <w:rPr>
                      <w:rFonts w:hint="eastAsia"/>
                      <w:color w:val="auto"/>
                      <w:szCs w:val="21"/>
                    </w:rPr>
                    <w:t>0.55</w:t>
                  </w:r>
                  <w:r>
                    <w:rPr>
                      <w:color w:val="auto"/>
                      <w:szCs w:val="21"/>
                    </w:rPr>
                    <w:t>~</w:t>
                  </w:r>
                  <w:r>
                    <w:rPr>
                      <w:rFonts w:hint="eastAsia"/>
                      <w:color w:val="auto"/>
                      <w:szCs w:val="21"/>
                    </w:rPr>
                    <w:t>1.06</w:t>
                  </w:r>
                </w:p>
              </w:tc>
              <w:tc>
                <w:tcPr>
                  <w:tcW w:w="650" w:type="dxa"/>
                  <w:tcBorders>
                    <w:top w:val="single" w:color="auto" w:sz="8" w:space="0"/>
                    <w:bottom w:val="single" w:color="auto" w:sz="8" w:space="0"/>
                  </w:tcBorders>
                  <w:vAlign w:val="center"/>
                </w:tcPr>
                <w:p w14:paraId="1A3979AD">
                  <w:pPr>
                    <w:pStyle w:val="285"/>
                    <w:spacing w:after="0"/>
                    <w:rPr>
                      <w:color w:val="auto"/>
                      <w:szCs w:val="21"/>
                    </w:rPr>
                  </w:pPr>
                  <w:r>
                    <w:rPr>
                      <w:rFonts w:hint="eastAsia"/>
                      <w:color w:val="auto"/>
                      <w:szCs w:val="21"/>
                    </w:rPr>
                    <w:t>53</w:t>
                  </w:r>
                </w:p>
              </w:tc>
              <w:tc>
                <w:tcPr>
                  <w:tcW w:w="542" w:type="dxa"/>
                  <w:tcBorders>
                    <w:top w:val="single" w:color="auto" w:sz="8" w:space="0"/>
                    <w:bottom w:val="single" w:color="auto" w:sz="8" w:space="0"/>
                  </w:tcBorders>
                  <w:vAlign w:val="center"/>
                </w:tcPr>
                <w:p w14:paraId="664821C3">
                  <w:pPr>
                    <w:pStyle w:val="285"/>
                    <w:spacing w:after="0"/>
                    <w:rPr>
                      <w:color w:val="auto"/>
                      <w:szCs w:val="21"/>
                    </w:rPr>
                  </w:pPr>
                  <w:r>
                    <w:rPr>
                      <w:color w:val="auto"/>
                      <w:szCs w:val="21"/>
                    </w:rPr>
                    <w:t>0</w:t>
                  </w:r>
                </w:p>
              </w:tc>
              <w:tc>
                <w:tcPr>
                  <w:tcW w:w="825" w:type="dxa"/>
                  <w:tcBorders>
                    <w:top w:val="single" w:color="auto" w:sz="8" w:space="0"/>
                    <w:bottom w:val="single" w:color="auto" w:sz="8" w:space="0"/>
                  </w:tcBorders>
                  <w:vAlign w:val="center"/>
                </w:tcPr>
                <w:p w14:paraId="7664771E">
                  <w:pPr>
                    <w:pStyle w:val="285"/>
                    <w:spacing w:after="0"/>
                    <w:rPr>
                      <w:color w:val="auto"/>
                      <w:szCs w:val="21"/>
                    </w:rPr>
                  </w:pPr>
                  <w:r>
                    <w:rPr>
                      <w:color w:val="auto"/>
                      <w:szCs w:val="21"/>
                    </w:rPr>
                    <w:t>2.0</w:t>
                  </w:r>
                </w:p>
              </w:tc>
              <w:tc>
                <w:tcPr>
                  <w:tcW w:w="934" w:type="dxa"/>
                  <w:tcBorders>
                    <w:top w:val="single" w:color="auto" w:sz="8" w:space="0"/>
                    <w:bottom w:val="single" w:color="auto" w:sz="8" w:space="0"/>
                  </w:tcBorders>
                  <w:vAlign w:val="center"/>
                </w:tcPr>
                <w:p w14:paraId="0DD98580">
                  <w:pPr>
                    <w:pStyle w:val="285"/>
                    <w:spacing w:after="0"/>
                    <w:rPr>
                      <w:color w:val="auto"/>
                      <w:szCs w:val="21"/>
                    </w:rPr>
                  </w:pPr>
                  <w:r>
                    <w:rPr>
                      <w:color w:val="auto"/>
                      <w:szCs w:val="21"/>
                    </w:rPr>
                    <w:t>/</w:t>
                  </w:r>
                </w:p>
              </w:tc>
              <w:tc>
                <w:tcPr>
                  <w:tcW w:w="650" w:type="dxa"/>
                  <w:tcBorders>
                    <w:top w:val="single" w:color="auto" w:sz="8" w:space="0"/>
                    <w:bottom w:val="single" w:color="auto" w:sz="8" w:space="0"/>
                  </w:tcBorders>
                  <w:vAlign w:val="center"/>
                </w:tcPr>
                <w:p w14:paraId="1D484261">
                  <w:pPr>
                    <w:pStyle w:val="285"/>
                    <w:spacing w:after="0"/>
                    <w:rPr>
                      <w:color w:val="auto"/>
                      <w:szCs w:val="21"/>
                    </w:rPr>
                  </w:pPr>
                  <w:r>
                    <w:rPr>
                      <w:color w:val="auto"/>
                      <w:szCs w:val="21"/>
                    </w:rPr>
                    <w:t>/</w:t>
                  </w:r>
                </w:p>
              </w:tc>
              <w:tc>
                <w:tcPr>
                  <w:tcW w:w="542" w:type="dxa"/>
                  <w:tcBorders>
                    <w:top w:val="single" w:color="auto" w:sz="8" w:space="0"/>
                    <w:bottom w:val="single" w:color="auto" w:sz="8" w:space="0"/>
                  </w:tcBorders>
                  <w:vAlign w:val="center"/>
                </w:tcPr>
                <w:p w14:paraId="20D5DF1F">
                  <w:pPr>
                    <w:pStyle w:val="285"/>
                    <w:spacing w:after="0"/>
                    <w:rPr>
                      <w:color w:val="auto"/>
                      <w:szCs w:val="21"/>
                    </w:rPr>
                  </w:pPr>
                  <w:r>
                    <w:rPr>
                      <w:color w:val="auto"/>
                      <w:szCs w:val="21"/>
                    </w:rPr>
                    <w:t>/</w:t>
                  </w:r>
                </w:p>
              </w:tc>
              <w:tc>
                <w:tcPr>
                  <w:tcW w:w="826" w:type="dxa"/>
                  <w:tcBorders>
                    <w:top w:val="single" w:color="auto" w:sz="8" w:space="0"/>
                    <w:bottom w:val="single" w:color="auto" w:sz="8" w:space="0"/>
                  </w:tcBorders>
                  <w:vAlign w:val="center"/>
                </w:tcPr>
                <w:p w14:paraId="4A476241">
                  <w:pPr>
                    <w:pStyle w:val="285"/>
                    <w:spacing w:after="0"/>
                    <w:rPr>
                      <w:color w:val="auto"/>
                      <w:szCs w:val="21"/>
                    </w:rPr>
                  </w:pPr>
                  <w:r>
                    <w:rPr>
                      <w:color w:val="auto"/>
                      <w:szCs w:val="21"/>
                    </w:rPr>
                    <w:t>/</w:t>
                  </w:r>
                </w:p>
              </w:tc>
              <w:tc>
                <w:tcPr>
                  <w:tcW w:w="472" w:type="dxa"/>
                  <w:tcBorders>
                    <w:top w:val="single" w:color="auto" w:sz="8" w:space="0"/>
                    <w:bottom w:val="single" w:color="auto" w:sz="8" w:space="0"/>
                    <w:right w:val="nil"/>
                  </w:tcBorders>
                  <w:vAlign w:val="center"/>
                </w:tcPr>
                <w:p w14:paraId="41948E5D">
                  <w:pPr>
                    <w:pStyle w:val="285"/>
                    <w:spacing w:after="0"/>
                    <w:rPr>
                      <w:color w:val="auto"/>
                      <w:szCs w:val="21"/>
                    </w:rPr>
                  </w:pPr>
                  <w:r>
                    <w:rPr>
                      <w:color w:val="auto"/>
                      <w:szCs w:val="21"/>
                    </w:rPr>
                    <w:t>达标</w:t>
                  </w:r>
                </w:p>
              </w:tc>
            </w:tr>
            <w:tr w14:paraId="30317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 w:type="dxa"/>
                  <w:tcBorders>
                    <w:top w:val="single" w:color="auto" w:sz="8" w:space="0"/>
                    <w:left w:val="nil"/>
                    <w:bottom w:val="single" w:color="auto" w:sz="8" w:space="0"/>
                  </w:tcBorders>
                  <w:vAlign w:val="center"/>
                </w:tcPr>
                <w:p w14:paraId="40A7FEDF">
                  <w:pPr>
                    <w:pStyle w:val="285"/>
                    <w:spacing w:after="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G1</w:t>
                  </w:r>
                  <w:r>
                    <w:rPr>
                      <w:rFonts w:hint="eastAsia"/>
                      <w:color w:val="auto"/>
                      <w:szCs w:val="21"/>
                      <w:lang w:eastAsia="zh-CN"/>
                    </w:rPr>
                    <w:t>王道圩小区</w:t>
                  </w:r>
                </w:p>
              </w:tc>
              <w:tc>
                <w:tcPr>
                  <w:tcW w:w="715" w:type="dxa"/>
                  <w:tcBorders>
                    <w:top w:val="single" w:color="auto" w:sz="8" w:space="0"/>
                    <w:bottom w:val="single" w:color="auto" w:sz="8" w:space="0"/>
                  </w:tcBorders>
                  <w:vAlign w:val="center"/>
                </w:tcPr>
                <w:p w14:paraId="402C94AF">
                  <w:pPr>
                    <w:pStyle w:val="285"/>
                    <w:spacing w:after="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甲醛</w:t>
                  </w:r>
                </w:p>
              </w:tc>
              <w:tc>
                <w:tcPr>
                  <w:tcW w:w="1255" w:type="dxa"/>
                  <w:tcBorders>
                    <w:top w:val="single" w:color="auto" w:sz="8" w:space="0"/>
                    <w:bottom w:val="single" w:color="auto" w:sz="8" w:space="0"/>
                  </w:tcBorders>
                  <w:vAlign w:val="center"/>
                </w:tcPr>
                <w:p w14:paraId="1708F3CB">
                  <w:pPr>
                    <w:pStyle w:val="285"/>
                    <w:spacing w:after="0"/>
                    <w:rPr>
                      <w:rFonts w:hint="default" w:eastAsia="宋体"/>
                      <w:color w:val="auto"/>
                      <w:szCs w:val="21"/>
                      <w:lang w:val="en-US" w:eastAsia="zh-CN"/>
                    </w:rPr>
                  </w:pPr>
                  <w:r>
                    <w:rPr>
                      <w:rFonts w:hint="eastAsia"/>
                      <w:color w:val="auto"/>
                      <w:szCs w:val="21"/>
                      <w:lang w:val="en-US" w:eastAsia="zh-CN"/>
                    </w:rPr>
                    <w:t>ND</w:t>
                  </w:r>
                </w:p>
              </w:tc>
              <w:tc>
                <w:tcPr>
                  <w:tcW w:w="650" w:type="dxa"/>
                  <w:tcBorders>
                    <w:top w:val="single" w:color="auto" w:sz="8" w:space="0"/>
                    <w:bottom w:val="single" w:color="auto" w:sz="8" w:space="0"/>
                  </w:tcBorders>
                  <w:vAlign w:val="center"/>
                </w:tcPr>
                <w:p w14:paraId="1C710A53">
                  <w:pPr>
                    <w:pStyle w:val="285"/>
                    <w:spacing w:after="0"/>
                    <w:rPr>
                      <w:rFonts w:hint="default" w:eastAsia="宋体"/>
                      <w:color w:val="auto"/>
                      <w:szCs w:val="21"/>
                      <w:lang w:val="en-US" w:eastAsia="zh-CN"/>
                    </w:rPr>
                  </w:pPr>
                  <w:r>
                    <w:rPr>
                      <w:color w:val="auto"/>
                      <w:szCs w:val="21"/>
                    </w:rPr>
                    <w:t>0</w:t>
                  </w:r>
                </w:p>
              </w:tc>
              <w:tc>
                <w:tcPr>
                  <w:tcW w:w="542" w:type="dxa"/>
                  <w:tcBorders>
                    <w:top w:val="single" w:color="auto" w:sz="8" w:space="0"/>
                    <w:bottom w:val="single" w:color="auto" w:sz="8" w:space="0"/>
                  </w:tcBorders>
                  <w:vAlign w:val="center"/>
                </w:tcPr>
                <w:p w14:paraId="237D60C8">
                  <w:pPr>
                    <w:pStyle w:val="285"/>
                    <w:spacing w:after="0"/>
                    <w:rPr>
                      <w:color w:val="auto"/>
                      <w:szCs w:val="21"/>
                    </w:rPr>
                  </w:pPr>
                  <w:r>
                    <w:rPr>
                      <w:color w:val="auto"/>
                      <w:szCs w:val="21"/>
                    </w:rPr>
                    <w:t>0</w:t>
                  </w:r>
                </w:p>
              </w:tc>
              <w:tc>
                <w:tcPr>
                  <w:tcW w:w="825" w:type="dxa"/>
                  <w:tcBorders>
                    <w:top w:val="single" w:color="auto" w:sz="8" w:space="0"/>
                    <w:bottom w:val="single" w:color="auto" w:sz="8" w:space="0"/>
                  </w:tcBorders>
                  <w:vAlign w:val="center"/>
                </w:tcPr>
                <w:p w14:paraId="1993A9AC">
                  <w:pPr>
                    <w:pStyle w:val="285"/>
                    <w:spacing w:after="0"/>
                    <w:rPr>
                      <w:rFonts w:hint="default" w:eastAsia="宋体"/>
                      <w:color w:val="auto"/>
                      <w:szCs w:val="21"/>
                      <w:lang w:val="en-US" w:eastAsia="zh-CN"/>
                    </w:rPr>
                  </w:pPr>
                  <w:r>
                    <w:rPr>
                      <w:rFonts w:hint="eastAsia"/>
                      <w:color w:val="auto"/>
                      <w:szCs w:val="21"/>
                      <w:lang w:val="en-US" w:eastAsia="zh-CN"/>
                    </w:rPr>
                    <w:t>0.05</w:t>
                  </w:r>
                </w:p>
              </w:tc>
              <w:tc>
                <w:tcPr>
                  <w:tcW w:w="934" w:type="dxa"/>
                  <w:tcBorders>
                    <w:top w:val="single" w:color="auto" w:sz="8" w:space="0"/>
                    <w:bottom w:val="single" w:color="auto" w:sz="8" w:space="0"/>
                  </w:tcBorders>
                  <w:vAlign w:val="center"/>
                </w:tcPr>
                <w:p w14:paraId="27F6EBCF">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0" w:type="dxa"/>
                  <w:tcBorders>
                    <w:top w:val="single" w:color="auto" w:sz="8" w:space="0"/>
                    <w:bottom w:val="single" w:color="auto" w:sz="8" w:space="0"/>
                  </w:tcBorders>
                  <w:vAlign w:val="center"/>
                </w:tcPr>
                <w:p w14:paraId="3C731869">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2" w:type="dxa"/>
                  <w:tcBorders>
                    <w:top w:val="single" w:color="auto" w:sz="8" w:space="0"/>
                    <w:bottom w:val="single" w:color="auto" w:sz="8" w:space="0"/>
                  </w:tcBorders>
                  <w:vAlign w:val="center"/>
                </w:tcPr>
                <w:p w14:paraId="197235DA">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26" w:type="dxa"/>
                  <w:tcBorders>
                    <w:top w:val="single" w:color="auto" w:sz="8" w:space="0"/>
                    <w:bottom w:val="single" w:color="auto" w:sz="8" w:space="0"/>
                  </w:tcBorders>
                  <w:vAlign w:val="center"/>
                </w:tcPr>
                <w:p w14:paraId="1F6D60DA">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2" w:type="dxa"/>
                  <w:tcBorders>
                    <w:top w:val="single" w:color="auto" w:sz="8" w:space="0"/>
                    <w:bottom w:val="single" w:color="auto" w:sz="8" w:space="0"/>
                    <w:right w:val="nil"/>
                  </w:tcBorders>
                  <w:vAlign w:val="center"/>
                </w:tcPr>
                <w:p w14:paraId="129D3C3A">
                  <w:pPr>
                    <w:pStyle w:val="285"/>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r w14:paraId="72CCC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 w:type="dxa"/>
                  <w:tcBorders>
                    <w:top w:val="single" w:color="auto" w:sz="8" w:space="0"/>
                    <w:left w:val="nil"/>
                    <w:bottom w:val="single" w:color="auto" w:sz="8" w:space="0"/>
                  </w:tcBorders>
                  <w:vAlign w:val="center"/>
                </w:tcPr>
                <w:p w14:paraId="4D8D1824">
                  <w:pPr>
                    <w:pStyle w:val="285"/>
                    <w:spacing w:after="0"/>
                    <w:rPr>
                      <w:rFonts w:hint="eastAsia"/>
                      <w:color w:val="auto"/>
                      <w:szCs w:val="21"/>
                      <w:lang w:val="en-US" w:eastAsia="zh-CN"/>
                    </w:rPr>
                  </w:pPr>
                  <w:r>
                    <w:rPr>
                      <w:color w:val="auto"/>
                      <w:szCs w:val="21"/>
                    </w:rPr>
                    <w:t>G</w:t>
                  </w:r>
                  <w:r>
                    <w:rPr>
                      <w:rFonts w:hint="eastAsia"/>
                      <w:color w:val="auto"/>
                      <w:szCs w:val="21"/>
                    </w:rPr>
                    <w:t>2高沟镇三口小区</w:t>
                  </w:r>
                </w:p>
              </w:tc>
              <w:tc>
                <w:tcPr>
                  <w:tcW w:w="715" w:type="dxa"/>
                  <w:tcBorders>
                    <w:top w:val="single" w:color="auto" w:sz="8" w:space="0"/>
                    <w:bottom w:val="single" w:color="auto" w:sz="8" w:space="0"/>
                  </w:tcBorders>
                  <w:vAlign w:val="center"/>
                </w:tcPr>
                <w:p w14:paraId="35C3BD06">
                  <w:pPr>
                    <w:pStyle w:val="285"/>
                    <w:spacing w:after="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1255" w:type="dxa"/>
                  <w:tcBorders>
                    <w:top w:val="single" w:color="auto" w:sz="8" w:space="0"/>
                    <w:bottom w:val="single" w:color="auto" w:sz="8" w:space="0"/>
                  </w:tcBorders>
                  <w:vAlign w:val="center"/>
                </w:tcPr>
                <w:p w14:paraId="1BC61528">
                  <w:pPr>
                    <w:pStyle w:val="285"/>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ND</w:t>
                  </w:r>
                </w:p>
              </w:tc>
              <w:tc>
                <w:tcPr>
                  <w:tcW w:w="650" w:type="dxa"/>
                  <w:tcBorders>
                    <w:top w:val="single" w:color="auto" w:sz="8" w:space="0"/>
                    <w:bottom w:val="single" w:color="auto" w:sz="8" w:space="0"/>
                  </w:tcBorders>
                  <w:vAlign w:val="center"/>
                </w:tcPr>
                <w:p w14:paraId="524BA651">
                  <w:pPr>
                    <w:pStyle w:val="285"/>
                    <w:spacing w:after="0"/>
                    <w:rPr>
                      <w:rFonts w:hint="default" w:ascii="Times New Roman" w:hAnsi="Times New Roman" w:eastAsia="宋体" w:cs="Times New Roman"/>
                      <w:color w:val="auto"/>
                      <w:kern w:val="2"/>
                      <w:sz w:val="21"/>
                      <w:szCs w:val="21"/>
                      <w:lang w:val="en-US" w:eastAsia="zh-CN" w:bidi="ar-SA"/>
                    </w:rPr>
                  </w:pPr>
                  <w:r>
                    <w:rPr>
                      <w:color w:val="auto"/>
                      <w:szCs w:val="21"/>
                    </w:rPr>
                    <w:t>0</w:t>
                  </w:r>
                </w:p>
              </w:tc>
              <w:tc>
                <w:tcPr>
                  <w:tcW w:w="542" w:type="dxa"/>
                  <w:tcBorders>
                    <w:top w:val="single" w:color="auto" w:sz="8" w:space="0"/>
                    <w:bottom w:val="single" w:color="auto" w:sz="8" w:space="0"/>
                  </w:tcBorders>
                  <w:vAlign w:val="center"/>
                </w:tcPr>
                <w:p w14:paraId="587C8093">
                  <w:pPr>
                    <w:pStyle w:val="285"/>
                    <w:spacing w:after="0"/>
                    <w:rPr>
                      <w:rFonts w:ascii="Times New Roman" w:hAnsi="Times New Roman" w:eastAsia="宋体" w:cs="Times New Roman"/>
                      <w:color w:val="auto"/>
                      <w:kern w:val="2"/>
                      <w:sz w:val="21"/>
                      <w:szCs w:val="21"/>
                      <w:lang w:val="en-US" w:eastAsia="zh-CN" w:bidi="ar-SA"/>
                    </w:rPr>
                  </w:pPr>
                  <w:r>
                    <w:rPr>
                      <w:color w:val="auto"/>
                      <w:szCs w:val="21"/>
                    </w:rPr>
                    <w:t>0</w:t>
                  </w:r>
                </w:p>
              </w:tc>
              <w:tc>
                <w:tcPr>
                  <w:tcW w:w="825" w:type="dxa"/>
                  <w:tcBorders>
                    <w:top w:val="single" w:color="auto" w:sz="8" w:space="0"/>
                    <w:bottom w:val="single" w:color="auto" w:sz="8" w:space="0"/>
                  </w:tcBorders>
                  <w:vAlign w:val="center"/>
                </w:tcPr>
                <w:p w14:paraId="458E0A84">
                  <w:pPr>
                    <w:pStyle w:val="285"/>
                    <w:spacing w:after="0"/>
                    <w:rPr>
                      <w:rFonts w:hint="default"/>
                      <w:color w:val="auto"/>
                      <w:szCs w:val="21"/>
                      <w:lang w:val="en-US" w:eastAsia="zh-CN"/>
                    </w:rPr>
                  </w:pPr>
                  <w:r>
                    <w:rPr>
                      <w:rFonts w:hint="eastAsia"/>
                      <w:color w:val="auto"/>
                      <w:szCs w:val="21"/>
                      <w:lang w:val="en-US" w:eastAsia="zh-CN"/>
                    </w:rPr>
                    <w:t>0.2</w:t>
                  </w:r>
                </w:p>
              </w:tc>
              <w:tc>
                <w:tcPr>
                  <w:tcW w:w="934" w:type="dxa"/>
                  <w:tcBorders>
                    <w:top w:val="single" w:color="auto" w:sz="8" w:space="0"/>
                    <w:bottom w:val="single" w:color="auto" w:sz="8" w:space="0"/>
                  </w:tcBorders>
                  <w:vAlign w:val="center"/>
                </w:tcPr>
                <w:p w14:paraId="15C57384">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0" w:type="dxa"/>
                  <w:tcBorders>
                    <w:top w:val="single" w:color="auto" w:sz="8" w:space="0"/>
                    <w:bottom w:val="single" w:color="auto" w:sz="8" w:space="0"/>
                  </w:tcBorders>
                  <w:vAlign w:val="center"/>
                </w:tcPr>
                <w:p w14:paraId="4224E4AB">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2" w:type="dxa"/>
                  <w:tcBorders>
                    <w:top w:val="single" w:color="auto" w:sz="8" w:space="0"/>
                    <w:bottom w:val="single" w:color="auto" w:sz="8" w:space="0"/>
                  </w:tcBorders>
                  <w:vAlign w:val="center"/>
                </w:tcPr>
                <w:p w14:paraId="77355287">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26" w:type="dxa"/>
                  <w:tcBorders>
                    <w:top w:val="single" w:color="auto" w:sz="8" w:space="0"/>
                    <w:bottom w:val="single" w:color="auto" w:sz="8" w:space="0"/>
                  </w:tcBorders>
                  <w:vAlign w:val="center"/>
                </w:tcPr>
                <w:p w14:paraId="48A98477">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2" w:type="dxa"/>
                  <w:tcBorders>
                    <w:top w:val="single" w:color="auto" w:sz="8" w:space="0"/>
                    <w:bottom w:val="single" w:color="auto" w:sz="8" w:space="0"/>
                    <w:right w:val="nil"/>
                  </w:tcBorders>
                  <w:vAlign w:val="center"/>
                </w:tcPr>
                <w:p w14:paraId="0A22E941">
                  <w:pPr>
                    <w:pStyle w:val="285"/>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r w14:paraId="26B9B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 w:type="dxa"/>
                  <w:tcBorders>
                    <w:top w:val="single" w:color="auto" w:sz="8" w:space="0"/>
                    <w:left w:val="nil"/>
                    <w:bottom w:val="single" w:color="auto" w:sz="12" w:space="0"/>
                  </w:tcBorders>
                  <w:vAlign w:val="center"/>
                </w:tcPr>
                <w:p w14:paraId="34AC2EE7">
                  <w:pPr>
                    <w:pStyle w:val="285"/>
                    <w:spacing w:after="0"/>
                    <w:rPr>
                      <w:rFonts w:hint="eastAsia" w:ascii="Times New Roman" w:hAnsi="Times New Roman" w:eastAsia="宋体" w:cs="Times New Roman"/>
                      <w:color w:val="auto"/>
                      <w:kern w:val="2"/>
                      <w:sz w:val="21"/>
                      <w:szCs w:val="21"/>
                      <w:lang w:val="en-US" w:eastAsia="zh-CN" w:bidi="ar-SA"/>
                    </w:rPr>
                  </w:pPr>
                  <w:r>
                    <w:rPr>
                      <w:color w:val="auto"/>
                      <w:szCs w:val="21"/>
                    </w:rPr>
                    <w:t>G</w:t>
                  </w:r>
                  <w:r>
                    <w:rPr>
                      <w:rFonts w:hint="eastAsia"/>
                      <w:color w:val="auto"/>
                      <w:szCs w:val="21"/>
                    </w:rPr>
                    <w:t>2高沟镇三口小区</w:t>
                  </w:r>
                </w:p>
              </w:tc>
              <w:tc>
                <w:tcPr>
                  <w:tcW w:w="715" w:type="dxa"/>
                  <w:tcBorders>
                    <w:top w:val="single" w:color="auto" w:sz="8" w:space="0"/>
                    <w:bottom w:val="single" w:color="auto" w:sz="12" w:space="0"/>
                  </w:tcBorders>
                  <w:vAlign w:val="center"/>
                </w:tcPr>
                <w:p w14:paraId="76F5605C">
                  <w:pPr>
                    <w:pStyle w:val="285"/>
                    <w:spacing w:after="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臭气浓度（无量纲）</w:t>
                  </w:r>
                </w:p>
              </w:tc>
              <w:tc>
                <w:tcPr>
                  <w:tcW w:w="1255" w:type="dxa"/>
                  <w:tcBorders>
                    <w:top w:val="single" w:color="auto" w:sz="8" w:space="0"/>
                    <w:bottom w:val="single" w:color="auto" w:sz="12" w:space="0"/>
                  </w:tcBorders>
                  <w:vAlign w:val="center"/>
                </w:tcPr>
                <w:p w14:paraId="780BB89E">
                  <w:pPr>
                    <w:pStyle w:val="285"/>
                    <w:spacing w:after="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c>
                <w:tcPr>
                  <w:tcW w:w="650" w:type="dxa"/>
                  <w:tcBorders>
                    <w:top w:val="single" w:color="auto" w:sz="8" w:space="0"/>
                    <w:bottom w:val="single" w:color="auto" w:sz="12" w:space="0"/>
                  </w:tcBorders>
                  <w:vAlign w:val="center"/>
                </w:tcPr>
                <w:p w14:paraId="3B20F0C0">
                  <w:pPr>
                    <w:pStyle w:val="285"/>
                    <w:spacing w:after="0"/>
                    <w:rPr>
                      <w:rFonts w:hint="default" w:ascii="Times New Roman" w:hAnsi="Times New Roman" w:eastAsia="宋体" w:cs="Times New Roman"/>
                      <w:color w:val="auto"/>
                      <w:kern w:val="2"/>
                      <w:sz w:val="21"/>
                      <w:szCs w:val="21"/>
                      <w:lang w:val="en-US" w:eastAsia="zh-CN" w:bidi="ar-SA"/>
                    </w:rPr>
                  </w:pPr>
                  <w:r>
                    <w:rPr>
                      <w:color w:val="auto"/>
                      <w:szCs w:val="21"/>
                    </w:rPr>
                    <w:t>0</w:t>
                  </w:r>
                </w:p>
              </w:tc>
              <w:tc>
                <w:tcPr>
                  <w:tcW w:w="542" w:type="dxa"/>
                  <w:tcBorders>
                    <w:top w:val="single" w:color="auto" w:sz="8" w:space="0"/>
                    <w:bottom w:val="single" w:color="auto" w:sz="12" w:space="0"/>
                  </w:tcBorders>
                  <w:vAlign w:val="center"/>
                </w:tcPr>
                <w:p w14:paraId="124AD54B">
                  <w:pPr>
                    <w:pStyle w:val="285"/>
                    <w:spacing w:after="0"/>
                    <w:rPr>
                      <w:rFonts w:ascii="Times New Roman" w:hAnsi="Times New Roman" w:eastAsia="宋体" w:cs="Times New Roman"/>
                      <w:color w:val="auto"/>
                      <w:kern w:val="2"/>
                      <w:sz w:val="21"/>
                      <w:szCs w:val="21"/>
                      <w:lang w:val="en-US" w:eastAsia="zh-CN" w:bidi="ar-SA"/>
                    </w:rPr>
                  </w:pPr>
                  <w:r>
                    <w:rPr>
                      <w:color w:val="auto"/>
                      <w:szCs w:val="21"/>
                    </w:rPr>
                    <w:t>0</w:t>
                  </w:r>
                </w:p>
              </w:tc>
              <w:tc>
                <w:tcPr>
                  <w:tcW w:w="825" w:type="dxa"/>
                  <w:tcBorders>
                    <w:top w:val="single" w:color="auto" w:sz="8" w:space="0"/>
                    <w:bottom w:val="single" w:color="auto" w:sz="12" w:space="0"/>
                  </w:tcBorders>
                  <w:vAlign w:val="center"/>
                </w:tcPr>
                <w:p w14:paraId="5E4DFD5B">
                  <w:pPr>
                    <w:pStyle w:val="285"/>
                    <w:spacing w:after="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34" w:type="dxa"/>
                  <w:tcBorders>
                    <w:top w:val="single" w:color="auto" w:sz="8" w:space="0"/>
                    <w:bottom w:val="single" w:color="auto" w:sz="12" w:space="0"/>
                  </w:tcBorders>
                  <w:vAlign w:val="center"/>
                </w:tcPr>
                <w:p w14:paraId="408A7524">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0" w:type="dxa"/>
                  <w:tcBorders>
                    <w:top w:val="single" w:color="auto" w:sz="8" w:space="0"/>
                    <w:bottom w:val="single" w:color="auto" w:sz="12" w:space="0"/>
                  </w:tcBorders>
                  <w:vAlign w:val="center"/>
                </w:tcPr>
                <w:p w14:paraId="3A2FCB76">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2" w:type="dxa"/>
                  <w:tcBorders>
                    <w:top w:val="single" w:color="auto" w:sz="8" w:space="0"/>
                    <w:bottom w:val="single" w:color="auto" w:sz="12" w:space="0"/>
                  </w:tcBorders>
                  <w:vAlign w:val="center"/>
                </w:tcPr>
                <w:p w14:paraId="30C615BB">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26" w:type="dxa"/>
                  <w:tcBorders>
                    <w:top w:val="single" w:color="auto" w:sz="8" w:space="0"/>
                    <w:bottom w:val="single" w:color="auto" w:sz="12" w:space="0"/>
                  </w:tcBorders>
                  <w:vAlign w:val="center"/>
                </w:tcPr>
                <w:p w14:paraId="09980C01">
                  <w:pPr>
                    <w:pStyle w:val="285"/>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2" w:type="dxa"/>
                  <w:tcBorders>
                    <w:top w:val="single" w:color="auto" w:sz="8" w:space="0"/>
                    <w:bottom w:val="single" w:color="auto" w:sz="12" w:space="0"/>
                    <w:right w:val="nil"/>
                  </w:tcBorders>
                  <w:vAlign w:val="center"/>
                </w:tcPr>
                <w:p w14:paraId="45DDC27E">
                  <w:pPr>
                    <w:pStyle w:val="285"/>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bl>
          <w:p w14:paraId="7DA3D561">
            <w:pPr>
              <w:adjustRightInd w:val="0"/>
              <w:snapToGrid w:val="0"/>
              <w:spacing w:line="360" w:lineRule="auto"/>
              <w:ind w:firstLine="480" w:firstLineChars="200"/>
              <w:rPr>
                <w:rFonts w:eastAsia="宋体"/>
                <w:color w:val="auto"/>
                <w:sz w:val="24"/>
              </w:rPr>
            </w:pPr>
            <w:r>
              <w:rPr>
                <w:color w:val="auto"/>
                <w:sz w:val="24"/>
              </w:rPr>
              <w:t>监测结果表明：引用监测点位非甲烷总烃能满足《大气污染物综合排放标准详解》中的限值</w:t>
            </w:r>
            <w:r>
              <w:rPr>
                <w:rFonts w:hint="eastAsia"/>
                <w:color w:val="auto"/>
                <w:sz w:val="24"/>
              </w:rPr>
              <w:t>，</w:t>
            </w:r>
            <w:r>
              <w:rPr>
                <w:rFonts w:hint="eastAsia"/>
                <w:color w:val="auto"/>
                <w:sz w:val="24"/>
                <w:lang w:eastAsia="zh-CN"/>
              </w:rPr>
              <w:t>甲醛、氨</w:t>
            </w:r>
            <w:r>
              <w:rPr>
                <w:rFonts w:eastAsia="宋体"/>
                <w:color w:val="auto"/>
                <w:sz w:val="24"/>
              </w:rPr>
              <w:t>《环境影响评价技术导则 大气环境》（HJ2.2-2018）附录D</w:t>
            </w:r>
            <w:r>
              <w:rPr>
                <w:color w:val="auto"/>
                <w:sz w:val="24"/>
              </w:rPr>
              <w:t>中的限值</w:t>
            </w:r>
            <w:r>
              <w:rPr>
                <w:rFonts w:hint="eastAsia"/>
                <w:color w:val="auto"/>
                <w:sz w:val="24"/>
                <w:lang w:eastAsia="zh-CN"/>
              </w:rPr>
              <w:t>，</w:t>
            </w:r>
            <w:r>
              <w:rPr>
                <w:rFonts w:eastAsia="宋体"/>
                <w:color w:val="auto"/>
                <w:sz w:val="24"/>
              </w:rPr>
              <w:t>区域环境空气质量现状良好。</w:t>
            </w:r>
          </w:p>
          <w:p w14:paraId="3FCF65C8">
            <w:pPr>
              <w:pStyle w:val="275"/>
              <w:spacing w:before="0" w:after="0"/>
              <w:ind w:firstLine="482" w:firstLineChars="200"/>
              <w:rPr>
                <w:rFonts w:cs="Times New Roman"/>
                <w:color w:val="auto"/>
                <w:kern w:val="2"/>
                <w:szCs w:val="24"/>
              </w:rPr>
            </w:pPr>
            <w:bookmarkStart w:id="27" w:name="_Toc23641"/>
            <w:r>
              <w:rPr>
                <w:rFonts w:cs="Times New Roman"/>
                <w:color w:val="auto"/>
              </w:rPr>
              <w:t>2</w:t>
            </w:r>
            <w:r>
              <w:rPr>
                <w:rFonts w:cs="Times New Roman"/>
                <w:color w:val="auto"/>
                <w:kern w:val="2"/>
                <w:szCs w:val="24"/>
              </w:rPr>
              <w:t>、地表水环境</w:t>
            </w:r>
            <w:bookmarkEnd w:id="27"/>
          </w:p>
          <w:p w14:paraId="5768919A">
            <w:pPr>
              <w:spacing w:line="360" w:lineRule="auto"/>
              <w:ind w:firstLine="480" w:firstLineChars="200"/>
              <w:contextualSpacing/>
              <w:rPr>
                <w:color w:val="auto"/>
                <w:sz w:val="24"/>
              </w:rPr>
            </w:pPr>
            <w:r>
              <w:rPr>
                <w:rFonts w:hint="eastAsia"/>
                <w:bCs/>
                <w:color w:val="auto"/>
                <w:sz w:val="24"/>
              </w:rPr>
              <w:t>建设项目污水受纳水体为盐河，根据《2023 年淮安市生态环境状况公报》“盐河总体水质处于良好状态”，则盐河水质能够满足《地表水环境质量标准》（GB3838-2002）Ⅲ类水质标准，水质状况良好。</w:t>
            </w:r>
          </w:p>
          <w:p w14:paraId="27E80C9E">
            <w:pPr>
              <w:spacing w:line="360" w:lineRule="auto"/>
              <w:ind w:firstLine="482" w:firstLineChars="200"/>
              <w:contextualSpacing/>
              <w:rPr>
                <w:b/>
                <w:color w:val="auto"/>
                <w:sz w:val="24"/>
              </w:rPr>
            </w:pPr>
            <w:r>
              <w:rPr>
                <w:b/>
                <w:color w:val="auto"/>
                <w:sz w:val="24"/>
              </w:rPr>
              <w:t>3、声环境</w:t>
            </w:r>
          </w:p>
          <w:p w14:paraId="382095B2">
            <w:pPr>
              <w:pStyle w:val="18"/>
              <w:widowControl w:val="0"/>
              <w:snapToGrid/>
              <w:spacing w:before="0" w:after="0" w:line="360" w:lineRule="auto"/>
              <w:ind w:right="0" w:firstLine="480" w:firstLineChars="200"/>
              <w:rPr>
                <w:color w:val="auto"/>
                <w:kern w:val="2"/>
                <w:sz w:val="24"/>
                <w:szCs w:val="24"/>
              </w:rPr>
            </w:pPr>
            <w:r>
              <w:rPr>
                <w:rFonts w:hint="eastAsia" w:hAnsi="宋体"/>
                <w:color w:val="auto"/>
                <w:sz w:val="24"/>
              </w:rPr>
              <w:t>根据《2023 年淮安市生态环境状况公报》显示，2023年，淮安市声环境总体较好，全市各功能区昼夜噪声均达标。全市区域环境昼间噪声均值为55.1dB（A），夜间均值为45.3dB（A），同比均有所改善；全市昼间交通噪声均值为 65.4dB（A），夜间交通噪声均值为55.4dB（A），均保持稳定，处于“好”水平。厂界外周边50 米范围内不涉及声环境敏感保护目标。</w:t>
            </w:r>
          </w:p>
          <w:p w14:paraId="32C7300E">
            <w:pPr>
              <w:spacing w:line="360" w:lineRule="auto"/>
              <w:ind w:firstLine="482" w:firstLineChars="200"/>
              <w:contextualSpacing/>
              <w:rPr>
                <w:b/>
                <w:color w:val="auto"/>
                <w:sz w:val="24"/>
              </w:rPr>
            </w:pPr>
            <w:r>
              <w:rPr>
                <w:b/>
                <w:color w:val="auto"/>
                <w:sz w:val="24"/>
              </w:rPr>
              <w:t>4、生态环境</w:t>
            </w:r>
          </w:p>
          <w:p w14:paraId="31B22EE5">
            <w:pPr>
              <w:pStyle w:val="18"/>
              <w:widowControl w:val="0"/>
              <w:snapToGrid/>
              <w:spacing w:before="0" w:after="0" w:line="360" w:lineRule="auto"/>
              <w:ind w:right="0" w:firstLine="480" w:firstLineChars="200"/>
              <w:rPr>
                <w:color w:val="auto"/>
                <w:kern w:val="2"/>
                <w:sz w:val="24"/>
                <w:szCs w:val="24"/>
              </w:rPr>
            </w:pPr>
            <w:r>
              <w:rPr>
                <w:color w:val="auto"/>
                <w:kern w:val="2"/>
                <w:sz w:val="24"/>
                <w:szCs w:val="24"/>
              </w:rPr>
              <w:t>本项目位于</w:t>
            </w:r>
            <w:r>
              <w:rPr>
                <w:color w:val="auto"/>
                <w:sz w:val="24"/>
                <w:szCs w:val="24"/>
                <w:lang w:val="zh-CN"/>
              </w:rPr>
              <w:t>淮安市涟水县</w:t>
            </w:r>
            <w:r>
              <w:rPr>
                <w:rFonts w:hint="eastAsia"/>
                <w:color w:val="auto"/>
                <w:sz w:val="24"/>
                <w:szCs w:val="24"/>
                <w:lang w:val="zh-CN"/>
              </w:rPr>
              <w:t>高沟</w:t>
            </w:r>
            <w:r>
              <w:rPr>
                <w:color w:val="auto"/>
                <w:sz w:val="24"/>
                <w:szCs w:val="24"/>
                <w:lang w:val="zh-CN"/>
              </w:rPr>
              <w:t>镇</w:t>
            </w:r>
            <w:r>
              <w:rPr>
                <w:rFonts w:hint="eastAsia"/>
                <w:color w:val="auto"/>
                <w:sz w:val="24"/>
                <w:szCs w:val="24"/>
                <w:lang w:val="zh-CN"/>
              </w:rPr>
              <w:t>高秀</w:t>
            </w:r>
            <w:r>
              <w:rPr>
                <w:color w:val="auto"/>
                <w:sz w:val="24"/>
                <w:szCs w:val="24"/>
                <w:lang w:val="zh-CN"/>
              </w:rPr>
              <w:t>工业集中区</w:t>
            </w:r>
            <w:r>
              <w:rPr>
                <w:rFonts w:hint="eastAsia"/>
                <w:color w:val="auto"/>
                <w:sz w:val="24"/>
                <w:szCs w:val="24"/>
                <w:lang w:val="zh-CN"/>
              </w:rPr>
              <w:t>，租赁奥峰木业内两栋空厂房进行建设，项目建设符合</w:t>
            </w:r>
            <w:r>
              <w:rPr>
                <w:color w:val="auto"/>
                <w:sz w:val="24"/>
              </w:rPr>
              <w:t>《涟水县城市总体规划》（2013—2030）中</w:t>
            </w:r>
            <w:r>
              <w:rPr>
                <w:rFonts w:hint="eastAsia"/>
                <w:color w:val="auto"/>
                <w:sz w:val="24"/>
              </w:rPr>
              <w:t>红窑</w:t>
            </w:r>
            <w:r>
              <w:rPr>
                <w:color w:val="auto"/>
                <w:sz w:val="24"/>
              </w:rPr>
              <w:t>镇的职能定位和产业发展策略</w:t>
            </w:r>
            <w:r>
              <w:rPr>
                <w:rFonts w:hint="eastAsia"/>
                <w:color w:val="auto"/>
                <w:sz w:val="24"/>
              </w:rPr>
              <w:t>，符合《省政府关于印发江苏省“三线一单”生态环境分区管控方案的通知》（苏政发〔2020〕49号）和《市政府关于印发淮安市“三线一单”生态环境分区管控方案的通知》（淮政发〔2020〕16号）要求，项目</w:t>
            </w:r>
            <w:r>
              <w:rPr>
                <w:color w:val="auto"/>
                <w:kern w:val="2"/>
                <w:sz w:val="24"/>
                <w:szCs w:val="24"/>
              </w:rPr>
              <w:t>用地范围内不含有生态环境保护目标</w:t>
            </w:r>
            <w:r>
              <w:rPr>
                <w:rFonts w:hint="eastAsia"/>
                <w:color w:val="auto"/>
                <w:kern w:val="2"/>
                <w:sz w:val="24"/>
                <w:szCs w:val="24"/>
              </w:rPr>
              <w:t>，根据建设项目环境影响报告表编制技术指南（污染影响类）</w:t>
            </w:r>
            <w:r>
              <w:rPr>
                <w:color w:val="auto"/>
                <w:kern w:val="2"/>
                <w:sz w:val="24"/>
                <w:szCs w:val="24"/>
              </w:rPr>
              <w:t>，</w:t>
            </w:r>
            <w:r>
              <w:rPr>
                <w:rFonts w:hint="eastAsia"/>
                <w:color w:val="auto"/>
                <w:kern w:val="2"/>
                <w:sz w:val="24"/>
                <w:szCs w:val="24"/>
              </w:rPr>
              <w:t>可</w:t>
            </w:r>
            <w:r>
              <w:rPr>
                <w:color w:val="auto"/>
                <w:kern w:val="2"/>
                <w:sz w:val="24"/>
                <w:szCs w:val="24"/>
              </w:rPr>
              <w:t>不进行生态现状调查。</w:t>
            </w:r>
          </w:p>
          <w:p w14:paraId="35A64747">
            <w:pPr>
              <w:spacing w:line="360" w:lineRule="auto"/>
              <w:ind w:firstLine="482" w:firstLineChars="200"/>
              <w:contextualSpacing/>
              <w:rPr>
                <w:b/>
                <w:color w:val="auto"/>
                <w:sz w:val="24"/>
              </w:rPr>
            </w:pPr>
            <w:r>
              <w:rPr>
                <w:b/>
                <w:color w:val="auto"/>
                <w:sz w:val="24"/>
              </w:rPr>
              <w:t>5、电磁辐射</w:t>
            </w:r>
          </w:p>
          <w:p w14:paraId="53539663">
            <w:pPr>
              <w:pStyle w:val="18"/>
              <w:widowControl w:val="0"/>
              <w:snapToGrid/>
              <w:spacing w:before="0" w:after="0" w:line="360" w:lineRule="auto"/>
              <w:ind w:right="0" w:firstLine="480" w:firstLineChars="200"/>
              <w:rPr>
                <w:color w:val="auto"/>
                <w:kern w:val="2"/>
                <w:sz w:val="24"/>
                <w:szCs w:val="24"/>
              </w:rPr>
            </w:pPr>
            <w:r>
              <w:rPr>
                <w:color w:val="auto"/>
                <w:kern w:val="2"/>
                <w:sz w:val="24"/>
                <w:szCs w:val="24"/>
              </w:rPr>
              <w:t>本项目不属于新建或改建、扩建广播电台、差转台、电视塔台、卫星地球上行站、雷达等电磁辐射类项目，故不开展电磁辐射现状监测与评价。</w:t>
            </w:r>
          </w:p>
          <w:p w14:paraId="3A3DAC51">
            <w:pPr>
              <w:spacing w:line="360" w:lineRule="auto"/>
              <w:ind w:firstLine="482" w:firstLineChars="200"/>
              <w:contextualSpacing/>
              <w:rPr>
                <w:b/>
                <w:color w:val="auto"/>
                <w:sz w:val="24"/>
              </w:rPr>
            </w:pPr>
            <w:r>
              <w:rPr>
                <w:b/>
                <w:color w:val="auto"/>
                <w:sz w:val="24"/>
              </w:rPr>
              <w:t>6、地下水、土壤环境</w:t>
            </w:r>
          </w:p>
          <w:p w14:paraId="45E961BC">
            <w:pPr>
              <w:pStyle w:val="11"/>
              <w:spacing w:line="360" w:lineRule="auto"/>
              <w:ind w:firstLine="480"/>
              <w:rPr>
                <w:color w:val="auto"/>
                <w:sz w:val="24"/>
              </w:rPr>
            </w:pPr>
            <w:r>
              <w:rPr>
                <w:color w:val="auto"/>
                <w:sz w:val="24"/>
              </w:rPr>
              <w:t>根据《建设项目环境影响报告表编制技术指南（污染影响类）（试行）》，原则上不开展地下水、土壤环境质量现状调查，企业采取各项防渗、防污措施，一般不存在土壤环境污染，可不开展地下水、土壤环境现状调查。</w:t>
            </w:r>
          </w:p>
        </w:tc>
      </w:tr>
      <w:tr w14:paraId="69DC2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dxa"/>
            <w:vAlign w:val="center"/>
          </w:tcPr>
          <w:p w14:paraId="03468952">
            <w:pPr>
              <w:adjustRightInd w:val="0"/>
              <w:snapToGrid w:val="0"/>
              <w:jc w:val="center"/>
              <w:rPr>
                <w:color w:val="auto"/>
                <w:kern w:val="0"/>
                <w:sz w:val="24"/>
              </w:rPr>
            </w:pPr>
            <w:r>
              <w:rPr>
                <w:color w:val="auto"/>
                <w:kern w:val="0"/>
                <w:sz w:val="24"/>
              </w:rPr>
              <w:t>环</w:t>
            </w:r>
          </w:p>
          <w:p w14:paraId="21BADA66">
            <w:pPr>
              <w:adjustRightInd w:val="0"/>
              <w:snapToGrid w:val="0"/>
              <w:jc w:val="center"/>
              <w:rPr>
                <w:color w:val="auto"/>
                <w:kern w:val="0"/>
                <w:sz w:val="24"/>
              </w:rPr>
            </w:pPr>
            <w:r>
              <w:rPr>
                <w:color w:val="auto"/>
                <w:kern w:val="0"/>
                <w:sz w:val="24"/>
              </w:rPr>
              <w:t>境</w:t>
            </w:r>
          </w:p>
          <w:p w14:paraId="729C0AE7">
            <w:pPr>
              <w:adjustRightInd w:val="0"/>
              <w:snapToGrid w:val="0"/>
              <w:jc w:val="center"/>
              <w:rPr>
                <w:color w:val="auto"/>
                <w:kern w:val="0"/>
                <w:sz w:val="24"/>
              </w:rPr>
            </w:pPr>
            <w:r>
              <w:rPr>
                <w:color w:val="auto"/>
                <w:kern w:val="0"/>
                <w:sz w:val="24"/>
              </w:rPr>
              <w:t>保</w:t>
            </w:r>
          </w:p>
          <w:p w14:paraId="6522070D">
            <w:pPr>
              <w:adjustRightInd w:val="0"/>
              <w:snapToGrid w:val="0"/>
              <w:jc w:val="center"/>
              <w:rPr>
                <w:color w:val="auto"/>
                <w:kern w:val="0"/>
                <w:sz w:val="24"/>
              </w:rPr>
            </w:pPr>
            <w:r>
              <w:rPr>
                <w:color w:val="auto"/>
                <w:kern w:val="0"/>
                <w:sz w:val="24"/>
              </w:rPr>
              <w:t>护</w:t>
            </w:r>
          </w:p>
          <w:p w14:paraId="48FA52A2">
            <w:pPr>
              <w:adjustRightInd w:val="0"/>
              <w:snapToGrid w:val="0"/>
              <w:jc w:val="center"/>
              <w:rPr>
                <w:color w:val="auto"/>
                <w:kern w:val="0"/>
                <w:sz w:val="24"/>
              </w:rPr>
            </w:pPr>
            <w:r>
              <w:rPr>
                <w:color w:val="auto"/>
                <w:kern w:val="0"/>
                <w:sz w:val="24"/>
              </w:rPr>
              <w:t>目</w:t>
            </w:r>
          </w:p>
          <w:p w14:paraId="7E935AC4">
            <w:pPr>
              <w:adjustRightInd w:val="0"/>
              <w:snapToGrid w:val="0"/>
              <w:jc w:val="center"/>
              <w:rPr>
                <w:color w:val="auto"/>
                <w:kern w:val="0"/>
                <w:sz w:val="24"/>
              </w:rPr>
            </w:pPr>
            <w:r>
              <w:rPr>
                <w:color w:val="auto"/>
                <w:kern w:val="0"/>
                <w:sz w:val="24"/>
              </w:rPr>
              <w:t>标</w:t>
            </w:r>
          </w:p>
        </w:tc>
        <w:tc>
          <w:tcPr>
            <w:tcW w:w="8541" w:type="dxa"/>
            <w:vAlign w:val="center"/>
          </w:tcPr>
          <w:p w14:paraId="05F65F38">
            <w:pPr>
              <w:pStyle w:val="18"/>
              <w:widowControl w:val="0"/>
              <w:snapToGrid/>
              <w:spacing w:before="0" w:after="0" w:line="360" w:lineRule="auto"/>
              <w:ind w:right="0"/>
              <w:jc w:val="left"/>
              <w:rPr>
                <w:b/>
                <w:color w:val="auto"/>
                <w:kern w:val="2"/>
                <w:sz w:val="24"/>
                <w:szCs w:val="24"/>
              </w:rPr>
            </w:pPr>
            <w:r>
              <w:rPr>
                <w:b/>
                <w:color w:val="auto"/>
                <w:kern w:val="2"/>
                <w:sz w:val="24"/>
                <w:szCs w:val="24"/>
              </w:rPr>
              <w:t>1、大气环境</w:t>
            </w:r>
          </w:p>
          <w:p w14:paraId="3821C62A">
            <w:pPr>
              <w:pStyle w:val="271"/>
              <w:ind w:firstLine="480"/>
              <w:rPr>
                <w:color w:val="auto"/>
              </w:rPr>
            </w:pPr>
            <w:r>
              <w:rPr>
                <w:color w:val="auto"/>
              </w:rPr>
              <w:t>项目</w:t>
            </w:r>
            <w:r>
              <w:rPr>
                <w:rFonts w:hint="eastAsia"/>
                <w:color w:val="auto"/>
              </w:rPr>
              <w:t>大气</w:t>
            </w:r>
            <w:r>
              <w:rPr>
                <w:color w:val="auto"/>
              </w:rPr>
              <w:t>保护目标见下表3-</w:t>
            </w:r>
            <w:r>
              <w:rPr>
                <w:rFonts w:hint="eastAsia"/>
                <w:color w:val="auto"/>
              </w:rPr>
              <w:t>3</w:t>
            </w:r>
            <w:r>
              <w:rPr>
                <w:color w:val="auto"/>
              </w:rPr>
              <w:t>及附图3。</w:t>
            </w:r>
          </w:p>
          <w:p w14:paraId="534F8E54">
            <w:pPr>
              <w:keepNext/>
              <w:keepLines/>
              <w:spacing w:before="20" w:after="20"/>
              <w:jc w:val="center"/>
              <w:outlineLvl w:val="1"/>
              <w:rPr>
                <w:b/>
                <w:bCs/>
                <w:color w:val="auto"/>
                <w:sz w:val="24"/>
                <w:szCs w:val="32"/>
              </w:rPr>
            </w:pPr>
            <w:bookmarkStart w:id="28" w:name="_Hlk21714938"/>
            <w:r>
              <w:rPr>
                <w:b/>
                <w:bCs/>
                <w:color w:val="auto"/>
                <w:sz w:val="24"/>
                <w:szCs w:val="32"/>
              </w:rPr>
              <w:t>表3-</w:t>
            </w:r>
            <w:r>
              <w:rPr>
                <w:rFonts w:hint="eastAsia"/>
                <w:b/>
                <w:bCs/>
                <w:color w:val="auto"/>
                <w:sz w:val="24"/>
                <w:szCs w:val="32"/>
              </w:rPr>
              <w:t>3</w:t>
            </w:r>
            <w:r>
              <w:rPr>
                <w:b/>
                <w:bCs/>
                <w:color w:val="auto"/>
                <w:sz w:val="24"/>
                <w:szCs w:val="32"/>
              </w:rPr>
              <w:t xml:space="preserve">  项目环境保护目标（大气）</w:t>
            </w:r>
          </w:p>
          <w:bookmarkEnd w:id="28"/>
          <w:tbl>
            <w:tblPr>
              <w:tblStyle w:val="42"/>
              <w:tblW w:w="4995" w:type="pct"/>
              <w:tblInd w:w="0" w:type="dxa"/>
              <w:tblBorders>
                <w:top w:val="single" w:color="auto" w:sz="12" w:space="0"/>
                <w:left w:val="none" w:color="auto" w:sz="4" w:space="0"/>
                <w:bottom w:val="single" w:color="auto" w:sz="12" w:space="0"/>
                <w:right w:val="none" w:color="auto" w:sz="4" w:space="0"/>
                <w:insideH w:val="none" w:color="auto" w:sz="4" w:space="0"/>
                <w:insideV w:val="none" w:color="auto" w:sz="4" w:space="0"/>
              </w:tblBorders>
              <w:tblLayout w:type="autofit"/>
              <w:tblCellMar>
                <w:top w:w="0" w:type="dxa"/>
                <w:left w:w="0" w:type="dxa"/>
                <w:bottom w:w="0" w:type="dxa"/>
                <w:right w:w="0" w:type="dxa"/>
              </w:tblCellMar>
            </w:tblPr>
            <w:tblGrid>
              <w:gridCol w:w="427"/>
              <w:gridCol w:w="889"/>
              <w:gridCol w:w="1097"/>
              <w:gridCol w:w="1110"/>
              <w:gridCol w:w="639"/>
              <w:gridCol w:w="812"/>
              <w:gridCol w:w="719"/>
              <w:gridCol w:w="999"/>
              <w:gridCol w:w="1625"/>
            </w:tblGrid>
            <w:tr w14:paraId="39626239">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blHeader/>
              </w:trPr>
              <w:tc>
                <w:tcPr>
                  <w:tcW w:w="256" w:type="pct"/>
                  <w:vMerge w:val="restart"/>
                  <w:tcBorders>
                    <w:bottom w:val="single" w:color="000000" w:sz="4" w:space="0"/>
                    <w:right w:val="single" w:color="000000" w:sz="4" w:space="0"/>
                  </w:tcBorders>
                  <w:shd w:val="clear" w:color="auto" w:fill="auto"/>
                  <w:noWrap/>
                  <w:vAlign w:val="center"/>
                </w:tcPr>
                <w:p w14:paraId="27DDFC19">
                  <w:pPr>
                    <w:widowControl/>
                    <w:adjustRightInd w:val="0"/>
                    <w:snapToGrid w:val="0"/>
                    <w:jc w:val="center"/>
                    <w:textAlignment w:val="center"/>
                    <w:rPr>
                      <w:b/>
                      <w:bCs/>
                      <w:color w:val="auto"/>
                      <w:szCs w:val="21"/>
                    </w:rPr>
                  </w:pPr>
                  <w:r>
                    <w:rPr>
                      <w:b/>
                      <w:bCs/>
                      <w:color w:val="auto"/>
                      <w:kern w:val="0"/>
                      <w:szCs w:val="21"/>
                    </w:rPr>
                    <w:t>序号</w:t>
                  </w:r>
                </w:p>
              </w:tc>
              <w:tc>
                <w:tcPr>
                  <w:tcW w:w="534" w:type="pct"/>
                  <w:vMerge w:val="restart"/>
                  <w:tcBorders>
                    <w:left w:val="single" w:color="000000" w:sz="4" w:space="0"/>
                    <w:bottom w:val="single" w:color="000000" w:sz="4" w:space="0"/>
                    <w:right w:val="single" w:color="000000" w:sz="4" w:space="0"/>
                  </w:tcBorders>
                  <w:shd w:val="clear" w:color="auto" w:fill="auto"/>
                  <w:vAlign w:val="center"/>
                </w:tcPr>
                <w:p w14:paraId="3DEB25FB">
                  <w:pPr>
                    <w:widowControl/>
                    <w:adjustRightInd w:val="0"/>
                    <w:snapToGrid w:val="0"/>
                    <w:jc w:val="center"/>
                    <w:textAlignment w:val="center"/>
                    <w:rPr>
                      <w:b/>
                      <w:bCs/>
                      <w:color w:val="auto"/>
                      <w:szCs w:val="21"/>
                    </w:rPr>
                  </w:pPr>
                  <w:r>
                    <w:rPr>
                      <w:b/>
                      <w:bCs/>
                      <w:color w:val="auto"/>
                      <w:kern w:val="0"/>
                      <w:szCs w:val="21"/>
                    </w:rPr>
                    <w:t>名称</w:t>
                  </w:r>
                </w:p>
              </w:tc>
              <w:tc>
                <w:tcPr>
                  <w:tcW w:w="1326" w:type="pct"/>
                  <w:gridSpan w:val="2"/>
                  <w:tcBorders>
                    <w:left w:val="single" w:color="000000" w:sz="4" w:space="0"/>
                    <w:bottom w:val="single" w:color="000000" w:sz="4" w:space="0"/>
                    <w:right w:val="single" w:color="000000" w:sz="4" w:space="0"/>
                  </w:tcBorders>
                  <w:shd w:val="clear" w:color="auto" w:fill="auto"/>
                  <w:vAlign w:val="center"/>
                </w:tcPr>
                <w:p w14:paraId="427EE109">
                  <w:pPr>
                    <w:widowControl/>
                    <w:adjustRightInd w:val="0"/>
                    <w:snapToGrid w:val="0"/>
                    <w:jc w:val="center"/>
                    <w:textAlignment w:val="center"/>
                    <w:rPr>
                      <w:b/>
                      <w:bCs/>
                      <w:color w:val="auto"/>
                      <w:szCs w:val="21"/>
                    </w:rPr>
                  </w:pPr>
                  <w:r>
                    <w:rPr>
                      <w:b/>
                      <w:bCs/>
                      <w:color w:val="auto"/>
                      <w:kern w:val="0"/>
                      <w:szCs w:val="21"/>
                    </w:rPr>
                    <w:t>坐标/m</w:t>
                  </w:r>
                </w:p>
              </w:tc>
              <w:tc>
                <w:tcPr>
                  <w:tcW w:w="384" w:type="pct"/>
                  <w:vMerge w:val="restart"/>
                  <w:tcBorders>
                    <w:left w:val="single" w:color="000000" w:sz="4" w:space="0"/>
                    <w:bottom w:val="single" w:color="000000" w:sz="4" w:space="0"/>
                    <w:right w:val="single" w:color="000000" w:sz="4" w:space="0"/>
                  </w:tcBorders>
                  <w:shd w:val="clear" w:color="auto" w:fill="auto"/>
                  <w:vAlign w:val="center"/>
                </w:tcPr>
                <w:p w14:paraId="743E0563">
                  <w:pPr>
                    <w:widowControl/>
                    <w:adjustRightInd w:val="0"/>
                    <w:snapToGrid w:val="0"/>
                    <w:jc w:val="center"/>
                    <w:textAlignment w:val="center"/>
                    <w:rPr>
                      <w:b/>
                      <w:bCs/>
                      <w:color w:val="auto"/>
                      <w:szCs w:val="21"/>
                    </w:rPr>
                  </w:pPr>
                  <w:r>
                    <w:rPr>
                      <w:b/>
                      <w:bCs/>
                      <w:color w:val="auto"/>
                      <w:kern w:val="0"/>
                      <w:szCs w:val="21"/>
                    </w:rPr>
                    <w:t>保护对象</w:t>
                  </w:r>
                </w:p>
              </w:tc>
              <w:tc>
                <w:tcPr>
                  <w:tcW w:w="488" w:type="pct"/>
                  <w:vMerge w:val="restart"/>
                  <w:tcBorders>
                    <w:left w:val="single" w:color="000000" w:sz="4" w:space="0"/>
                    <w:bottom w:val="single" w:color="000000" w:sz="4" w:space="0"/>
                    <w:right w:val="single" w:color="000000" w:sz="4" w:space="0"/>
                  </w:tcBorders>
                  <w:shd w:val="clear" w:color="auto" w:fill="auto"/>
                  <w:vAlign w:val="center"/>
                </w:tcPr>
                <w:p w14:paraId="36E849C7">
                  <w:pPr>
                    <w:widowControl/>
                    <w:adjustRightInd w:val="0"/>
                    <w:snapToGrid w:val="0"/>
                    <w:jc w:val="center"/>
                    <w:textAlignment w:val="center"/>
                    <w:rPr>
                      <w:b/>
                      <w:bCs/>
                      <w:color w:val="auto"/>
                      <w:szCs w:val="21"/>
                    </w:rPr>
                  </w:pPr>
                  <w:r>
                    <w:rPr>
                      <w:b/>
                      <w:bCs/>
                      <w:color w:val="auto"/>
                      <w:kern w:val="0"/>
                      <w:szCs w:val="21"/>
                    </w:rPr>
                    <w:t>保护内容（人）</w:t>
                  </w:r>
                </w:p>
              </w:tc>
              <w:tc>
                <w:tcPr>
                  <w:tcW w:w="432" w:type="pct"/>
                  <w:vMerge w:val="restart"/>
                  <w:tcBorders>
                    <w:left w:val="single" w:color="000000" w:sz="4" w:space="0"/>
                    <w:bottom w:val="single" w:color="000000" w:sz="4" w:space="0"/>
                    <w:right w:val="single" w:color="000000" w:sz="4" w:space="0"/>
                  </w:tcBorders>
                  <w:shd w:val="clear" w:color="auto" w:fill="auto"/>
                  <w:vAlign w:val="center"/>
                </w:tcPr>
                <w:p w14:paraId="68755F73">
                  <w:pPr>
                    <w:widowControl/>
                    <w:adjustRightInd w:val="0"/>
                    <w:snapToGrid w:val="0"/>
                    <w:jc w:val="center"/>
                    <w:textAlignment w:val="center"/>
                    <w:rPr>
                      <w:b/>
                      <w:bCs/>
                      <w:color w:val="auto"/>
                      <w:szCs w:val="21"/>
                    </w:rPr>
                  </w:pPr>
                  <w:r>
                    <w:rPr>
                      <w:b/>
                      <w:bCs/>
                      <w:color w:val="auto"/>
                      <w:kern w:val="0"/>
                      <w:szCs w:val="21"/>
                    </w:rPr>
                    <w:t>相对方位</w:t>
                  </w:r>
                </w:p>
              </w:tc>
              <w:tc>
                <w:tcPr>
                  <w:tcW w:w="600" w:type="pct"/>
                  <w:vMerge w:val="restart"/>
                  <w:tcBorders>
                    <w:left w:val="single" w:color="000000" w:sz="4" w:space="0"/>
                    <w:bottom w:val="single" w:color="000000" w:sz="4" w:space="0"/>
                    <w:right w:val="single" w:color="000000" w:sz="4" w:space="0"/>
                  </w:tcBorders>
                  <w:shd w:val="clear" w:color="auto" w:fill="auto"/>
                  <w:vAlign w:val="center"/>
                </w:tcPr>
                <w:p w14:paraId="754BAEA2">
                  <w:pPr>
                    <w:widowControl/>
                    <w:adjustRightInd w:val="0"/>
                    <w:snapToGrid w:val="0"/>
                    <w:jc w:val="center"/>
                    <w:textAlignment w:val="center"/>
                    <w:rPr>
                      <w:b/>
                      <w:bCs/>
                      <w:color w:val="auto"/>
                      <w:szCs w:val="21"/>
                    </w:rPr>
                  </w:pPr>
                  <w:r>
                    <w:rPr>
                      <w:b/>
                      <w:bCs/>
                      <w:color w:val="auto"/>
                      <w:kern w:val="0"/>
                      <w:szCs w:val="21"/>
                    </w:rPr>
                    <w:t>相对边界距离/m</w:t>
                  </w:r>
                </w:p>
              </w:tc>
              <w:tc>
                <w:tcPr>
                  <w:tcW w:w="976" w:type="pct"/>
                  <w:vMerge w:val="restart"/>
                  <w:tcBorders>
                    <w:left w:val="single" w:color="000000" w:sz="4" w:space="0"/>
                    <w:bottom w:val="single" w:color="000000" w:sz="4" w:space="0"/>
                  </w:tcBorders>
                  <w:shd w:val="clear" w:color="auto" w:fill="auto"/>
                  <w:vAlign w:val="center"/>
                </w:tcPr>
                <w:p w14:paraId="775A1FDF">
                  <w:pPr>
                    <w:widowControl/>
                    <w:adjustRightInd w:val="0"/>
                    <w:snapToGrid w:val="0"/>
                    <w:jc w:val="center"/>
                    <w:textAlignment w:val="center"/>
                    <w:rPr>
                      <w:b/>
                      <w:bCs/>
                      <w:color w:val="auto"/>
                      <w:szCs w:val="21"/>
                    </w:rPr>
                  </w:pPr>
                  <w:r>
                    <w:rPr>
                      <w:b/>
                      <w:bCs/>
                      <w:color w:val="auto"/>
                      <w:kern w:val="0"/>
                      <w:szCs w:val="21"/>
                    </w:rPr>
                    <w:t>环境功能</w:t>
                  </w:r>
                </w:p>
              </w:tc>
            </w:tr>
            <w:tr w14:paraId="56BE0812">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blHeader/>
              </w:trPr>
              <w:tc>
                <w:tcPr>
                  <w:tcW w:w="256" w:type="pct"/>
                  <w:vMerge w:val="continue"/>
                  <w:tcBorders>
                    <w:top w:val="single" w:color="000000" w:sz="4" w:space="0"/>
                    <w:bottom w:val="single" w:color="000000" w:sz="4" w:space="0"/>
                    <w:right w:val="single" w:color="000000" w:sz="4" w:space="0"/>
                  </w:tcBorders>
                  <w:shd w:val="clear" w:color="auto" w:fill="auto"/>
                  <w:noWrap/>
                  <w:vAlign w:val="center"/>
                </w:tcPr>
                <w:p w14:paraId="2532045E">
                  <w:pPr>
                    <w:adjustRightInd w:val="0"/>
                    <w:snapToGrid w:val="0"/>
                    <w:jc w:val="center"/>
                    <w:rPr>
                      <w:b/>
                      <w:bCs/>
                      <w:color w:val="auto"/>
                      <w:szCs w:val="21"/>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498B">
                  <w:pPr>
                    <w:adjustRightInd w:val="0"/>
                    <w:snapToGrid w:val="0"/>
                    <w:jc w:val="center"/>
                    <w:rPr>
                      <w:b/>
                      <w:bCs/>
                      <w:color w:val="auto"/>
                      <w:szCs w:val="21"/>
                    </w:rPr>
                  </w:pP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68D1">
                  <w:pPr>
                    <w:widowControl/>
                    <w:adjustRightInd w:val="0"/>
                    <w:snapToGrid w:val="0"/>
                    <w:jc w:val="center"/>
                    <w:textAlignment w:val="center"/>
                    <w:rPr>
                      <w:b/>
                      <w:bCs/>
                      <w:color w:val="auto"/>
                      <w:szCs w:val="21"/>
                    </w:rPr>
                  </w:pPr>
                  <w:r>
                    <w:rPr>
                      <w:b/>
                      <w:bCs/>
                      <w:color w:val="auto"/>
                      <w:kern w:val="0"/>
                      <w:szCs w:val="21"/>
                    </w:rPr>
                    <w:t>X</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C324">
                  <w:pPr>
                    <w:widowControl/>
                    <w:adjustRightInd w:val="0"/>
                    <w:snapToGrid w:val="0"/>
                    <w:jc w:val="center"/>
                    <w:textAlignment w:val="center"/>
                    <w:rPr>
                      <w:b/>
                      <w:bCs/>
                      <w:color w:val="auto"/>
                      <w:szCs w:val="21"/>
                    </w:rPr>
                  </w:pPr>
                  <w:r>
                    <w:rPr>
                      <w:b/>
                      <w:bCs/>
                      <w:color w:val="auto"/>
                      <w:kern w:val="0"/>
                      <w:szCs w:val="21"/>
                    </w:rPr>
                    <w:t>Y</w:t>
                  </w: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8C389">
                  <w:pPr>
                    <w:adjustRightInd w:val="0"/>
                    <w:snapToGrid w:val="0"/>
                    <w:jc w:val="center"/>
                    <w:rPr>
                      <w:b/>
                      <w:bCs/>
                      <w:color w:val="auto"/>
                      <w:szCs w:val="21"/>
                    </w:rPr>
                  </w:pPr>
                </w:p>
              </w:tc>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1B272">
                  <w:pPr>
                    <w:adjustRightInd w:val="0"/>
                    <w:snapToGrid w:val="0"/>
                    <w:jc w:val="center"/>
                    <w:rPr>
                      <w:b/>
                      <w:bCs/>
                      <w:color w:val="auto"/>
                      <w:szCs w:val="21"/>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1285E">
                  <w:pPr>
                    <w:adjustRightInd w:val="0"/>
                    <w:snapToGrid w:val="0"/>
                    <w:jc w:val="center"/>
                    <w:rPr>
                      <w:b/>
                      <w:bCs/>
                      <w:color w:val="auto"/>
                      <w:szCs w:val="21"/>
                    </w:rPr>
                  </w:pP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D2292">
                  <w:pPr>
                    <w:adjustRightInd w:val="0"/>
                    <w:snapToGrid w:val="0"/>
                    <w:jc w:val="center"/>
                    <w:rPr>
                      <w:b/>
                      <w:bCs/>
                      <w:color w:val="auto"/>
                      <w:szCs w:val="21"/>
                    </w:rPr>
                  </w:pPr>
                </w:p>
              </w:tc>
              <w:tc>
                <w:tcPr>
                  <w:tcW w:w="976" w:type="pct"/>
                  <w:vMerge w:val="continue"/>
                  <w:tcBorders>
                    <w:top w:val="single" w:color="000000" w:sz="4" w:space="0"/>
                    <w:left w:val="single" w:color="000000" w:sz="4" w:space="0"/>
                    <w:bottom w:val="single" w:color="auto" w:sz="2" w:space="0"/>
                  </w:tcBorders>
                  <w:shd w:val="clear" w:color="auto" w:fill="auto"/>
                  <w:vAlign w:val="center"/>
                </w:tcPr>
                <w:p w14:paraId="7097A77C">
                  <w:pPr>
                    <w:adjustRightInd w:val="0"/>
                    <w:snapToGrid w:val="0"/>
                    <w:jc w:val="center"/>
                    <w:rPr>
                      <w:b/>
                      <w:bCs/>
                      <w:color w:val="auto"/>
                      <w:szCs w:val="21"/>
                    </w:rPr>
                  </w:pPr>
                </w:p>
              </w:tc>
            </w:tr>
            <w:tr w14:paraId="44574A2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FA2267D">
                  <w:pPr>
                    <w:widowControl/>
                    <w:adjustRightInd w:val="0"/>
                    <w:snapToGrid w:val="0"/>
                    <w:jc w:val="center"/>
                    <w:textAlignment w:val="center"/>
                    <w:rPr>
                      <w:color w:val="auto"/>
                      <w:szCs w:val="21"/>
                    </w:rPr>
                  </w:pPr>
                  <w:r>
                    <w:rPr>
                      <w:color w:val="auto"/>
                      <w:kern w:val="0"/>
                      <w:szCs w:val="21"/>
                    </w:rPr>
                    <w:t>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B966">
                  <w:pPr>
                    <w:jc w:val="center"/>
                    <w:rPr>
                      <w:color w:val="auto"/>
                      <w:szCs w:val="22"/>
                    </w:rPr>
                  </w:pPr>
                  <w:r>
                    <w:rPr>
                      <w:color w:val="auto"/>
                      <w:szCs w:val="22"/>
                    </w:rPr>
                    <w:t>晏庄村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F5D0">
                  <w:pPr>
                    <w:jc w:val="center"/>
                    <w:rPr>
                      <w:color w:val="auto"/>
                      <w:szCs w:val="22"/>
                    </w:rPr>
                  </w:pPr>
                  <w:r>
                    <w:rPr>
                      <w:color w:val="auto"/>
                      <w:szCs w:val="22"/>
                    </w:rPr>
                    <w:t>701975.53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C8DB">
                  <w:pPr>
                    <w:jc w:val="center"/>
                    <w:rPr>
                      <w:color w:val="auto"/>
                      <w:szCs w:val="22"/>
                    </w:rPr>
                  </w:pPr>
                  <w:r>
                    <w:rPr>
                      <w:color w:val="auto"/>
                      <w:szCs w:val="22"/>
                    </w:rPr>
                    <w:t>3767846.90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3D5C">
                  <w:pPr>
                    <w:jc w:val="center"/>
                    <w:rPr>
                      <w:color w:val="auto"/>
                      <w:szCs w:val="22"/>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D6C4">
                  <w:pPr>
                    <w:jc w:val="center"/>
                    <w:rPr>
                      <w:color w:val="auto"/>
                      <w:szCs w:val="22"/>
                    </w:rPr>
                  </w:pPr>
                  <w:r>
                    <w:rPr>
                      <w:color w:val="auto"/>
                      <w:szCs w:val="22"/>
                    </w:rPr>
                    <w:t>78</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1F9B3">
                  <w:pPr>
                    <w:jc w:val="center"/>
                    <w:rPr>
                      <w:color w:val="auto"/>
                      <w:szCs w:val="22"/>
                    </w:rPr>
                  </w:pPr>
                  <w:r>
                    <w:rPr>
                      <w:color w:val="auto"/>
                      <w:szCs w:val="22"/>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62F0713">
                  <w:pPr>
                    <w:jc w:val="center"/>
                    <w:rPr>
                      <w:color w:val="auto"/>
                      <w:szCs w:val="22"/>
                    </w:rPr>
                  </w:pPr>
                  <w:r>
                    <w:rPr>
                      <w:color w:val="auto"/>
                      <w:szCs w:val="22"/>
                    </w:rPr>
                    <w:t>285</w:t>
                  </w:r>
                </w:p>
              </w:tc>
              <w:tc>
                <w:tcPr>
                  <w:tcW w:w="976" w:type="pct"/>
                  <w:vMerge w:val="restart"/>
                  <w:tcBorders>
                    <w:top w:val="single" w:color="auto" w:sz="2" w:space="0"/>
                    <w:left w:val="single" w:color="auto" w:sz="2" w:space="0"/>
                  </w:tcBorders>
                  <w:shd w:val="clear" w:color="auto" w:fill="auto"/>
                  <w:vAlign w:val="center"/>
                </w:tcPr>
                <w:p w14:paraId="1B14DC15">
                  <w:pPr>
                    <w:adjustRightInd w:val="0"/>
                    <w:snapToGrid w:val="0"/>
                    <w:jc w:val="center"/>
                    <w:textAlignment w:val="center"/>
                    <w:rPr>
                      <w:color w:val="auto"/>
                      <w:szCs w:val="21"/>
                    </w:rPr>
                  </w:pPr>
                  <w:r>
                    <w:rPr>
                      <w:color w:val="auto"/>
                      <w:szCs w:val="21"/>
                    </w:rPr>
                    <w:t>《环境空气质量标准》（GB3095-2012）及修改单二级标准</w:t>
                  </w:r>
                </w:p>
              </w:tc>
            </w:tr>
            <w:tr w14:paraId="7259803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F631332">
                  <w:pPr>
                    <w:widowControl/>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0935C">
                  <w:pPr>
                    <w:jc w:val="center"/>
                    <w:rPr>
                      <w:color w:val="auto"/>
                      <w:szCs w:val="22"/>
                    </w:rPr>
                  </w:pPr>
                  <w:r>
                    <w:rPr>
                      <w:color w:val="auto"/>
                      <w:szCs w:val="22"/>
                    </w:rPr>
                    <w:t>烛店庄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914C4">
                  <w:pPr>
                    <w:jc w:val="center"/>
                    <w:rPr>
                      <w:color w:val="auto"/>
                      <w:szCs w:val="22"/>
                    </w:rPr>
                  </w:pPr>
                  <w:r>
                    <w:rPr>
                      <w:color w:val="auto"/>
                      <w:szCs w:val="22"/>
                    </w:rPr>
                    <w:t>701857.53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99D2">
                  <w:pPr>
                    <w:jc w:val="center"/>
                    <w:rPr>
                      <w:color w:val="auto"/>
                      <w:szCs w:val="22"/>
                    </w:rPr>
                  </w:pPr>
                  <w:r>
                    <w:rPr>
                      <w:color w:val="auto"/>
                    </w:rPr>
                    <w:t>3767709.89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7C5B">
                  <w:pPr>
                    <w:jc w:val="center"/>
                    <w:rPr>
                      <w:color w:val="auto"/>
                      <w:szCs w:val="22"/>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92B9F">
                  <w:pPr>
                    <w:jc w:val="center"/>
                    <w:rPr>
                      <w:color w:val="auto"/>
                      <w:szCs w:val="22"/>
                    </w:rPr>
                  </w:pPr>
                  <w:r>
                    <w:rPr>
                      <w:color w:val="auto"/>
                      <w:szCs w:val="22"/>
                    </w:rPr>
                    <w:t>105</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23B91">
                  <w:pPr>
                    <w:jc w:val="center"/>
                    <w:rPr>
                      <w:color w:val="auto"/>
                      <w:szCs w:val="22"/>
                    </w:rPr>
                  </w:pPr>
                  <w:r>
                    <w:rPr>
                      <w:color w:val="auto"/>
                      <w:szCs w:val="22"/>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6CAE98A">
                  <w:pPr>
                    <w:jc w:val="center"/>
                    <w:rPr>
                      <w:rFonts w:hint="default" w:eastAsia="宋体"/>
                      <w:color w:val="auto"/>
                      <w:szCs w:val="22"/>
                      <w:lang w:val="en-US" w:eastAsia="zh-CN"/>
                    </w:rPr>
                  </w:pPr>
                  <w:r>
                    <w:rPr>
                      <w:rFonts w:hint="eastAsia"/>
                      <w:color w:val="auto"/>
                      <w:szCs w:val="22"/>
                      <w:lang w:val="en-US" w:eastAsia="zh-CN"/>
                    </w:rPr>
                    <w:t>88</w:t>
                  </w:r>
                </w:p>
              </w:tc>
              <w:tc>
                <w:tcPr>
                  <w:tcW w:w="976" w:type="pct"/>
                  <w:vMerge w:val="continue"/>
                  <w:tcBorders>
                    <w:left w:val="single" w:color="auto" w:sz="2" w:space="0"/>
                  </w:tcBorders>
                  <w:shd w:val="clear" w:color="auto" w:fill="auto"/>
                  <w:vAlign w:val="center"/>
                </w:tcPr>
                <w:p w14:paraId="6C356522">
                  <w:pPr>
                    <w:adjustRightInd w:val="0"/>
                    <w:snapToGrid w:val="0"/>
                    <w:jc w:val="center"/>
                    <w:textAlignment w:val="center"/>
                    <w:rPr>
                      <w:color w:val="auto"/>
                      <w:szCs w:val="21"/>
                    </w:rPr>
                  </w:pPr>
                </w:p>
              </w:tc>
            </w:tr>
            <w:tr w14:paraId="66FDD84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37A3808">
                  <w:pPr>
                    <w:widowControl/>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rPr>
                    <w:t>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D86C9">
                  <w:pPr>
                    <w:jc w:val="center"/>
                    <w:rPr>
                      <w:color w:val="auto"/>
                      <w:szCs w:val="22"/>
                    </w:rPr>
                  </w:pPr>
                  <w:r>
                    <w:rPr>
                      <w:color w:val="auto"/>
                      <w:szCs w:val="22"/>
                    </w:rPr>
                    <w:t>碧波苑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E9251">
                  <w:pPr>
                    <w:jc w:val="center"/>
                    <w:rPr>
                      <w:color w:val="auto"/>
                      <w:szCs w:val="22"/>
                    </w:rPr>
                  </w:pPr>
                  <w:r>
                    <w:rPr>
                      <w:color w:val="auto"/>
                      <w:szCs w:val="22"/>
                    </w:rPr>
                    <w:t>702009.93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EE1EE">
                  <w:pPr>
                    <w:jc w:val="center"/>
                    <w:rPr>
                      <w:color w:val="auto"/>
                      <w:szCs w:val="22"/>
                    </w:rPr>
                  </w:pPr>
                  <w:r>
                    <w:rPr>
                      <w:color w:val="auto"/>
                      <w:szCs w:val="22"/>
                    </w:rPr>
                    <w:t>3767581.55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3B877">
                  <w:pPr>
                    <w:jc w:val="center"/>
                    <w:rPr>
                      <w:color w:val="auto"/>
                      <w:szCs w:val="22"/>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B5DD7">
                  <w:pPr>
                    <w:jc w:val="center"/>
                    <w:rPr>
                      <w:color w:val="auto"/>
                      <w:szCs w:val="22"/>
                    </w:rPr>
                  </w:pPr>
                  <w:r>
                    <w:rPr>
                      <w:color w:val="auto"/>
                      <w:szCs w:val="22"/>
                    </w:rPr>
                    <w:t>240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52547">
                  <w:pPr>
                    <w:jc w:val="center"/>
                    <w:rPr>
                      <w:color w:val="auto"/>
                      <w:szCs w:val="22"/>
                    </w:rPr>
                  </w:pPr>
                  <w:r>
                    <w:rPr>
                      <w:color w:val="auto"/>
                      <w:szCs w:val="22"/>
                    </w:rPr>
                    <w:t>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390CA3B">
                  <w:pPr>
                    <w:jc w:val="center"/>
                    <w:rPr>
                      <w:color w:val="auto"/>
                      <w:szCs w:val="22"/>
                    </w:rPr>
                  </w:pPr>
                  <w:r>
                    <w:rPr>
                      <w:color w:val="auto"/>
                      <w:szCs w:val="22"/>
                    </w:rPr>
                    <w:t>290</w:t>
                  </w:r>
                </w:p>
              </w:tc>
              <w:tc>
                <w:tcPr>
                  <w:tcW w:w="976" w:type="pct"/>
                  <w:vMerge w:val="continue"/>
                  <w:tcBorders>
                    <w:left w:val="single" w:color="auto" w:sz="2" w:space="0"/>
                  </w:tcBorders>
                  <w:shd w:val="clear" w:color="auto" w:fill="auto"/>
                  <w:vAlign w:val="center"/>
                </w:tcPr>
                <w:p w14:paraId="7F4F71AC">
                  <w:pPr>
                    <w:adjustRightInd w:val="0"/>
                    <w:snapToGrid w:val="0"/>
                    <w:jc w:val="center"/>
                    <w:textAlignment w:val="center"/>
                    <w:rPr>
                      <w:color w:val="auto"/>
                      <w:szCs w:val="21"/>
                    </w:rPr>
                  </w:pPr>
                </w:p>
              </w:tc>
            </w:tr>
            <w:tr w14:paraId="6C02EC3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0680F2D">
                  <w:pPr>
                    <w:widowControl/>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rPr>
                    <w:t>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A2EF4">
                  <w:pPr>
                    <w:jc w:val="center"/>
                    <w:rPr>
                      <w:color w:val="auto"/>
                      <w:szCs w:val="22"/>
                    </w:rPr>
                  </w:pPr>
                  <w:r>
                    <w:rPr>
                      <w:color w:val="auto"/>
                      <w:szCs w:val="22"/>
                    </w:rPr>
                    <w:t>街南</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C41B">
                  <w:pPr>
                    <w:jc w:val="center"/>
                    <w:rPr>
                      <w:color w:val="auto"/>
                      <w:szCs w:val="22"/>
                    </w:rPr>
                  </w:pPr>
                  <w:r>
                    <w:rPr>
                      <w:color w:val="auto"/>
                      <w:szCs w:val="22"/>
                    </w:rPr>
                    <w:t>701606.69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1218">
                  <w:pPr>
                    <w:jc w:val="center"/>
                    <w:rPr>
                      <w:color w:val="auto"/>
                      <w:szCs w:val="22"/>
                    </w:rPr>
                  </w:pPr>
                  <w:r>
                    <w:rPr>
                      <w:color w:val="auto"/>
                      <w:szCs w:val="22"/>
                    </w:rPr>
                    <w:t>3767342.59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B0F04">
                  <w:pPr>
                    <w:jc w:val="center"/>
                    <w:rPr>
                      <w:color w:val="auto"/>
                      <w:szCs w:val="22"/>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25CB9">
                  <w:pPr>
                    <w:jc w:val="center"/>
                    <w:rPr>
                      <w:color w:val="auto"/>
                      <w:szCs w:val="22"/>
                    </w:rPr>
                  </w:pPr>
                  <w:r>
                    <w:rPr>
                      <w:color w:val="auto"/>
                      <w:szCs w:val="22"/>
                    </w:rPr>
                    <w:t>120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32F3E">
                  <w:pPr>
                    <w:jc w:val="center"/>
                    <w:rPr>
                      <w:color w:val="auto"/>
                      <w:szCs w:val="22"/>
                    </w:rPr>
                  </w:pPr>
                  <w:r>
                    <w:rPr>
                      <w:color w:val="auto"/>
                      <w:szCs w:val="22"/>
                    </w:rPr>
                    <w:t>S</w:t>
                  </w:r>
                  <w:r>
                    <w:rPr>
                      <w:rStyle w:val="50"/>
                      <w:color w:val="auto"/>
                      <w:kern w:val="0"/>
                      <w:szCs w:val="20"/>
                    </w:rPr>
                    <w:t>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EB36EB3">
                  <w:pPr>
                    <w:jc w:val="center"/>
                    <w:rPr>
                      <w:color w:val="auto"/>
                      <w:szCs w:val="22"/>
                    </w:rPr>
                  </w:pPr>
                  <w:r>
                    <w:rPr>
                      <w:color w:val="auto"/>
                      <w:szCs w:val="22"/>
                    </w:rPr>
                    <w:t>220</w:t>
                  </w:r>
                </w:p>
              </w:tc>
              <w:tc>
                <w:tcPr>
                  <w:tcW w:w="976" w:type="pct"/>
                  <w:vMerge w:val="continue"/>
                  <w:tcBorders>
                    <w:left w:val="single" w:color="auto" w:sz="2" w:space="0"/>
                  </w:tcBorders>
                  <w:shd w:val="clear" w:color="auto" w:fill="auto"/>
                  <w:vAlign w:val="center"/>
                </w:tcPr>
                <w:p w14:paraId="303FEF9A">
                  <w:pPr>
                    <w:adjustRightInd w:val="0"/>
                    <w:snapToGrid w:val="0"/>
                    <w:jc w:val="center"/>
                    <w:textAlignment w:val="center"/>
                    <w:rPr>
                      <w:color w:val="auto"/>
                      <w:szCs w:val="21"/>
                    </w:rPr>
                  </w:pPr>
                </w:p>
              </w:tc>
            </w:tr>
            <w:tr w14:paraId="7BDC71E9">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3AE7412B">
                  <w:pPr>
                    <w:widowControl/>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rPr>
                    <w:t>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AA36C">
                  <w:pPr>
                    <w:jc w:val="center"/>
                    <w:rPr>
                      <w:color w:val="auto"/>
                      <w:szCs w:val="22"/>
                    </w:rPr>
                  </w:pPr>
                  <w:r>
                    <w:rPr>
                      <w:color w:val="auto"/>
                      <w:szCs w:val="22"/>
                    </w:rPr>
                    <w:t>王道圩</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6111">
                  <w:pPr>
                    <w:jc w:val="center"/>
                    <w:rPr>
                      <w:color w:val="auto"/>
                      <w:szCs w:val="22"/>
                    </w:rPr>
                  </w:pPr>
                  <w:r>
                    <w:rPr>
                      <w:color w:val="auto"/>
                      <w:szCs w:val="22"/>
                    </w:rPr>
                    <w:t>701384.72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FFB0">
                  <w:pPr>
                    <w:jc w:val="center"/>
                    <w:rPr>
                      <w:color w:val="auto"/>
                      <w:szCs w:val="22"/>
                    </w:rPr>
                  </w:pPr>
                  <w:r>
                    <w:rPr>
                      <w:color w:val="auto"/>
                      <w:szCs w:val="22"/>
                    </w:rPr>
                    <w:t>3767618.80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703B8">
                  <w:pPr>
                    <w:jc w:val="center"/>
                    <w:rPr>
                      <w:color w:val="auto"/>
                      <w:szCs w:val="22"/>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4FCA">
                  <w:pPr>
                    <w:jc w:val="center"/>
                    <w:rPr>
                      <w:color w:val="auto"/>
                      <w:szCs w:val="22"/>
                    </w:rPr>
                  </w:pPr>
                  <w:r>
                    <w:rPr>
                      <w:color w:val="auto"/>
                      <w:szCs w:val="22"/>
                    </w:rPr>
                    <w:t>70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03B18">
                  <w:pPr>
                    <w:jc w:val="center"/>
                    <w:rPr>
                      <w:color w:val="auto"/>
                      <w:szCs w:val="22"/>
                    </w:rPr>
                  </w:pPr>
                  <w:r>
                    <w:rPr>
                      <w:color w:val="auto"/>
                      <w:szCs w:val="22"/>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1C57C23">
                  <w:pPr>
                    <w:jc w:val="center"/>
                    <w:rPr>
                      <w:color w:val="auto"/>
                      <w:szCs w:val="22"/>
                    </w:rPr>
                  </w:pPr>
                  <w:r>
                    <w:rPr>
                      <w:color w:val="auto"/>
                      <w:szCs w:val="22"/>
                    </w:rPr>
                    <w:t>118</w:t>
                  </w:r>
                </w:p>
              </w:tc>
              <w:tc>
                <w:tcPr>
                  <w:tcW w:w="976" w:type="pct"/>
                  <w:vMerge w:val="continue"/>
                  <w:tcBorders>
                    <w:left w:val="single" w:color="auto" w:sz="2" w:space="0"/>
                  </w:tcBorders>
                  <w:shd w:val="clear" w:color="auto" w:fill="auto"/>
                  <w:vAlign w:val="center"/>
                </w:tcPr>
                <w:p w14:paraId="1D3EE50A">
                  <w:pPr>
                    <w:adjustRightInd w:val="0"/>
                    <w:snapToGrid w:val="0"/>
                    <w:jc w:val="center"/>
                    <w:textAlignment w:val="center"/>
                    <w:rPr>
                      <w:color w:val="auto"/>
                      <w:szCs w:val="21"/>
                    </w:rPr>
                  </w:pPr>
                </w:p>
              </w:tc>
            </w:tr>
            <w:tr w14:paraId="6E01DCC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7F2BE6FF">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6</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C5E1">
                  <w:pPr>
                    <w:jc w:val="center"/>
                    <w:rPr>
                      <w:color w:val="auto"/>
                      <w:szCs w:val="21"/>
                    </w:rPr>
                  </w:pPr>
                  <w:r>
                    <w:rPr>
                      <w:color w:val="auto"/>
                      <w:szCs w:val="21"/>
                    </w:rPr>
                    <w:t>朱庄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E32F">
                  <w:pPr>
                    <w:adjustRightInd w:val="0"/>
                    <w:snapToGrid w:val="0"/>
                    <w:jc w:val="center"/>
                    <w:rPr>
                      <w:bCs/>
                      <w:color w:val="auto"/>
                      <w:szCs w:val="21"/>
                    </w:rPr>
                  </w:pPr>
                  <w:r>
                    <w:rPr>
                      <w:bCs/>
                      <w:color w:val="auto"/>
                      <w:szCs w:val="21"/>
                    </w:rPr>
                    <w:t>701375.86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230FF">
                  <w:pPr>
                    <w:adjustRightInd w:val="0"/>
                    <w:snapToGrid w:val="0"/>
                    <w:jc w:val="center"/>
                    <w:rPr>
                      <w:bCs/>
                      <w:color w:val="auto"/>
                      <w:szCs w:val="21"/>
                    </w:rPr>
                  </w:pPr>
                  <w:r>
                    <w:rPr>
                      <w:bCs/>
                      <w:color w:val="auto"/>
                      <w:szCs w:val="21"/>
                    </w:rPr>
                    <w:t>3767197.64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00CE">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2B169">
                  <w:pPr>
                    <w:adjustRightInd w:val="0"/>
                    <w:snapToGrid w:val="0"/>
                    <w:jc w:val="center"/>
                    <w:rPr>
                      <w:bCs/>
                      <w:color w:val="auto"/>
                      <w:szCs w:val="21"/>
                    </w:rPr>
                  </w:pPr>
                  <w:r>
                    <w:rPr>
                      <w:bCs/>
                      <w:color w:val="auto"/>
                      <w:szCs w:val="21"/>
                    </w:rPr>
                    <w:t>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4295">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304602E">
                  <w:pPr>
                    <w:adjustRightInd w:val="0"/>
                    <w:snapToGrid w:val="0"/>
                    <w:jc w:val="center"/>
                    <w:rPr>
                      <w:color w:val="auto"/>
                      <w:szCs w:val="21"/>
                    </w:rPr>
                  </w:pPr>
                  <w:r>
                    <w:rPr>
                      <w:color w:val="auto"/>
                      <w:szCs w:val="21"/>
                    </w:rPr>
                    <w:t>280</w:t>
                  </w:r>
                </w:p>
              </w:tc>
              <w:tc>
                <w:tcPr>
                  <w:tcW w:w="976" w:type="pct"/>
                  <w:vMerge w:val="continue"/>
                  <w:tcBorders>
                    <w:left w:val="single" w:color="auto" w:sz="2" w:space="0"/>
                  </w:tcBorders>
                  <w:shd w:val="clear" w:color="auto" w:fill="auto"/>
                  <w:vAlign w:val="center"/>
                </w:tcPr>
                <w:p w14:paraId="42C1E2CF">
                  <w:pPr>
                    <w:adjustRightInd w:val="0"/>
                    <w:snapToGrid w:val="0"/>
                    <w:jc w:val="center"/>
                    <w:textAlignment w:val="center"/>
                    <w:rPr>
                      <w:color w:val="auto"/>
                      <w:szCs w:val="21"/>
                    </w:rPr>
                  </w:pPr>
                </w:p>
              </w:tc>
            </w:tr>
            <w:tr w14:paraId="14705491">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B56F06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1E9B8">
                  <w:pPr>
                    <w:jc w:val="center"/>
                    <w:rPr>
                      <w:color w:val="auto"/>
                      <w:szCs w:val="21"/>
                    </w:rPr>
                  </w:pPr>
                  <w:r>
                    <w:rPr>
                      <w:color w:val="auto"/>
                      <w:szCs w:val="21"/>
                    </w:rPr>
                    <w:t>杨庄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192F4">
                  <w:pPr>
                    <w:adjustRightInd w:val="0"/>
                    <w:snapToGrid w:val="0"/>
                    <w:jc w:val="center"/>
                    <w:rPr>
                      <w:bCs/>
                      <w:color w:val="auto"/>
                      <w:szCs w:val="21"/>
                    </w:rPr>
                  </w:pPr>
                  <w:r>
                    <w:rPr>
                      <w:bCs/>
                      <w:color w:val="auto"/>
                      <w:szCs w:val="21"/>
                    </w:rPr>
                    <w:t>700964.81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1D21">
                  <w:pPr>
                    <w:adjustRightInd w:val="0"/>
                    <w:snapToGrid w:val="0"/>
                    <w:jc w:val="center"/>
                    <w:rPr>
                      <w:bCs/>
                      <w:color w:val="auto"/>
                      <w:szCs w:val="21"/>
                    </w:rPr>
                  </w:pPr>
                  <w:r>
                    <w:rPr>
                      <w:bCs/>
                      <w:color w:val="auto"/>
                      <w:szCs w:val="21"/>
                    </w:rPr>
                    <w:t>3767186.00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2ABBF">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9BC48">
                  <w:pPr>
                    <w:adjustRightInd w:val="0"/>
                    <w:snapToGrid w:val="0"/>
                    <w:jc w:val="center"/>
                    <w:rPr>
                      <w:bCs/>
                      <w:color w:val="auto"/>
                      <w:szCs w:val="21"/>
                    </w:rPr>
                  </w:pPr>
                  <w:r>
                    <w:rPr>
                      <w:bCs/>
                      <w:color w:val="auto"/>
                      <w:szCs w:val="21"/>
                    </w:rPr>
                    <w:t>80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CEB9">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1D6F8E4">
                  <w:pPr>
                    <w:adjustRightInd w:val="0"/>
                    <w:snapToGrid w:val="0"/>
                    <w:jc w:val="center"/>
                    <w:rPr>
                      <w:color w:val="auto"/>
                      <w:szCs w:val="21"/>
                    </w:rPr>
                  </w:pPr>
                  <w:r>
                    <w:rPr>
                      <w:color w:val="auto"/>
                      <w:szCs w:val="21"/>
                    </w:rPr>
                    <w:t>640</w:t>
                  </w:r>
                </w:p>
              </w:tc>
              <w:tc>
                <w:tcPr>
                  <w:tcW w:w="976" w:type="pct"/>
                  <w:vMerge w:val="continue"/>
                  <w:tcBorders>
                    <w:left w:val="single" w:color="auto" w:sz="2" w:space="0"/>
                  </w:tcBorders>
                  <w:shd w:val="clear" w:color="auto" w:fill="auto"/>
                  <w:vAlign w:val="center"/>
                </w:tcPr>
                <w:p w14:paraId="5FF1917D">
                  <w:pPr>
                    <w:adjustRightInd w:val="0"/>
                    <w:snapToGrid w:val="0"/>
                    <w:jc w:val="center"/>
                    <w:textAlignment w:val="center"/>
                    <w:rPr>
                      <w:color w:val="auto"/>
                      <w:szCs w:val="21"/>
                    </w:rPr>
                  </w:pPr>
                </w:p>
              </w:tc>
            </w:tr>
            <w:tr w14:paraId="12D49ED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7D7D06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D0E50">
                  <w:pPr>
                    <w:jc w:val="center"/>
                    <w:rPr>
                      <w:color w:val="auto"/>
                      <w:szCs w:val="21"/>
                    </w:rPr>
                  </w:pPr>
                  <w:r>
                    <w:rPr>
                      <w:color w:val="auto"/>
                      <w:szCs w:val="21"/>
                    </w:rPr>
                    <w:t>西园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C3300">
                  <w:pPr>
                    <w:adjustRightInd w:val="0"/>
                    <w:snapToGrid w:val="0"/>
                    <w:jc w:val="center"/>
                    <w:rPr>
                      <w:bCs/>
                      <w:color w:val="auto"/>
                      <w:szCs w:val="21"/>
                    </w:rPr>
                  </w:pPr>
                  <w:r>
                    <w:rPr>
                      <w:bCs/>
                      <w:color w:val="auto"/>
                      <w:szCs w:val="21"/>
                    </w:rPr>
                    <w:t>700628.11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25E10">
                  <w:pPr>
                    <w:adjustRightInd w:val="0"/>
                    <w:snapToGrid w:val="0"/>
                    <w:jc w:val="center"/>
                    <w:rPr>
                      <w:bCs/>
                      <w:color w:val="auto"/>
                      <w:szCs w:val="21"/>
                    </w:rPr>
                  </w:pPr>
                  <w:r>
                    <w:rPr>
                      <w:bCs/>
                      <w:color w:val="auto"/>
                      <w:szCs w:val="21"/>
                    </w:rPr>
                    <w:t>3767449.14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00AB">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6F53A">
                  <w:pPr>
                    <w:adjustRightInd w:val="0"/>
                    <w:snapToGrid w:val="0"/>
                    <w:jc w:val="center"/>
                    <w:rPr>
                      <w:bCs/>
                      <w:color w:val="auto"/>
                      <w:szCs w:val="21"/>
                    </w:rPr>
                  </w:pPr>
                  <w:r>
                    <w:rPr>
                      <w:bCs/>
                      <w:color w:val="auto"/>
                      <w:szCs w:val="21"/>
                    </w:rPr>
                    <w:t>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6E1D">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08C08960">
                  <w:pPr>
                    <w:adjustRightInd w:val="0"/>
                    <w:snapToGrid w:val="0"/>
                    <w:jc w:val="center"/>
                    <w:rPr>
                      <w:color w:val="auto"/>
                      <w:szCs w:val="21"/>
                    </w:rPr>
                  </w:pPr>
                  <w:r>
                    <w:rPr>
                      <w:color w:val="auto"/>
                      <w:szCs w:val="21"/>
                    </w:rPr>
                    <w:t>920</w:t>
                  </w:r>
                </w:p>
              </w:tc>
              <w:tc>
                <w:tcPr>
                  <w:tcW w:w="976" w:type="pct"/>
                  <w:vMerge w:val="continue"/>
                  <w:tcBorders>
                    <w:left w:val="single" w:color="auto" w:sz="2" w:space="0"/>
                  </w:tcBorders>
                  <w:shd w:val="clear" w:color="auto" w:fill="auto"/>
                  <w:vAlign w:val="center"/>
                </w:tcPr>
                <w:p w14:paraId="229582FC">
                  <w:pPr>
                    <w:adjustRightInd w:val="0"/>
                    <w:snapToGrid w:val="0"/>
                    <w:jc w:val="center"/>
                    <w:textAlignment w:val="center"/>
                    <w:rPr>
                      <w:color w:val="auto"/>
                      <w:szCs w:val="21"/>
                    </w:rPr>
                  </w:pPr>
                </w:p>
              </w:tc>
            </w:tr>
            <w:tr w14:paraId="30EFCEBB">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ED5920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08EE">
                  <w:pPr>
                    <w:jc w:val="center"/>
                    <w:rPr>
                      <w:color w:val="auto"/>
                      <w:szCs w:val="21"/>
                    </w:rPr>
                  </w:pPr>
                  <w:r>
                    <w:rPr>
                      <w:color w:val="auto"/>
                      <w:szCs w:val="21"/>
                    </w:rPr>
                    <w:t>茅岭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1E05A">
                  <w:pPr>
                    <w:adjustRightInd w:val="0"/>
                    <w:snapToGrid w:val="0"/>
                    <w:jc w:val="center"/>
                    <w:rPr>
                      <w:bCs/>
                      <w:color w:val="auto"/>
                      <w:szCs w:val="21"/>
                    </w:rPr>
                  </w:pPr>
                  <w:r>
                    <w:rPr>
                      <w:bCs/>
                      <w:color w:val="auto"/>
                      <w:szCs w:val="21"/>
                    </w:rPr>
                    <w:t>700540.52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BD26E">
                  <w:pPr>
                    <w:adjustRightInd w:val="0"/>
                    <w:snapToGrid w:val="0"/>
                    <w:jc w:val="center"/>
                    <w:rPr>
                      <w:bCs/>
                      <w:color w:val="auto"/>
                      <w:szCs w:val="21"/>
                    </w:rPr>
                  </w:pPr>
                  <w:r>
                    <w:rPr>
                      <w:bCs/>
                      <w:color w:val="auto"/>
                      <w:szCs w:val="21"/>
                    </w:rPr>
                    <w:t>3767840.96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484E9">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CC389">
                  <w:pPr>
                    <w:adjustRightInd w:val="0"/>
                    <w:snapToGrid w:val="0"/>
                    <w:jc w:val="center"/>
                    <w:rPr>
                      <w:bCs/>
                      <w:color w:val="auto"/>
                      <w:szCs w:val="21"/>
                    </w:rPr>
                  </w:pPr>
                  <w:r>
                    <w:rPr>
                      <w:bCs/>
                      <w:color w:val="auto"/>
                      <w:szCs w:val="21"/>
                    </w:rPr>
                    <w:t>30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AAAD2">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8B71337">
                  <w:pPr>
                    <w:adjustRightInd w:val="0"/>
                    <w:snapToGrid w:val="0"/>
                    <w:jc w:val="center"/>
                    <w:rPr>
                      <w:color w:val="auto"/>
                      <w:szCs w:val="21"/>
                    </w:rPr>
                  </w:pPr>
                  <w:r>
                    <w:rPr>
                      <w:color w:val="auto"/>
                      <w:szCs w:val="21"/>
                    </w:rPr>
                    <w:t>1070</w:t>
                  </w:r>
                </w:p>
              </w:tc>
              <w:tc>
                <w:tcPr>
                  <w:tcW w:w="976" w:type="pct"/>
                  <w:vMerge w:val="continue"/>
                  <w:tcBorders>
                    <w:left w:val="single" w:color="auto" w:sz="2" w:space="0"/>
                  </w:tcBorders>
                  <w:shd w:val="clear" w:color="auto" w:fill="auto"/>
                  <w:vAlign w:val="center"/>
                </w:tcPr>
                <w:p w14:paraId="6EA4B6C7">
                  <w:pPr>
                    <w:adjustRightInd w:val="0"/>
                    <w:snapToGrid w:val="0"/>
                    <w:jc w:val="center"/>
                    <w:textAlignment w:val="center"/>
                    <w:rPr>
                      <w:color w:val="auto"/>
                      <w:szCs w:val="21"/>
                    </w:rPr>
                  </w:pPr>
                </w:p>
              </w:tc>
            </w:tr>
            <w:tr w14:paraId="26BF668C">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CB35B2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8CB6">
                  <w:pPr>
                    <w:jc w:val="center"/>
                    <w:rPr>
                      <w:color w:val="auto"/>
                      <w:szCs w:val="21"/>
                    </w:rPr>
                  </w:pPr>
                  <w:r>
                    <w:rPr>
                      <w:color w:val="auto"/>
                      <w:szCs w:val="21"/>
                    </w:rPr>
                    <w:t>姚张口</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FD01">
                  <w:pPr>
                    <w:adjustRightInd w:val="0"/>
                    <w:snapToGrid w:val="0"/>
                    <w:jc w:val="center"/>
                    <w:rPr>
                      <w:bCs/>
                      <w:color w:val="auto"/>
                      <w:szCs w:val="21"/>
                    </w:rPr>
                  </w:pPr>
                  <w:r>
                    <w:rPr>
                      <w:bCs/>
                      <w:color w:val="auto"/>
                      <w:szCs w:val="21"/>
                    </w:rPr>
                    <w:t>700617.24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5F78">
                  <w:pPr>
                    <w:adjustRightInd w:val="0"/>
                    <w:snapToGrid w:val="0"/>
                    <w:jc w:val="center"/>
                    <w:rPr>
                      <w:bCs/>
                      <w:color w:val="auto"/>
                      <w:szCs w:val="21"/>
                    </w:rPr>
                  </w:pPr>
                  <w:r>
                    <w:rPr>
                      <w:bCs/>
                      <w:color w:val="auto"/>
                      <w:szCs w:val="21"/>
                    </w:rPr>
                    <w:t>3768056.63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D490">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8F304">
                  <w:pPr>
                    <w:adjustRightInd w:val="0"/>
                    <w:snapToGrid w:val="0"/>
                    <w:jc w:val="center"/>
                    <w:rPr>
                      <w:bCs/>
                      <w:color w:val="auto"/>
                      <w:szCs w:val="21"/>
                    </w:rPr>
                  </w:pPr>
                  <w:r>
                    <w:rPr>
                      <w:bCs/>
                      <w:color w:val="auto"/>
                      <w:szCs w:val="21"/>
                    </w:rPr>
                    <w:t>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0D81">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463E560">
                  <w:pPr>
                    <w:adjustRightInd w:val="0"/>
                    <w:snapToGrid w:val="0"/>
                    <w:jc w:val="center"/>
                    <w:rPr>
                      <w:color w:val="auto"/>
                      <w:szCs w:val="21"/>
                    </w:rPr>
                  </w:pPr>
                  <w:r>
                    <w:rPr>
                      <w:color w:val="auto"/>
                      <w:szCs w:val="21"/>
                    </w:rPr>
                    <w:t>950</w:t>
                  </w:r>
                </w:p>
              </w:tc>
              <w:tc>
                <w:tcPr>
                  <w:tcW w:w="976" w:type="pct"/>
                  <w:vMerge w:val="continue"/>
                  <w:tcBorders>
                    <w:left w:val="single" w:color="auto" w:sz="2" w:space="0"/>
                  </w:tcBorders>
                  <w:shd w:val="clear" w:color="auto" w:fill="auto"/>
                  <w:vAlign w:val="center"/>
                </w:tcPr>
                <w:p w14:paraId="480AED2C">
                  <w:pPr>
                    <w:adjustRightInd w:val="0"/>
                    <w:snapToGrid w:val="0"/>
                    <w:jc w:val="center"/>
                    <w:textAlignment w:val="center"/>
                    <w:rPr>
                      <w:color w:val="auto"/>
                      <w:szCs w:val="21"/>
                    </w:rPr>
                  </w:pPr>
                </w:p>
              </w:tc>
            </w:tr>
            <w:tr w14:paraId="18BFE042">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8606BD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05D75">
                  <w:pPr>
                    <w:jc w:val="center"/>
                    <w:rPr>
                      <w:color w:val="auto"/>
                      <w:szCs w:val="21"/>
                    </w:rPr>
                  </w:pPr>
                  <w:r>
                    <w:rPr>
                      <w:color w:val="auto"/>
                      <w:szCs w:val="21"/>
                    </w:rPr>
                    <w:t>伏庄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B7F4">
                  <w:pPr>
                    <w:adjustRightInd w:val="0"/>
                    <w:snapToGrid w:val="0"/>
                    <w:jc w:val="center"/>
                    <w:rPr>
                      <w:bCs/>
                      <w:color w:val="auto"/>
                      <w:szCs w:val="21"/>
                    </w:rPr>
                  </w:pPr>
                  <w:r>
                    <w:rPr>
                      <w:bCs/>
                      <w:color w:val="auto"/>
                      <w:szCs w:val="21"/>
                    </w:rPr>
                    <w:t>700228.92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882D4">
                  <w:pPr>
                    <w:adjustRightInd w:val="0"/>
                    <w:snapToGrid w:val="0"/>
                    <w:jc w:val="center"/>
                    <w:rPr>
                      <w:bCs/>
                      <w:color w:val="auto"/>
                      <w:szCs w:val="21"/>
                    </w:rPr>
                  </w:pPr>
                  <w:r>
                    <w:rPr>
                      <w:bCs/>
                      <w:color w:val="auto"/>
                      <w:szCs w:val="21"/>
                    </w:rPr>
                    <w:t>3767797.85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33681">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70862">
                  <w:pPr>
                    <w:adjustRightInd w:val="0"/>
                    <w:snapToGrid w:val="0"/>
                    <w:jc w:val="center"/>
                    <w:rPr>
                      <w:bCs/>
                      <w:color w:val="auto"/>
                      <w:szCs w:val="21"/>
                    </w:rPr>
                  </w:pPr>
                  <w:r>
                    <w:rPr>
                      <w:bCs/>
                      <w:color w:val="auto"/>
                      <w:szCs w:val="21"/>
                    </w:rPr>
                    <w:t>260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5C0B">
                  <w:pPr>
                    <w:adjustRightInd w:val="0"/>
                    <w:snapToGrid w:val="0"/>
                    <w:jc w:val="center"/>
                    <w:rPr>
                      <w:bCs/>
                      <w:color w:val="auto"/>
                      <w:szCs w:val="21"/>
                    </w:rPr>
                  </w:pPr>
                  <w:r>
                    <w:rPr>
                      <w:bCs/>
                      <w:color w:val="auto"/>
                      <w:szCs w:val="21"/>
                    </w:rPr>
                    <w:t>W</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4EC71AF">
                  <w:pPr>
                    <w:adjustRightInd w:val="0"/>
                    <w:snapToGrid w:val="0"/>
                    <w:jc w:val="center"/>
                    <w:rPr>
                      <w:color w:val="auto"/>
                      <w:szCs w:val="21"/>
                    </w:rPr>
                  </w:pPr>
                  <w:r>
                    <w:rPr>
                      <w:color w:val="auto"/>
                      <w:szCs w:val="21"/>
                    </w:rPr>
                    <w:t>1160</w:t>
                  </w:r>
                </w:p>
              </w:tc>
              <w:tc>
                <w:tcPr>
                  <w:tcW w:w="976" w:type="pct"/>
                  <w:vMerge w:val="continue"/>
                  <w:tcBorders>
                    <w:left w:val="single" w:color="auto" w:sz="2" w:space="0"/>
                  </w:tcBorders>
                  <w:shd w:val="clear" w:color="auto" w:fill="auto"/>
                  <w:vAlign w:val="center"/>
                </w:tcPr>
                <w:p w14:paraId="77504B65">
                  <w:pPr>
                    <w:adjustRightInd w:val="0"/>
                    <w:snapToGrid w:val="0"/>
                    <w:jc w:val="center"/>
                    <w:textAlignment w:val="center"/>
                    <w:rPr>
                      <w:color w:val="auto"/>
                      <w:szCs w:val="21"/>
                    </w:rPr>
                  </w:pPr>
                </w:p>
              </w:tc>
            </w:tr>
            <w:tr w14:paraId="11BAF281">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8B8BB9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C638">
                  <w:pPr>
                    <w:jc w:val="center"/>
                    <w:rPr>
                      <w:color w:val="auto"/>
                      <w:szCs w:val="21"/>
                    </w:rPr>
                  </w:pPr>
                  <w:r>
                    <w:rPr>
                      <w:color w:val="auto"/>
                      <w:szCs w:val="21"/>
                    </w:rPr>
                    <w:t>朱庄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9C539">
                  <w:pPr>
                    <w:adjustRightInd w:val="0"/>
                    <w:snapToGrid w:val="0"/>
                    <w:jc w:val="center"/>
                    <w:rPr>
                      <w:bCs/>
                      <w:color w:val="auto"/>
                      <w:szCs w:val="21"/>
                    </w:rPr>
                  </w:pPr>
                  <w:r>
                    <w:rPr>
                      <w:bCs/>
                      <w:color w:val="auto"/>
                      <w:szCs w:val="21"/>
                    </w:rPr>
                    <w:t>700547.47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99548">
                  <w:pPr>
                    <w:adjustRightInd w:val="0"/>
                    <w:snapToGrid w:val="0"/>
                    <w:jc w:val="center"/>
                    <w:rPr>
                      <w:bCs/>
                      <w:color w:val="auto"/>
                      <w:szCs w:val="21"/>
                    </w:rPr>
                  </w:pPr>
                  <w:r>
                    <w:rPr>
                      <w:bCs/>
                      <w:color w:val="auto"/>
                      <w:szCs w:val="21"/>
                    </w:rPr>
                    <w:t>3768540.48</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F66A2">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EA353">
                  <w:pPr>
                    <w:adjustRightInd w:val="0"/>
                    <w:snapToGrid w:val="0"/>
                    <w:jc w:val="center"/>
                    <w:rPr>
                      <w:bCs/>
                      <w:color w:val="auto"/>
                      <w:szCs w:val="21"/>
                    </w:rPr>
                  </w:pPr>
                  <w:r>
                    <w:rPr>
                      <w:bCs/>
                      <w:color w:val="auto"/>
                      <w:szCs w:val="21"/>
                    </w:rPr>
                    <w:t>140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AFA9">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F9A13CE">
                  <w:pPr>
                    <w:adjustRightInd w:val="0"/>
                    <w:snapToGrid w:val="0"/>
                    <w:jc w:val="center"/>
                    <w:rPr>
                      <w:color w:val="auto"/>
                      <w:szCs w:val="21"/>
                    </w:rPr>
                  </w:pPr>
                  <w:r>
                    <w:rPr>
                      <w:color w:val="auto"/>
                      <w:szCs w:val="21"/>
                    </w:rPr>
                    <w:t>1380</w:t>
                  </w:r>
                </w:p>
              </w:tc>
              <w:tc>
                <w:tcPr>
                  <w:tcW w:w="976" w:type="pct"/>
                  <w:vMerge w:val="continue"/>
                  <w:tcBorders>
                    <w:left w:val="single" w:color="auto" w:sz="2" w:space="0"/>
                  </w:tcBorders>
                  <w:shd w:val="clear" w:color="auto" w:fill="auto"/>
                  <w:vAlign w:val="center"/>
                </w:tcPr>
                <w:p w14:paraId="02F37934">
                  <w:pPr>
                    <w:adjustRightInd w:val="0"/>
                    <w:snapToGrid w:val="0"/>
                    <w:jc w:val="center"/>
                    <w:textAlignment w:val="center"/>
                    <w:rPr>
                      <w:color w:val="auto"/>
                      <w:szCs w:val="21"/>
                    </w:rPr>
                  </w:pPr>
                </w:p>
              </w:tc>
            </w:tr>
            <w:tr w14:paraId="5252BF6B">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2792D3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8222">
                  <w:pPr>
                    <w:jc w:val="center"/>
                    <w:rPr>
                      <w:color w:val="auto"/>
                      <w:szCs w:val="21"/>
                    </w:rPr>
                  </w:pPr>
                  <w:r>
                    <w:rPr>
                      <w:color w:val="auto"/>
                      <w:szCs w:val="21"/>
                    </w:rPr>
                    <w:t>老岭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D2536">
                  <w:pPr>
                    <w:adjustRightInd w:val="0"/>
                    <w:snapToGrid w:val="0"/>
                    <w:jc w:val="center"/>
                    <w:rPr>
                      <w:bCs/>
                      <w:color w:val="auto"/>
                      <w:szCs w:val="21"/>
                    </w:rPr>
                  </w:pPr>
                  <w:r>
                    <w:rPr>
                      <w:bCs/>
                      <w:color w:val="auto"/>
                      <w:szCs w:val="21"/>
                    </w:rPr>
                    <w:t>700895.54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37DB3">
                  <w:pPr>
                    <w:adjustRightInd w:val="0"/>
                    <w:snapToGrid w:val="0"/>
                    <w:jc w:val="center"/>
                    <w:rPr>
                      <w:bCs/>
                      <w:color w:val="auto"/>
                      <w:szCs w:val="21"/>
                    </w:rPr>
                  </w:pPr>
                  <w:r>
                    <w:rPr>
                      <w:bCs/>
                      <w:color w:val="auto"/>
                      <w:szCs w:val="21"/>
                    </w:rPr>
                    <w:t>3768948.55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2C85">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B08D6">
                  <w:pPr>
                    <w:adjustRightInd w:val="0"/>
                    <w:snapToGrid w:val="0"/>
                    <w:jc w:val="center"/>
                    <w:rPr>
                      <w:bCs/>
                      <w:color w:val="auto"/>
                      <w:szCs w:val="21"/>
                    </w:rPr>
                  </w:pPr>
                  <w:r>
                    <w:rPr>
                      <w:bCs/>
                      <w:color w:val="auto"/>
                      <w:szCs w:val="21"/>
                    </w:rPr>
                    <w:t>180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162D">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88AABCD">
                  <w:pPr>
                    <w:adjustRightInd w:val="0"/>
                    <w:snapToGrid w:val="0"/>
                    <w:jc w:val="center"/>
                    <w:rPr>
                      <w:color w:val="auto"/>
                      <w:szCs w:val="21"/>
                    </w:rPr>
                  </w:pPr>
                  <w:r>
                    <w:rPr>
                      <w:color w:val="auto"/>
                      <w:szCs w:val="21"/>
                    </w:rPr>
                    <w:t>1470</w:t>
                  </w:r>
                </w:p>
              </w:tc>
              <w:tc>
                <w:tcPr>
                  <w:tcW w:w="976" w:type="pct"/>
                  <w:vMerge w:val="continue"/>
                  <w:tcBorders>
                    <w:left w:val="single" w:color="auto" w:sz="2" w:space="0"/>
                  </w:tcBorders>
                  <w:shd w:val="clear" w:color="auto" w:fill="auto"/>
                  <w:vAlign w:val="center"/>
                </w:tcPr>
                <w:p w14:paraId="761CACE6">
                  <w:pPr>
                    <w:adjustRightInd w:val="0"/>
                    <w:snapToGrid w:val="0"/>
                    <w:jc w:val="center"/>
                    <w:textAlignment w:val="center"/>
                    <w:rPr>
                      <w:color w:val="auto"/>
                      <w:szCs w:val="21"/>
                    </w:rPr>
                  </w:pPr>
                </w:p>
              </w:tc>
            </w:tr>
            <w:tr w14:paraId="22ED23A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5C6A01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2E3B">
                  <w:pPr>
                    <w:jc w:val="center"/>
                    <w:rPr>
                      <w:color w:val="auto"/>
                      <w:szCs w:val="21"/>
                    </w:rPr>
                  </w:pPr>
                  <w:r>
                    <w:rPr>
                      <w:color w:val="auto"/>
                      <w:szCs w:val="21"/>
                    </w:rPr>
                    <w:t>三岭庄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50DC4">
                  <w:pPr>
                    <w:adjustRightInd w:val="0"/>
                    <w:snapToGrid w:val="0"/>
                    <w:jc w:val="center"/>
                    <w:rPr>
                      <w:bCs/>
                      <w:color w:val="auto"/>
                      <w:szCs w:val="21"/>
                    </w:rPr>
                  </w:pPr>
                  <w:r>
                    <w:rPr>
                      <w:bCs/>
                      <w:color w:val="auto"/>
                      <w:szCs w:val="21"/>
                    </w:rPr>
                    <w:t>700467.81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6EB5">
                  <w:pPr>
                    <w:adjustRightInd w:val="0"/>
                    <w:snapToGrid w:val="0"/>
                    <w:jc w:val="center"/>
                    <w:rPr>
                      <w:bCs/>
                      <w:color w:val="auto"/>
                      <w:szCs w:val="21"/>
                    </w:rPr>
                  </w:pPr>
                  <w:r>
                    <w:rPr>
                      <w:bCs/>
                      <w:color w:val="auto"/>
                      <w:szCs w:val="21"/>
                    </w:rPr>
                    <w:t>3769116.88</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2A8F2">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7D4A1">
                  <w:pPr>
                    <w:adjustRightInd w:val="0"/>
                    <w:snapToGrid w:val="0"/>
                    <w:jc w:val="center"/>
                    <w:rPr>
                      <w:bCs/>
                      <w:color w:val="auto"/>
                      <w:szCs w:val="21"/>
                    </w:rPr>
                  </w:pPr>
                  <w:r>
                    <w:rPr>
                      <w:bCs/>
                      <w:color w:val="auto"/>
                      <w:szCs w:val="21"/>
                    </w:rPr>
                    <w:t>220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A989">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DBECC4B">
                  <w:pPr>
                    <w:adjustRightInd w:val="0"/>
                    <w:snapToGrid w:val="0"/>
                    <w:jc w:val="center"/>
                    <w:rPr>
                      <w:color w:val="auto"/>
                      <w:szCs w:val="21"/>
                    </w:rPr>
                  </w:pPr>
                  <w:r>
                    <w:rPr>
                      <w:color w:val="auto"/>
                      <w:szCs w:val="21"/>
                    </w:rPr>
                    <w:t>1800</w:t>
                  </w:r>
                </w:p>
              </w:tc>
              <w:tc>
                <w:tcPr>
                  <w:tcW w:w="976" w:type="pct"/>
                  <w:vMerge w:val="continue"/>
                  <w:tcBorders>
                    <w:left w:val="single" w:color="auto" w:sz="2" w:space="0"/>
                  </w:tcBorders>
                  <w:shd w:val="clear" w:color="auto" w:fill="auto"/>
                  <w:vAlign w:val="center"/>
                </w:tcPr>
                <w:p w14:paraId="1EC1D742">
                  <w:pPr>
                    <w:adjustRightInd w:val="0"/>
                    <w:snapToGrid w:val="0"/>
                    <w:jc w:val="center"/>
                    <w:textAlignment w:val="center"/>
                    <w:rPr>
                      <w:color w:val="auto"/>
                      <w:szCs w:val="21"/>
                    </w:rPr>
                  </w:pPr>
                </w:p>
              </w:tc>
            </w:tr>
            <w:tr w14:paraId="678C849D">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6A75BFC">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FFD39">
                  <w:pPr>
                    <w:jc w:val="center"/>
                    <w:rPr>
                      <w:color w:val="auto"/>
                      <w:szCs w:val="21"/>
                    </w:rPr>
                  </w:pPr>
                  <w:r>
                    <w:rPr>
                      <w:color w:val="auto"/>
                      <w:szCs w:val="21"/>
                    </w:rPr>
                    <w:t>小高沟</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B8C0">
                  <w:pPr>
                    <w:adjustRightInd w:val="0"/>
                    <w:snapToGrid w:val="0"/>
                    <w:jc w:val="center"/>
                    <w:rPr>
                      <w:bCs/>
                      <w:color w:val="auto"/>
                      <w:szCs w:val="21"/>
                    </w:rPr>
                  </w:pPr>
                  <w:r>
                    <w:rPr>
                      <w:bCs/>
                      <w:color w:val="auto"/>
                      <w:szCs w:val="21"/>
                    </w:rPr>
                    <w:t>699430.59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F753">
                  <w:pPr>
                    <w:adjustRightInd w:val="0"/>
                    <w:snapToGrid w:val="0"/>
                    <w:jc w:val="center"/>
                    <w:rPr>
                      <w:bCs/>
                      <w:color w:val="auto"/>
                      <w:szCs w:val="21"/>
                    </w:rPr>
                  </w:pPr>
                  <w:r>
                    <w:rPr>
                      <w:bCs/>
                      <w:color w:val="auto"/>
                      <w:szCs w:val="21"/>
                    </w:rPr>
                    <w:t>3769240.94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9692">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4686">
                  <w:pPr>
                    <w:adjustRightInd w:val="0"/>
                    <w:snapToGrid w:val="0"/>
                    <w:jc w:val="center"/>
                    <w:rPr>
                      <w:bCs/>
                      <w:color w:val="auto"/>
                      <w:szCs w:val="21"/>
                    </w:rPr>
                  </w:pPr>
                  <w:r>
                    <w:rPr>
                      <w:bCs/>
                      <w:color w:val="auto"/>
                      <w:szCs w:val="21"/>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F19E6">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8AF5BF1">
                  <w:pPr>
                    <w:adjustRightInd w:val="0"/>
                    <w:snapToGrid w:val="0"/>
                    <w:jc w:val="center"/>
                    <w:rPr>
                      <w:color w:val="auto"/>
                      <w:szCs w:val="21"/>
                    </w:rPr>
                  </w:pPr>
                  <w:r>
                    <w:rPr>
                      <w:color w:val="auto"/>
                      <w:szCs w:val="21"/>
                    </w:rPr>
                    <w:t>2660</w:t>
                  </w:r>
                </w:p>
              </w:tc>
              <w:tc>
                <w:tcPr>
                  <w:tcW w:w="976" w:type="pct"/>
                  <w:vMerge w:val="continue"/>
                  <w:tcBorders>
                    <w:left w:val="single" w:color="auto" w:sz="2" w:space="0"/>
                  </w:tcBorders>
                  <w:shd w:val="clear" w:color="auto" w:fill="auto"/>
                  <w:vAlign w:val="center"/>
                </w:tcPr>
                <w:p w14:paraId="48495CEB">
                  <w:pPr>
                    <w:adjustRightInd w:val="0"/>
                    <w:snapToGrid w:val="0"/>
                    <w:jc w:val="center"/>
                    <w:textAlignment w:val="center"/>
                    <w:rPr>
                      <w:color w:val="auto"/>
                      <w:szCs w:val="21"/>
                    </w:rPr>
                  </w:pPr>
                </w:p>
              </w:tc>
            </w:tr>
            <w:tr w14:paraId="6B719D0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BC42F2C">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16</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77CC">
                  <w:pPr>
                    <w:jc w:val="center"/>
                    <w:rPr>
                      <w:color w:val="auto"/>
                      <w:szCs w:val="21"/>
                    </w:rPr>
                  </w:pPr>
                  <w:r>
                    <w:rPr>
                      <w:color w:val="auto"/>
                      <w:szCs w:val="21"/>
                    </w:rPr>
                    <w:t>小岭子</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D2A5E">
                  <w:pPr>
                    <w:adjustRightInd w:val="0"/>
                    <w:snapToGrid w:val="0"/>
                    <w:jc w:val="center"/>
                    <w:rPr>
                      <w:bCs/>
                      <w:color w:val="auto"/>
                      <w:szCs w:val="21"/>
                    </w:rPr>
                  </w:pPr>
                  <w:r>
                    <w:rPr>
                      <w:bCs/>
                      <w:color w:val="auto"/>
                      <w:szCs w:val="21"/>
                    </w:rPr>
                    <w:t>700432.19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C7E6">
                  <w:pPr>
                    <w:adjustRightInd w:val="0"/>
                    <w:snapToGrid w:val="0"/>
                    <w:jc w:val="center"/>
                    <w:rPr>
                      <w:bCs/>
                      <w:color w:val="auto"/>
                      <w:szCs w:val="21"/>
                    </w:rPr>
                  </w:pPr>
                  <w:r>
                    <w:rPr>
                      <w:bCs/>
                      <w:color w:val="auto"/>
                      <w:szCs w:val="21"/>
                    </w:rPr>
                    <w:t>3769676.36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160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3546B">
                  <w:pPr>
                    <w:adjustRightInd w:val="0"/>
                    <w:snapToGrid w:val="0"/>
                    <w:jc w:val="center"/>
                    <w:rPr>
                      <w:bCs/>
                      <w:color w:val="auto"/>
                      <w:szCs w:val="21"/>
                    </w:rPr>
                  </w:pPr>
                  <w:r>
                    <w:rPr>
                      <w:bCs/>
                      <w:color w:val="auto"/>
                      <w:szCs w:val="21"/>
                    </w:rPr>
                    <w:t>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444B8">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B074604">
                  <w:pPr>
                    <w:adjustRightInd w:val="0"/>
                    <w:snapToGrid w:val="0"/>
                    <w:jc w:val="center"/>
                    <w:rPr>
                      <w:color w:val="auto"/>
                      <w:szCs w:val="21"/>
                    </w:rPr>
                  </w:pPr>
                  <w:r>
                    <w:rPr>
                      <w:color w:val="auto"/>
                      <w:szCs w:val="21"/>
                    </w:rPr>
                    <w:t>2350</w:t>
                  </w:r>
                </w:p>
              </w:tc>
              <w:tc>
                <w:tcPr>
                  <w:tcW w:w="976" w:type="pct"/>
                  <w:vMerge w:val="continue"/>
                  <w:tcBorders>
                    <w:left w:val="single" w:color="auto" w:sz="2" w:space="0"/>
                  </w:tcBorders>
                  <w:shd w:val="clear" w:color="auto" w:fill="auto"/>
                  <w:vAlign w:val="center"/>
                </w:tcPr>
                <w:p w14:paraId="735F6A0B">
                  <w:pPr>
                    <w:adjustRightInd w:val="0"/>
                    <w:snapToGrid w:val="0"/>
                    <w:jc w:val="center"/>
                    <w:textAlignment w:val="center"/>
                    <w:rPr>
                      <w:color w:val="auto"/>
                      <w:szCs w:val="21"/>
                    </w:rPr>
                  </w:pPr>
                </w:p>
              </w:tc>
            </w:tr>
            <w:tr w14:paraId="7EFAF05B">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48E5F983">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5B9D6">
                  <w:pPr>
                    <w:jc w:val="center"/>
                    <w:rPr>
                      <w:color w:val="auto"/>
                      <w:szCs w:val="21"/>
                    </w:rPr>
                  </w:pPr>
                  <w:r>
                    <w:rPr>
                      <w:color w:val="auto"/>
                      <w:szCs w:val="21"/>
                    </w:rPr>
                    <w:t>安伏村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F11BD">
                  <w:pPr>
                    <w:adjustRightInd w:val="0"/>
                    <w:snapToGrid w:val="0"/>
                    <w:jc w:val="center"/>
                    <w:rPr>
                      <w:bCs/>
                      <w:color w:val="auto"/>
                      <w:szCs w:val="21"/>
                    </w:rPr>
                  </w:pPr>
                  <w:r>
                    <w:rPr>
                      <w:bCs/>
                      <w:color w:val="auto"/>
                      <w:szCs w:val="21"/>
                    </w:rPr>
                    <w:t>699969.61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B13F">
                  <w:pPr>
                    <w:adjustRightInd w:val="0"/>
                    <w:snapToGrid w:val="0"/>
                    <w:jc w:val="center"/>
                    <w:rPr>
                      <w:bCs/>
                      <w:color w:val="auto"/>
                      <w:szCs w:val="21"/>
                    </w:rPr>
                  </w:pPr>
                  <w:r>
                    <w:rPr>
                      <w:bCs/>
                      <w:color w:val="auto"/>
                      <w:szCs w:val="21"/>
                    </w:rPr>
                    <w:t>3769808.69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7633E">
                  <w:pPr>
                    <w:widowControl/>
                    <w:adjustRightInd w:val="0"/>
                    <w:snapToGrid w:val="0"/>
                    <w:jc w:val="center"/>
                    <w:textAlignment w:val="center"/>
                    <w:rPr>
                      <w:color w:val="auto"/>
                      <w:kern w:val="0"/>
                      <w:szCs w:val="21"/>
                    </w:rPr>
                  </w:pPr>
                  <w:r>
                    <w:rPr>
                      <w:color w:val="auto"/>
                      <w:kern w:val="0"/>
                      <w:szCs w:val="21"/>
                    </w:rPr>
                    <w:t>居住</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63FA">
                  <w:pPr>
                    <w:adjustRightInd w:val="0"/>
                    <w:snapToGrid w:val="0"/>
                    <w:jc w:val="center"/>
                    <w:rPr>
                      <w:bCs/>
                      <w:color w:val="auto"/>
                      <w:szCs w:val="21"/>
                    </w:rPr>
                  </w:pPr>
                  <w:r>
                    <w:rPr>
                      <w:bCs/>
                      <w:color w:val="auto"/>
                      <w:szCs w:val="21"/>
                    </w:rPr>
                    <w:t>320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F9B0">
                  <w:pPr>
                    <w:adjustRightInd w:val="0"/>
                    <w:snapToGrid w:val="0"/>
                    <w:jc w:val="center"/>
                    <w:rPr>
                      <w:bCs/>
                      <w:color w:val="auto"/>
                      <w:szCs w:val="21"/>
                    </w:rPr>
                  </w:pPr>
                  <w:r>
                    <w:rPr>
                      <w:bCs/>
                      <w:color w:val="auto"/>
                      <w:szCs w:val="21"/>
                    </w:rPr>
                    <w:t>WN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4BB5C0E">
                  <w:pPr>
                    <w:adjustRightInd w:val="0"/>
                    <w:snapToGrid w:val="0"/>
                    <w:jc w:val="center"/>
                    <w:rPr>
                      <w:color w:val="auto"/>
                      <w:szCs w:val="21"/>
                    </w:rPr>
                  </w:pPr>
                  <w:r>
                    <w:rPr>
                      <w:color w:val="auto"/>
                      <w:szCs w:val="21"/>
                    </w:rPr>
                    <w:t>2480</w:t>
                  </w:r>
                </w:p>
              </w:tc>
              <w:tc>
                <w:tcPr>
                  <w:tcW w:w="976" w:type="pct"/>
                  <w:vMerge w:val="continue"/>
                  <w:tcBorders>
                    <w:left w:val="single" w:color="auto" w:sz="2" w:space="0"/>
                  </w:tcBorders>
                  <w:shd w:val="clear" w:color="auto" w:fill="auto"/>
                  <w:vAlign w:val="center"/>
                </w:tcPr>
                <w:p w14:paraId="02403DBE">
                  <w:pPr>
                    <w:adjustRightInd w:val="0"/>
                    <w:snapToGrid w:val="0"/>
                    <w:jc w:val="center"/>
                    <w:textAlignment w:val="center"/>
                    <w:rPr>
                      <w:color w:val="auto"/>
                      <w:szCs w:val="21"/>
                    </w:rPr>
                  </w:pPr>
                </w:p>
              </w:tc>
            </w:tr>
            <w:tr w14:paraId="0DFFA762">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751A56F6">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8EC9B">
                  <w:pPr>
                    <w:jc w:val="center"/>
                    <w:rPr>
                      <w:color w:val="auto"/>
                      <w:szCs w:val="21"/>
                    </w:rPr>
                  </w:pPr>
                  <w:r>
                    <w:rPr>
                      <w:color w:val="auto"/>
                      <w:szCs w:val="21"/>
                    </w:rPr>
                    <w:t>晏庄小学</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1A5CD">
                  <w:pPr>
                    <w:adjustRightInd w:val="0"/>
                    <w:snapToGrid w:val="0"/>
                    <w:jc w:val="center"/>
                    <w:rPr>
                      <w:bCs/>
                      <w:color w:val="auto"/>
                      <w:szCs w:val="21"/>
                    </w:rPr>
                  </w:pPr>
                  <w:r>
                    <w:rPr>
                      <w:bCs/>
                      <w:color w:val="auto"/>
                      <w:szCs w:val="21"/>
                    </w:rPr>
                    <w:t>701790.38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AD07">
                  <w:pPr>
                    <w:adjustRightInd w:val="0"/>
                    <w:snapToGrid w:val="0"/>
                    <w:jc w:val="center"/>
                    <w:rPr>
                      <w:bCs/>
                      <w:color w:val="auto"/>
                      <w:szCs w:val="21"/>
                    </w:rPr>
                  </w:pPr>
                  <w:r>
                    <w:rPr>
                      <w:bCs/>
                      <w:color w:val="auto"/>
                      <w:szCs w:val="21"/>
                    </w:rPr>
                    <w:t>3768254.27</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AE55">
                  <w:pPr>
                    <w:widowControl/>
                    <w:adjustRightInd w:val="0"/>
                    <w:snapToGrid w:val="0"/>
                    <w:jc w:val="center"/>
                    <w:textAlignment w:val="center"/>
                    <w:rPr>
                      <w:color w:val="auto"/>
                      <w:kern w:val="0"/>
                      <w:szCs w:val="21"/>
                    </w:rPr>
                  </w:pPr>
                  <w:r>
                    <w:rPr>
                      <w:color w:val="auto"/>
                      <w:kern w:val="0"/>
                      <w:szCs w:val="21"/>
                    </w:rPr>
                    <w:t>学校</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5C5D8">
                  <w:pPr>
                    <w:adjustRightInd w:val="0"/>
                    <w:snapToGrid w:val="0"/>
                    <w:jc w:val="center"/>
                    <w:rPr>
                      <w:bCs/>
                      <w:color w:val="auto"/>
                      <w:szCs w:val="21"/>
                    </w:rPr>
                  </w:pPr>
                  <w:r>
                    <w:rPr>
                      <w:bCs/>
                      <w:color w:val="auto"/>
                      <w:szCs w:val="21"/>
                    </w:rPr>
                    <w:t>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C10F">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CAF3831">
                  <w:pPr>
                    <w:adjustRightInd w:val="0"/>
                    <w:snapToGrid w:val="0"/>
                    <w:jc w:val="center"/>
                    <w:rPr>
                      <w:color w:val="auto"/>
                      <w:szCs w:val="21"/>
                    </w:rPr>
                  </w:pPr>
                  <w:r>
                    <w:rPr>
                      <w:color w:val="auto"/>
                      <w:szCs w:val="21"/>
                    </w:rPr>
                    <w:t>720</w:t>
                  </w:r>
                </w:p>
              </w:tc>
              <w:tc>
                <w:tcPr>
                  <w:tcW w:w="976" w:type="pct"/>
                  <w:vMerge w:val="continue"/>
                  <w:tcBorders>
                    <w:left w:val="single" w:color="auto" w:sz="2" w:space="0"/>
                  </w:tcBorders>
                  <w:shd w:val="clear" w:color="auto" w:fill="auto"/>
                  <w:vAlign w:val="center"/>
                </w:tcPr>
                <w:p w14:paraId="3ED3F61D">
                  <w:pPr>
                    <w:adjustRightInd w:val="0"/>
                    <w:snapToGrid w:val="0"/>
                    <w:jc w:val="center"/>
                    <w:textAlignment w:val="center"/>
                    <w:rPr>
                      <w:color w:val="auto"/>
                      <w:szCs w:val="21"/>
                    </w:rPr>
                  </w:pPr>
                </w:p>
              </w:tc>
            </w:tr>
            <w:tr w14:paraId="0F580B07">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4AF73B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19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E8D0">
                  <w:pPr>
                    <w:jc w:val="center"/>
                    <w:rPr>
                      <w:color w:val="auto"/>
                      <w:szCs w:val="21"/>
                    </w:rPr>
                  </w:pPr>
                  <w:r>
                    <w:rPr>
                      <w:color w:val="auto"/>
                      <w:szCs w:val="21"/>
                    </w:rPr>
                    <w:t>晏庄居委会</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09784">
                  <w:pPr>
                    <w:adjustRightInd w:val="0"/>
                    <w:snapToGrid w:val="0"/>
                    <w:jc w:val="center"/>
                    <w:rPr>
                      <w:bCs/>
                      <w:color w:val="auto"/>
                      <w:szCs w:val="21"/>
                    </w:rPr>
                  </w:pPr>
                  <w:r>
                    <w:rPr>
                      <w:bCs/>
                      <w:color w:val="auto"/>
                      <w:szCs w:val="21"/>
                    </w:rPr>
                    <w:t>702166.09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00AF">
                  <w:pPr>
                    <w:adjustRightInd w:val="0"/>
                    <w:snapToGrid w:val="0"/>
                    <w:jc w:val="center"/>
                    <w:rPr>
                      <w:bCs/>
                      <w:color w:val="auto"/>
                      <w:szCs w:val="21"/>
                    </w:rPr>
                  </w:pPr>
                  <w:r>
                    <w:rPr>
                      <w:bCs/>
                      <w:color w:val="auto"/>
                      <w:szCs w:val="21"/>
                    </w:rPr>
                    <w:t>3768206.05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B7A78">
                  <w:pPr>
                    <w:widowControl/>
                    <w:adjustRightInd w:val="0"/>
                    <w:snapToGrid w:val="0"/>
                    <w:jc w:val="center"/>
                    <w:textAlignment w:val="center"/>
                    <w:rPr>
                      <w:color w:val="auto"/>
                      <w:kern w:val="0"/>
                      <w:szCs w:val="21"/>
                    </w:rPr>
                  </w:pPr>
                  <w:r>
                    <w:rPr>
                      <w:color w:val="auto"/>
                      <w:kern w:val="0"/>
                      <w:szCs w:val="21"/>
                    </w:rPr>
                    <w:t>居住</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F7FDF">
                  <w:pPr>
                    <w:adjustRightInd w:val="0"/>
                    <w:snapToGrid w:val="0"/>
                    <w:jc w:val="center"/>
                    <w:rPr>
                      <w:bCs/>
                      <w:color w:val="auto"/>
                      <w:szCs w:val="21"/>
                    </w:rPr>
                  </w:pPr>
                  <w:r>
                    <w:rPr>
                      <w:bCs/>
                      <w:color w:val="auto"/>
                      <w:szCs w:val="21"/>
                    </w:rPr>
                    <w:t>350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F69EC">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4425675">
                  <w:pPr>
                    <w:adjustRightInd w:val="0"/>
                    <w:snapToGrid w:val="0"/>
                    <w:jc w:val="center"/>
                    <w:rPr>
                      <w:color w:val="auto"/>
                      <w:szCs w:val="21"/>
                    </w:rPr>
                  </w:pPr>
                  <w:r>
                    <w:rPr>
                      <w:color w:val="auto"/>
                      <w:szCs w:val="21"/>
                    </w:rPr>
                    <w:t>850</w:t>
                  </w:r>
                </w:p>
              </w:tc>
              <w:tc>
                <w:tcPr>
                  <w:tcW w:w="976" w:type="pct"/>
                  <w:vMerge w:val="continue"/>
                  <w:tcBorders>
                    <w:left w:val="single" w:color="auto" w:sz="2" w:space="0"/>
                  </w:tcBorders>
                  <w:shd w:val="clear" w:color="auto" w:fill="auto"/>
                  <w:vAlign w:val="center"/>
                </w:tcPr>
                <w:p w14:paraId="0C5501B8">
                  <w:pPr>
                    <w:adjustRightInd w:val="0"/>
                    <w:snapToGrid w:val="0"/>
                    <w:jc w:val="center"/>
                    <w:textAlignment w:val="center"/>
                    <w:rPr>
                      <w:color w:val="auto"/>
                      <w:szCs w:val="21"/>
                    </w:rPr>
                  </w:pPr>
                </w:p>
              </w:tc>
            </w:tr>
            <w:tr w14:paraId="5C22415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3333E50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3EB00">
                  <w:pPr>
                    <w:jc w:val="center"/>
                    <w:rPr>
                      <w:color w:val="auto"/>
                      <w:szCs w:val="21"/>
                    </w:rPr>
                  </w:pPr>
                  <w:r>
                    <w:rPr>
                      <w:color w:val="auto"/>
                      <w:szCs w:val="21"/>
                    </w:rPr>
                    <w:t>晏庄幼儿园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4733">
                  <w:pPr>
                    <w:adjustRightInd w:val="0"/>
                    <w:snapToGrid w:val="0"/>
                    <w:jc w:val="center"/>
                    <w:rPr>
                      <w:bCs/>
                      <w:color w:val="auto"/>
                      <w:szCs w:val="21"/>
                    </w:rPr>
                  </w:pPr>
                  <w:r>
                    <w:rPr>
                      <w:bCs/>
                      <w:color w:val="auto"/>
                      <w:szCs w:val="21"/>
                    </w:rPr>
                    <w:t>702270.65</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8FB35">
                  <w:pPr>
                    <w:adjustRightInd w:val="0"/>
                    <w:snapToGrid w:val="0"/>
                    <w:jc w:val="center"/>
                    <w:rPr>
                      <w:bCs/>
                      <w:color w:val="auto"/>
                      <w:szCs w:val="21"/>
                    </w:rPr>
                  </w:pPr>
                  <w:r>
                    <w:rPr>
                      <w:bCs/>
                      <w:color w:val="auto"/>
                      <w:szCs w:val="21"/>
                    </w:rPr>
                    <w:t>3768228.04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5DB1">
                  <w:pPr>
                    <w:widowControl/>
                    <w:adjustRightInd w:val="0"/>
                    <w:snapToGrid w:val="0"/>
                    <w:jc w:val="center"/>
                    <w:textAlignment w:val="center"/>
                    <w:rPr>
                      <w:color w:val="auto"/>
                      <w:kern w:val="0"/>
                      <w:szCs w:val="21"/>
                    </w:rPr>
                  </w:pPr>
                  <w:r>
                    <w:rPr>
                      <w:color w:val="auto"/>
                      <w:kern w:val="0"/>
                      <w:szCs w:val="21"/>
                    </w:rPr>
                    <w:t>学校</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A7BB">
                  <w:pPr>
                    <w:adjustRightInd w:val="0"/>
                    <w:snapToGrid w:val="0"/>
                    <w:jc w:val="center"/>
                    <w:rPr>
                      <w:bCs/>
                      <w:color w:val="auto"/>
                      <w:szCs w:val="21"/>
                    </w:rPr>
                  </w:pPr>
                  <w:r>
                    <w:rPr>
                      <w:bCs/>
                      <w:color w:val="auto"/>
                      <w:szCs w:val="21"/>
                    </w:rPr>
                    <w:t>70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2C78">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0A2F0773">
                  <w:pPr>
                    <w:adjustRightInd w:val="0"/>
                    <w:snapToGrid w:val="0"/>
                    <w:jc w:val="center"/>
                    <w:rPr>
                      <w:color w:val="auto"/>
                      <w:szCs w:val="21"/>
                    </w:rPr>
                  </w:pPr>
                  <w:r>
                    <w:rPr>
                      <w:color w:val="auto"/>
                      <w:szCs w:val="21"/>
                    </w:rPr>
                    <w:t>950</w:t>
                  </w:r>
                </w:p>
              </w:tc>
              <w:tc>
                <w:tcPr>
                  <w:tcW w:w="976" w:type="pct"/>
                  <w:vMerge w:val="continue"/>
                  <w:tcBorders>
                    <w:left w:val="single" w:color="auto" w:sz="2" w:space="0"/>
                  </w:tcBorders>
                  <w:shd w:val="clear" w:color="auto" w:fill="auto"/>
                  <w:vAlign w:val="center"/>
                </w:tcPr>
                <w:p w14:paraId="15A62989">
                  <w:pPr>
                    <w:adjustRightInd w:val="0"/>
                    <w:snapToGrid w:val="0"/>
                    <w:jc w:val="center"/>
                    <w:textAlignment w:val="center"/>
                    <w:rPr>
                      <w:color w:val="auto"/>
                      <w:szCs w:val="21"/>
                    </w:rPr>
                  </w:pPr>
                </w:p>
              </w:tc>
            </w:tr>
            <w:tr w14:paraId="32D323F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916A71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49EE">
                  <w:pPr>
                    <w:jc w:val="center"/>
                    <w:rPr>
                      <w:color w:val="auto"/>
                      <w:szCs w:val="21"/>
                    </w:rPr>
                  </w:pPr>
                  <w:r>
                    <w:rPr>
                      <w:color w:val="auto"/>
                      <w:szCs w:val="21"/>
                    </w:rPr>
                    <w:t>胡庄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0E80">
                  <w:pPr>
                    <w:adjustRightInd w:val="0"/>
                    <w:snapToGrid w:val="0"/>
                    <w:jc w:val="center"/>
                    <w:rPr>
                      <w:bCs/>
                      <w:color w:val="auto"/>
                      <w:szCs w:val="21"/>
                    </w:rPr>
                  </w:pPr>
                  <w:r>
                    <w:rPr>
                      <w:bCs/>
                      <w:color w:val="auto"/>
                      <w:szCs w:val="21"/>
                    </w:rPr>
                    <w:t>701692.18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8DB08">
                  <w:pPr>
                    <w:adjustRightInd w:val="0"/>
                    <w:snapToGrid w:val="0"/>
                    <w:jc w:val="center"/>
                    <w:rPr>
                      <w:bCs/>
                      <w:color w:val="auto"/>
                      <w:szCs w:val="21"/>
                    </w:rPr>
                  </w:pPr>
                  <w:r>
                    <w:rPr>
                      <w:bCs/>
                      <w:color w:val="auto"/>
                      <w:szCs w:val="21"/>
                    </w:rPr>
                    <w:t>3768397.20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5E591">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75D3">
                  <w:pPr>
                    <w:adjustRightInd w:val="0"/>
                    <w:snapToGrid w:val="0"/>
                    <w:jc w:val="center"/>
                    <w:rPr>
                      <w:bCs/>
                      <w:color w:val="auto"/>
                      <w:szCs w:val="21"/>
                    </w:rPr>
                  </w:pPr>
                  <w:r>
                    <w:rPr>
                      <w:bCs/>
                      <w:color w:val="auto"/>
                      <w:szCs w:val="21"/>
                    </w:rPr>
                    <w:t>350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0CE7">
                  <w:pPr>
                    <w:adjustRightInd w:val="0"/>
                    <w:snapToGrid w:val="0"/>
                    <w:jc w:val="center"/>
                    <w:rPr>
                      <w:bCs/>
                      <w:color w:val="auto"/>
                      <w:szCs w:val="21"/>
                    </w:rPr>
                  </w:pPr>
                  <w:r>
                    <w:rPr>
                      <w:bCs/>
                      <w:color w:val="auto"/>
                      <w:szCs w:val="21"/>
                    </w:rPr>
                    <w:t>N</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74186E9">
                  <w:pPr>
                    <w:adjustRightInd w:val="0"/>
                    <w:snapToGrid w:val="0"/>
                    <w:jc w:val="center"/>
                    <w:rPr>
                      <w:color w:val="auto"/>
                      <w:szCs w:val="21"/>
                    </w:rPr>
                  </w:pPr>
                  <w:r>
                    <w:rPr>
                      <w:color w:val="auto"/>
                      <w:szCs w:val="21"/>
                    </w:rPr>
                    <w:t>840</w:t>
                  </w:r>
                </w:p>
              </w:tc>
              <w:tc>
                <w:tcPr>
                  <w:tcW w:w="976" w:type="pct"/>
                  <w:vMerge w:val="continue"/>
                  <w:tcBorders>
                    <w:left w:val="single" w:color="auto" w:sz="2" w:space="0"/>
                  </w:tcBorders>
                  <w:shd w:val="clear" w:color="auto" w:fill="auto"/>
                  <w:vAlign w:val="center"/>
                </w:tcPr>
                <w:p w14:paraId="17517974">
                  <w:pPr>
                    <w:adjustRightInd w:val="0"/>
                    <w:snapToGrid w:val="0"/>
                    <w:jc w:val="center"/>
                    <w:textAlignment w:val="center"/>
                    <w:rPr>
                      <w:color w:val="auto"/>
                      <w:szCs w:val="21"/>
                    </w:rPr>
                  </w:pPr>
                </w:p>
              </w:tc>
            </w:tr>
            <w:tr w14:paraId="6EDF092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70C47C97">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4573D">
                  <w:pPr>
                    <w:jc w:val="center"/>
                    <w:rPr>
                      <w:color w:val="auto"/>
                      <w:szCs w:val="21"/>
                    </w:rPr>
                  </w:pPr>
                  <w:r>
                    <w:rPr>
                      <w:color w:val="auto"/>
                      <w:szCs w:val="21"/>
                    </w:rPr>
                    <w:t>张塘河</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E68E0">
                  <w:pPr>
                    <w:adjustRightInd w:val="0"/>
                    <w:snapToGrid w:val="0"/>
                    <w:jc w:val="center"/>
                    <w:rPr>
                      <w:bCs/>
                      <w:color w:val="auto"/>
                      <w:szCs w:val="21"/>
                    </w:rPr>
                  </w:pPr>
                  <w:r>
                    <w:rPr>
                      <w:bCs/>
                      <w:color w:val="auto"/>
                      <w:szCs w:val="21"/>
                    </w:rPr>
                    <w:t>702747.23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00A7">
                  <w:pPr>
                    <w:adjustRightInd w:val="0"/>
                    <w:snapToGrid w:val="0"/>
                    <w:jc w:val="center"/>
                    <w:rPr>
                      <w:bCs/>
                      <w:color w:val="auto"/>
                      <w:szCs w:val="21"/>
                    </w:rPr>
                  </w:pPr>
                  <w:r>
                    <w:rPr>
                      <w:bCs/>
                      <w:color w:val="auto"/>
                      <w:szCs w:val="21"/>
                    </w:rPr>
                    <w:t>3769114.29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44BC1">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ACDBE">
                  <w:pPr>
                    <w:adjustRightInd w:val="0"/>
                    <w:snapToGrid w:val="0"/>
                    <w:jc w:val="center"/>
                    <w:rPr>
                      <w:bCs/>
                      <w:color w:val="auto"/>
                      <w:szCs w:val="21"/>
                    </w:rPr>
                  </w:pPr>
                  <w:r>
                    <w:rPr>
                      <w:bCs/>
                      <w:color w:val="auto"/>
                      <w:szCs w:val="21"/>
                    </w:rPr>
                    <w:t>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4B61D">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6C9ECE40">
                  <w:pPr>
                    <w:adjustRightInd w:val="0"/>
                    <w:snapToGrid w:val="0"/>
                    <w:jc w:val="center"/>
                    <w:rPr>
                      <w:color w:val="auto"/>
                      <w:szCs w:val="21"/>
                    </w:rPr>
                  </w:pPr>
                  <w:r>
                    <w:rPr>
                      <w:color w:val="auto"/>
                      <w:szCs w:val="21"/>
                    </w:rPr>
                    <w:t>930</w:t>
                  </w:r>
                </w:p>
              </w:tc>
              <w:tc>
                <w:tcPr>
                  <w:tcW w:w="976" w:type="pct"/>
                  <w:vMerge w:val="continue"/>
                  <w:tcBorders>
                    <w:left w:val="single" w:color="auto" w:sz="2" w:space="0"/>
                  </w:tcBorders>
                  <w:shd w:val="clear" w:color="auto" w:fill="auto"/>
                  <w:vAlign w:val="center"/>
                </w:tcPr>
                <w:p w14:paraId="0AF066CE">
                  <w:pPr>
                    <w:adjustRightInd w:val="0"/>
                    <w:snapToGrid w:val="0"/>
                    <w:jc w:val="center"/>
                    <w:textAlignment w:val="center"/>
                    <w:rPr>
                      <w:color w:val="auto"/>
                      <w:szCs w:val="21"/>
                    </w:rPr>
                  </w:pPr>
                </w:p>
              </w:tc>
            </w:tr>
            <w:tr w14:paraId="59F8753F">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9A7A509">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A1B6">
                  <w:pPr>
                    <w:jc w:val="center"/>
                    <w:rPr>
                      <w:color w:val="auto"/>
                      <w:szCs w:val="21"/>
                    </w:rPr>
                  </w:pPr>
                  <w:r>
                    <w:rPr>
                      <w:color w:val="auto"/>
                      <w:szCs w:val="21"/>
                    </w:rPr>
                    <w:t>中司庄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30829">
                  <w:pPr>
                    <w:adjustRightInd w:val="0"/>
                    <w:snapToGrid w:val="0"/>
                    <w:jc w:val="center"/>
                    <w:rPr>
                      <w:bCs/>
                      <w:color w:val="auto"/>
                      <w:szCs w:val="21"/>
                    </w:rPr>
                  </w:pPr>
                  <w:r>
                    <w:rPr>
                      <w:color w:val="auto"/>
                    </w:rPr>
                    <w:t>702695.27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94EA">
                  <w:pPr>
                    <w:adjustRightInd w:val="0"/>
                    <w:snapToGrid w:val="0"/>
                    <w:jc w:val="center"/>
                    <w:rPr>
                      <w:bCs/>
                      <w:color w:val="auto"/>
                      <w:szCs w:val="21"/>
                    </w:rPr>
                  </w:pPr>
                  <w:r>
                    <w:rPr>
                      <w:bCs/>
                      <w:color w:val="auto"/>
                      <w:szCs w:val="21"/>
                    </w:rPr>
                    <w:t>3767653.04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70CE">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E54B">
                  <w:pPr>
                    <w:adjustRightInd w:val="0"/>
                    <w:snapToGrid w:val="0"/>
                    <w:jc w:val="center"/>
                    <w:rPr>
                      <w:bCs/>
                      <w:color w:val="auto"/>
                      <w:szCs w:val="21"/>
                    </w:rPr>
                  </w:pPr>
                  <w:r>
                    <w:rPr>
                      <w:bCs/>
                      <w:color w:val="auto"/>
                      <w:szCs w:val="21"/>
                    </w:rPr>
                    <w:t>280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85B25">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237C4C9">
                  <w:pPr>
                    <w:adjustRightInd w:val="0"/>
                    <w:snapToGrid w:val="0"/>
                    <w:jc w:val="center"/>
                    <w:rPr>
                      <w:color w:val="auto"/>
                      <w:szCs w:val="21"/>
                    </w:rPr>
                  </w:pPr>
                  <w:r>
                    <w:rPr>
                      <w:color w:val="auto"/>
                      <w:szCs w:val="21"/>
                    </w:rPr>
                    <w:t>1100</w:t>
                  </w:r>
                </w:p>
              </w:tc>
              <w:tc>
                <w:tcPr>
                  <w:tcW w:w="976" w:type="pct"/>
                  <w:vMerge w:val="continue"/>
                  <w:tcBorders>
                    <w:left w:val="single" w:color="auto" w:sz="2" w:space="0"/>
                  </w:tcBorders>
                  <w:shd w:val="clear" w:color="auto" w:fill="auto"/>
                  <w:vAlign w:val="center"/>
                </w:tcPr>
                <w:p w14:paraId="2617F4E5">
                  <w:pPr>
                    <w:adjustRightInd w:val="0"/>
                    <w:snapToGrid w:val="0"/>
                    <w:jc w:val="center"/>
                    <w:textAlignment w:val="center"/>
                    <w:rPr>
                      <w:color w:val="auto"/>
                      <w:szCs w:val="21"/>
                    </w:rPr>
                  </w:pPr>
                </w:p>
              </w:tc>
            </w:tr>
            <w:tr w14:paraId="0AA44E8D">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A995563">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E0098">
                  <w:pPr>
                    <w:jc w:val="center"/>
                    <w:rPr>
                      <w:color w:val="auto"/>
                      <w:szCs w:val="21"/>
                    </w:rPr>
                  </w:pPr>
                  <w:r>
                    <w:rPr>
                      <w:color w:val="auto"/>
                      <w:szCs w:val="21"/>
                    </w:rPr>
                    <w:t>洪二庄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B51AB">
                  <w:pPr>
                    <w:adjustRightInd w:val="0"/>
                    <w:snapToGrid w:val="0"/>
                    <w:jc w:val="center"/>
                    <w:rPr>
                      <w:bCs/>
                      <w:color w:val="auto"/>
                      <w:szCs w:val="21"/>
                    </w:rPr>
                  </w:pPr>
                  <w:r>
                    <w:rPr>
                      <w:bCs/>
                      <w:color w:val="auto"/>
                      <w:szCs w:val="21"/>
                    </w:rPr>
                    <w:t>703280.10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A93E">
                  <w:pPr>
                    <w:adjustRightInd w:val="0"/>
                    <w:snapToGrid w:val="0"/>
                    <w:jc w:val="center"/>
                    <w:rPr>
                      <w:bCs/>
                      <w:color w:val="auto"/>
                      <w:szCs w:val="21"/>
                    </w:rPr>
                  </w:pPr>
                  <w:r>
                    <w:rPr>
                      <w:bCs/>
                      <w:color w:val="auto"/>
                      <w:szCs w:val="21"/>
                    </w:rPr>
                    <w:t>3767930.03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34F7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F3047">
                  <w:pPr>
                    <w:adjustRightInd w:val="0"/>
                    <w:snapToGrid w:val="0"/>
                    <w:jc w:val="center"/>
                    <w:rPr>
                      <w:bCs/>
                      <w:color w:val="auto"/>
                      <w:szCs w:val="21"/>
                    </w:rPr>
                  </w:pPr>
                  <w:r>
                    <w:rPr>
                      <w:bCs/>
                      <w:color w:val="auto"/>
                      <w:szCs w:val="21"/>
                    </w:rPr>
                    <w:t>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E1F6A">
                  <w:pPr>
                    <w:adjustRightInd w:val="0"/>
                    <w:snapToGrid w:val="0"/>
                    <w:jc w:val="center"/>
                    <w:rPr>
                      <w:bCs/>
                      <w:color w:val="auto"/>
                      <w:szCs w:val="21"/>
                    </w:rPr>
                  </w:pPr>
                  <w:r>
                    <w:rPr>
                      <w:bCs/>
                      <w:color w:val="auto"/>
                      <w:szCs w:val="21"/>
                    </w:rPr>
                    <w:t>NE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2CAC9DA">
                  <w:pPr>
                    <w:adjustRightInd w:val="0"/>
                    <w:snapToGrid w:val="0"/>
                    <w:jc w:val="center"/>
                    <w:rPr>
                      <w:color w:val="auto"/>
                      <w:szCs w:val="21"/>
                    </w:rPr>
                  </w:pPr>
                  <w:r>
                    <w:rPr>
                      <w:color w:val="auto"/>
                      <w:szCs w:val="21"/>
                    </w:rPr>
                    <w:t>1700</w:t>
                  </w:r>
                </w:p>
              </w:tc>
              <w:tc>
                <w:tcPr>
                  <w:tcW w:w="976" w:type="pct"/>
                  <w:vMerge w:val="continue"/>
                  <w:tcBorders>
                    <w:left w:val="single" w:color="auto" w:sz="2" w:space="0"/>
                  </w:tcBorders>
                  <w:shd w:val="clear" w:color="auto" w:fill="auto"/>
                  <w:vAlign w:val="center"/>
                </w:tcPr>
                <w:p w14:paraId="01CC12F3">
                  <w:pPr>
                    <w:adjustRightInd w:val="0"/>
                    <w:snapToGrid w:val="0"/>
                    <w:jc w:val="center"/>
                    <w:textAlignment w:val="center"/>
                    <w:rPr>
                      <w:color w:val="auto"/>
                      <w:szCs w:val="21"/>
                    </w:rPr>
                  </w:pPr>
                </w:p>
              </w:tc>
            </w:tr>
            <w:tr w14:paraId="673A374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C81860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8B83">
                  <w:pPr>
                    <w:jc w:val="center"/>
                    <w:rPr>
                      <w:color w:val="auto"/>
                      <w:szCs w:val="21"/>
                    </w:rPr>
                  </w:pPr>
                  <w:r>
                    <w:rPr>
                      <w:color w:val="auto"/>
                      <w:szCs w:val="21"/>
                    </w:rPr>
                    <w:t>徐窑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4F081">
                  <w:pPr>
                    <w:adjustRightInd w:val="0"/>
                    <w:snapToGrid w:val="0"/>
                    <w:jc w:val="center"/>
                    <w:rPr>
                      <w:bCs/>
                      <w:color w:val="auto"/>
                      <w:szCs w:val="21"/>
                    </w:rPr>
                  </w:pPr>
                  <w:r>
                    <w:rPr>
                      <w:bCs/>
                      <w:color w:val="auto"/>
                      <w:szCs w:val="21"/>
                    </w:rPr>
                    <w:t>703157.34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153C">
                  <w:pPr>
                    <w:adjustRightInd w:val="0"/>
                    <w:snapToGrid w:val="0"/>
                    <w:jc w:val="center"/>
                    <w:rPr>
                      <w:bCs/>
                      <w:color w:val="auto"/>
                      <w:szCs w:val="21"/>
                    </w:rPr>
                  </w:pPr>
                  <w:r>
                    <w:rPr>
                      <w:bCs/>
                      <w:color w:val="auto"/>
                      <w:szCs w:val="21"/>
                    </w:rPr>
                    <w:t>3767371.03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5BADD">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69900">
                  <w:pPr>
                    <w:adjustRightInd w:val="0"/>
                    <w:snapToGrid w:val="0"/>
                    <w:jc w:val="center"/>
                    <w:rPr>
                      <w:bCs/>
                      <w:color w:val="auto"/>
                      <w:szCs w:val="21"/>
                    </w:rPr>
                  </w:pPr>
                  <w:r>
                    <w:rPr>
                      <w:bCs/>
                      <w:color w:val="auto"/>
                      <w:szCs w:val="21"/>
                    </w:rPr>
                    <w:t>420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941E">
                  <w:pPr>
                    <w:adjustRightInd w:val="0"/>
                    <w:snapToGrid w:val="0"/>
                    <w:jc w:val="center"/>
                    <w:rPr>
                      <w:bCs/>
                      <w:color w:val="auto"/>
                      <w:szCs w:val="21"/>
                    </w:rPr>
                  </w:pPr>
                  <w:r>
                    <w:rPr>
                      <w:bCs/>
                      <w:color w:val="auto"/>
                      <w:szCs w:val="21"/>
                    </w:rPr>
                    <w:t>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6E4599A">
                  <w:pPr>
                    <w:adjustRightInd w:val="0"/>
                    <w:snapToGrid w:val="0"/>
                    <w:jc w:val="center"/>
                    <w:rPr>
                      <w:color w:val="auto"/>
                      <w:szCs w:val="21"/>
                    </w:rPr>
                  </w:pPr>
                  <w:r>
                    <w:rPr>
                      <w:color w:val="auto"/>
                      <w:szCs w:val="21"/>
                    </w:rPr>
                    <w:t>1000</w:t>
                  </w:r>
                </w:p>
              </w:tc>
              <w:tc>
                <w:tcPr>
                  <w:tcW w:w="976" w:type="pct"/>
                  <w:vMerge w:val="continue"/>
                  <w:tcBorders>
                    <w:left w:val="single" w:color="auto" w:sz="2" w:space="0"/>
                  </w:tcBorders>
                  <w:shd w:val="clear" w:color="auto" w:fill="auto"/>
                  <w:vAlign w:val="center"/>
                </w:tcPr>
                <w:p w14:paraId="2C4575A9">
                  <w:pPr>
                    <w:adjustRightInd w:val="0"/>
                    <w:snapToGrid w:val="0"/>
                    <w:jc w:val="center"/>
                    <w:textAlignment w:val="center"/>
                    <w:rPr>
                      <w:color w:val="auto"/>
                      <w:szCs w:val="21"/>
                    </w:rPr>
                  </w:pPr>
                </w:p>
              </w:tc>
            </w:tr>
            <w:tr w14:paraId="793CB0F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8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5C3D8B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26</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282C">
                  <w:pPr>
                    <w:jc w:val="center"/>
                    <w:rPr>
                      <w:color w:val="auto"/>
                      <w:szCs w:val="21"/>
                    </w:rPr>
                  </w:pPr>
                  <w:r>
                    <w:rPr>
                      <w:color w:val="auto"/>
                      <w:szCs w:val="21"/>
                    </w:rPr>
                    <w:t>六塘人家</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E4F2">
                  <w:pPr>
                    <w:adjustRightInd w:val="0"/>
                    <w:snapToGrid w:val="0"/>
                    <w:jc w:val="center"/>
                    <w:rPr>
                      <w:bCs/>
                      <w:color w:val="auto"/>
                      <w:szCs w:val="21"/>
                    </w:rPr>
                  </w:pPr>
                  <w:r>
                    <w:rPr>
                      <w:bCs/>
                      <w:color w:val="auto"/>
                      <w:szCs w:val="21"/>
                    </w:rPr>
                    <w:t>702187.95</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18DC8">
                  <w:pPr>
                    <w:adjustRightInd w:val="0"/>
                    <w:snapToGrid w:val="0"/>
                    <w:jc w:val="center"/>
                    <w:rPr>
                      <w:bCs/>
                      <w:color w:val="auto"/>
                      <w:szCs w:val="21"/>
                    </w:rPr>
                  </w:pPr>
                  <w:r>
                    <w:rPr>
                      <w:bCs/>
                      <w:color w:val="auto"/>
                      <w:szCs w:val="21"/>
                    </w:rPr>
                    <w:t>3767089.70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A1687">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EBCC5">
                  <w:pPr>
                    <w:adjustRightInd w:val="0"/>
                    <w:snapToGrid w:val="0"/>
                    <w:jc w:val="center"/>
                    <w:rPr>
                      <w:bCs/>
                      <w:color w:val="auto"/>
                      <w:szCs w:val="21"/>
                    </w:rPr>
                  </w:pPr>
                  <w:r>
                    <w:rPr>
                      <w:bCs/>
                      <w:color w:val="auto"/>
                      <w:szCs w:val="21"/>
                    </w:rPr>
                    <w:t>1200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7BAD3">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CD7C441">
                  <w:pPr>
                    <w:adjustRightInd w:val="0"/>
                    <w:snapToGrid w:val="0"/>
                    <w:jc w:val="center"/>
                    <w:rPr>
                      <w:color w:val="auto"/>
                      <w:szCs w:val="21"/>
                    </w:rPr>
                  </w:pPr>
                  <w:r>
                    <w:rPr>
                      <w:color w:val="auto"/>
                      <w:szCs w:val="21"/>
                    </w:rPr>
                    <w:t>700</w:t>
                  </w:r>
                </w:p>
              </w:tc>
              <w:tc>
                <w:tcPr>
                  <w:tcW w:w="976" w:type="pct"/>
                  <w:vMerge w:val="continue"/>
                  <w:tcBorders>
                    <w:left w:val="single" w:color="auto" w:sz="2" w:space="0"/>
                  </w:tcBorders>
                  <w:shd w:val="clear" w:color="auto" w:fill="auto"/>
                  <w:vAlign w:val="center"/>
                </w:tcPr>
                <w:p w14:paraId="045BC947">
                  <w:pPr>
                    <w:adjustRightInd w:val="0"/>
                    <w:snapToGrid w:val="0"/>
                    <w:jc w:val="center"/>
                    <w:textAlignment w:val="center"/>
                    <w:rPr>
                      <w:color w:val="auto"/>
                      <w:szCs w:val="21"/>
                    </w:rPr>
                  </w:pPr>
                </w:p>
              </w:tc>
            </w:tr>
            <w:tr w14:paraId="6A4AA70C">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71940026">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462D">
                  <w:pPr>
                    <w:jc w:val="center"/>
                    <w:rPr>
                      <w:color w:val="auto"/>
                      <w:szCs w:val="21"/>
                    </w:rPr>
                  </w:pPr>
                  <w:r>
                    <w:rPr>
                      <w:color w:val="auto"/>
                      <w:szCs w:val="21"/>
                    </w:rPr>
                    <w:t>高沟中学</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709F">
                  <w:pPr>
                    <w:adjustRightInd w:val="0"/>
                    <w:snapToGrid w:val="0"/>
                    <w:jc w:val="center"/>
                    <w:rPr>
                      <w:bCs/>
                      <w:color w:val="auto"/>
                      <w:szCs w:val="21"/>
                    </w:rPr>
                  </w:pPr>
                  <w:r>
                    <w:rPr>
                      <w:bCs/>
                      <w:color w:val="auto"/>
                      <w:szCs w:val="21"/>
                    </w:rPr>
                    <w:t>702045.36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E6D97">
                  <w:pPr>
                    <w:adjustRightInd w:val="0"/>
                    <w:snapToGrid w:val="0"/>
                    <w:jc w:val="center"/>
                    <w:rPr>
                      <w:bCs/>
                      <w:color w:val="auto"/>
                      <w:szCs w:val="21"/>
                    </w:rPr>
                  </w:pPr>
                  <w:r>
                    <w:rPr>
                      <w:bCs/>
                      <w:color w:val="auto"/>
                      <w:szCs w:val="21"/>
                    </w:rPr>
                    <w:t>3767082.66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1C3">
                  <w:pPr>
                    <w:widowControl/>
                    <w:adjustRightInd w:val="0"/>
                    <w:snapToGrid w:val="0"/>
                    <w:jc w:val="center"/>
                    <w:textAlignment w:val="center"/>
                    <w:rPr>
                      <w:color w:val="auto"/>
                      <w:kern w:val="0"/>
                      <w:szCs w:val="21"/>
                    </w:rPr>
                  </w:pPr>
                  <w:r>
                    <w:rPr>
                      <w:color w:val="auto"/>
                      <w:kern w:val="0"/>
                      <w:szCs w:val="21"/>
                    </w:rPr>
                    <w:t>学校</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063F7">
                  <w:pPr>
                    <w:adjustRightInd w:val="0"/>
                    <w:snapToGrid w:val="0"/>
                    <w:jc w:val="center"/>
                    <w:rPr>
                      <w:bCs/>
                      <w:color w:val="auto"/>
                      <w:szCs w:val="21"/>
                    </w:rPr>
                  </w:pPr>
                  <w:r>
                    <w:rPr>
                      <w:bCs/>
                      <w:color w:val="auto"/>
                      <w:szCs w:val="21"/>
                    </w:rPr>
                    <w:t>750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6C119">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42D92FE">
                  <w:pPr>
                    <w:adjustRightInd w:val="0"/>
                    <w:snapToGrid w:val="0"/>
                    <w:jc w:val="center"/>
                    <w:rPr>
                      <w:color w:val="auto"/>
                      <w:szCs w:val="21"/>
                    </w:rPr>
                  </w:pPr>
                  <w:r>
                    <w:rPr>
                      <w:color w:val="auto"/>
                      <w:szCs w:val="21"/>
                    </w:rPr>
                    <w:t>640</w:t>
                  </w:r>
                </w:p>
              </w:tc>
              <w:tc>
                <w:tcPr>
                  <w:tcW w:w="976" w:type="pct"/>
                  <w:vMerge w:val="continue"/>
                  <w:tcBorders>
                    <w:left w:val="single" w:color="auto" w:sz="2" w:space="0"/>
                  </w:tcBorders>
                  <w:shd w:val="clear" w:color="auto" w:fill="auto"/>
                  <w:vAlign w:val="center"/>
                </w:tcPr>
                <w:p w14:paraId="5442E248">
                  <w:pPr>
                    <w:adjustRightInd w:val="0"/>
                    <w:snapToGrid w:val="0"/>
                    <w:jc w:val="center"/>
                    <w:textAlignment w:val="center"/>
                    <w:rPr>
                      <w:color w:val="auto"/>
                      <w:szCs w:val="21"/>
                    </w:rPr>
                  </w:pPr>
                </w:p>
              </w:tc>
            </w:tr>
            <w:tr w14:paraId="51F9BE4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C7E972F">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379D">
                  <w:pPr>
                    <w:jc w:val="center"/>
                    <w:rPr>
                      <w:color w:val="auto"/>
                      <w:szCs w:val="21"/>
                    </w:rPr>
                  </w:pPr>
                  <w:r>
                    <w:rPr>
                      <w:color w:val="auto"/>
                      <w:szCs w:val="21"/>
                    </w:rPr>
                    <w:t>镇西社区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E2E2">
                  <w:pPr>
                    <w:adjustRightInd w:val="0"/>
                    <w:snapToGrid w:val="0"/>
                    <w:jc w:val="center"/>
                    <w:rPr>
                      <w:bCs/>
                      <w:color w:val="auto"/>
                      <w:szCs w:val="21"/>
                    </w:rPr>
                  </w:pPr>
                  <w:r>
                    <w:rPr>
                      <w:bCs/>
                      <w:color w:val="auto"/>
                      <w:szCs w:val="21"/>
                    </w:rPr>
                    <w:t>702005.39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6CA0E">
                  <w:pPr>
                    <w:adjustRightInd w:val="0"/>
                    <w:snapToGrid w:val="0"/>
                    <w:jc w:val="center"/>
                    <w:rPr>
                      <w:bCs/>
                      <w:color w:val="auto"/>
                      <w:szCs w:val="21"/>
                    </w:rPr>
                  </w:pPr>
                  <w:r>
                    <w:rPr>
                      <w:bCs/>
                      <w:color w:val="auto"/>
                      <w:szCs w:val="21"/>
                    </w:rPr>
                    <w:t>3766912.15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07EA">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58BB6">
                  <w:pPr>
                    <w:adjustRightInd w:val="0"/>
                    <w:snapToGrid w:val="0"/>
                    <w:jc w:val="center"/>
                    <w:rPr>
                      <w:bCs/>
                      <w:color w:val="auto"/>
                      <w:szCs w:val="21"/>
                    </w:rPr>
                  </w:pPr>
                  <w:r>
                    <w:rPr>
                      <w:bCs/>
                      <w:color w:val="auto"/>
                      <w:szCs w:val="21"/>
                    </w:rPr>
                    <w:t>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02373">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6EE797F">
                  <w:pPr>
                    <w:adjustRightInd w:val="0"/>
                    <w:snapToGrid w:val="0"/>
                    <w:jc w:val="center"/>
                    <w:rPr>
                      <w:color w:val="auto"/>
                      <w:szCs w:val="21"/>
                    </w:rPr>
                  </w:pPr>
                  <w:r>
                    <w:rPr>
                      <w:color w:val="auto"/>
                      <w:szCs w:val="21"/>
                    </w:rPr>
                    <w:t>750</w:t>
                  </w:r>
                </w:p>
              </w:tc>
              <w:tc>
                <w:tcPr>
                  <w:tcW w:w="976" w:type="pct"/>
                  <w:vMerge w:val="continue"/>
                  <w:tcBorders>
                    <w:left w:val="single" w:color="auto" w:sz="2" w:space="0"/>
                  </w:tcBorders>
                  <w:shd w:val="clear" w:color="auto" w:fill="auto"/>
                  <w:vAlign w:val="center"/>
                </w:tcPr>
                <w:p w14:paraId="7C49586A">
                  <w:pPr>
                    <w:adjustRightInd w:val="0"/>
                    <w:snapToGrid w:val="0"/>
                    <w:jc w:val="center"/>
                    <w:textAlignment w:val="center"/>
                    <w:rPr>
                      <w:color w:val="auto"/>
                      <w:szCs w:val="21"/>
                    </w:rPr>
                  </w:pPr>
                </w:p>
              </w:tc>
            </w:tr>
            <w:tr w14:paraId="1B2F8508">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3FE279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29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C37B1">
                  <w:pPr>
                    <w:jc w:val="center"/>
                    <w:rPr>
                      <w:color w:val="auto"/>
                      <w:szCs w:val="21"/>
                    </w:rPr>
                  </w:pPr>
                  <w:r>
                    <w:rPr>
                      <w:color w:val="auto"/>
                      <w:szCs w:val="21"/>
                    </w:rPr>
                    <w:t>镇东新村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2FDE">
                  <w:pPr>
                    <w:adjustRightInd w:val="0"/>
                    <w:snapToGrid w:val="0"/>
                    <w:jc w:val="center"/>
                    <w:rPr>
                      <w:bCs/>
                      <w:color w:val="auto"/>
                      <w:szCs w:val="21"/>
                    </w:rPr>
                  </w:pPr>
                  <w:r>
                    <w:rPr>
                      <w:bCs/>
                      <w:color w:val="auto"/>
                      <w:szCs w:val="21"/>
                    </w:rPr>
                    <w:t>702169.23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2281B">
                  <w:pPr>
                    <w:adjustRightInd w:val="0"/>
                    <w:snapToGrid w:val="0"/>
                    <w:jc w:val="center"/>
                    <w:rPr>
                      <w:bCs/>
                      <w:color w:val="auto"/>
                      <w:szCs w:val="21"/>
                    </w:rPr>
                  </w:pPr>
                  <w:r>
                    <w:rPr>
                      <w:bCs/>
                      <w:color w:val="auto"/>
                      <w:szCs w:val="21"/>
                    </w:rPr>
                    <w:t>3766759.75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E44E">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C3467">
                  <w:pPr>
                    <w:adjustRightInd w:val="0"/>
                    <w:snapToGrid w:val="0"/>
                    <w:jc w:val="center"/>
                    <w:rPr>
                      <w:bCs/>
                      <w:color w:val="auto"/>
                      <w:szCs w:val="21"/>
                    </w:rPr>
                  </w:pPr>
                  <w:r>
                    <w:rPr>
                      <w:bCs/>
                      <w:color w:val="auto"/>
                      <w:szCs w:val="21"/>
                    </w:rPr>
                    <w:t>2000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68EFC">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E280D31">
                  <w:pPr>
                    <w:adjustRightInd w:val="0"/>
                    <w:snapToGrid w:val="0"/>
                    <w:jc w:val="center"/>
                    <w:rPr>
                      <w:color w:val="auto"/>
                      <w:szCs w:val="21"/>
                    </w:rPr>
                  </w:pPr>
                  <w:r>
                    <w:rPr>
                      <w:color w:val="auto"/>
                      <w:szCs w:val="21"/>
                    </w:rPr>
                    <w:t>920</w:t>
                  </w:r>
                </w:p>
              </w:tc>
              <w:tc>
                <w:tcPr>
                  <w:tcW w:w="976" w:type="pct"/>
                  <w:vMerge w:val="continue"/>
                  <w:tcBorders>
                    <w:left w:val="single" w:color="auto" w:sz="2" w:space="0"/>
                  </w:tcBorders>
                  <w:shd w:val="clear" w:color="auto" w:fill="auto"/>
                  <w:vAlign w:val="center"/>
                </w:tcPr>
                <w:p w14:paraId="0604CEFF">
                  <w:pPr>
                    <w:adjustRightInd w:val="0"/>
                    <w:snapToGrid w:val="0"/>
                    <w:jc w:val="center"/>
                    <w:textAlignment w:val="center"/>
                    <w:rPr>
                      <w:color w:val="auto"/>
                      <w:szCs w:val="21"/>
                    </w:rPr>
                  </w:pPr>
                </w:p>
              </w:tc>
            </w:tr>
            <w:tr w14:paraId="3E203B68">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3147E4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1CDB7">
                  <w:pPr>
                    <w:jc w:val="center"/>
                    <w:rPr>
                      <w:color w:val="auto"/>
                      <w:szCs w:val="21"/>
                    </w:rPr>
                  </w:pPr>
                  <w:r>
                    <w:rPr>
                      <w:color w:val="auto"/>
                      <w:szCs w:val="21"/>
                    </w:rPr>
                    <w:t>书香苑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2BF6">
                  <w:pPr>
                    <w:adjustRightInd w:val="0"/>
                    <w:snapToGrid w:val="0"/>
                    <w:jc w:val="center"/>
                    <w:rPr>
                      <w:bCs/>
                      <w:color w:val="auto"/>
                      <w:szCs w:val="21"/>
                    </w:rPr>
                  </w:pPr>
                  <w:r>
                    <w:rPr>
                      <w:bCs/>
                      <w:color w:val="auto"/>
                      <w:szCs w:val="21"/>
                    </w:rPr>
                    <w:t>702753.48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ADA4">
                  <w:pPr>
                    <w:adjustRightInd w:val="0"/>
                    <w:snapToGrid w:val="0"/>
                    <w:jc w:val="center"/>
                    <w:rPr>
                      <w:bCs/>
                      <w:color w:val="auto"/>
                      <w:szCs w:val="21"/>
                    </w:rPr>
                  </w:pPr>
                  <w:r>
                    <w:rPr>
                      <w:bCs/>
                      <w:color w:val="auto"/>
                      <w:szCs w:val="21"/>
                    </w:rPr>
                    <w:t>3766511.73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5A20D">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96311">
                  <w:pPr>
                    <w:adjustRightInd w:val="0"/>
                    <w:snapToGrid w:val="0"/>
                    <w:jc w:val="center"/>
                    <w:rPr>
                      <w:bCs/>
                      <w:color w:val="auto"/>
                      <w:szCs w:val="21"/>
                    </w:rPr>
                  </w:pPr>
                  <w:r>
                    <w:rPr>
                      <w:bCs/>
                      <w:color w:val="auto"/>
                      <w:szCs w:val="21"/>
                    </w:rPr>
                    <w:t>1300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92799">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A0AC011">
                  <w:pPr>
                    <w:adjustRightInd w:val="0"/>
                    <w:snapToGrid w:val="0"/>
                    <w:jc w:val="center"/>
                    <w:rPr>
                      <w:color w:val="auto"/>
                      <w:szCs w:val="21"/>
                    </w:rPr>
                  </w:pPr>
                  <w:r>
                    <w:rPr>
                      <w:color w:val="auto"/>
                      <w:szCs w:val="21"/>
                    </w:rPr>
                    <w:t>1500</w:t>
                  </w:r>
                </w:p>
              </w:tc>
              <w:tc>
                <w:tcPr>
                  <w:tcW w:w="976" w:type="pct"/>
                  <w:vMerge w:val="continue"/>
                  <w:tcBorders>
                    <w:left w:val="single" w:color="auto" w:sz="2" w:space="0"/>
                  </w:tcBorders>
                  <w:shd w:val="clear" w:color="auto" w:fill="auto"/>
                  <w:vAlign w:val="center"/>
                </w:tcPr>
                <w:p w14:paraId="3EF5A8BC">
                  <w:pPr>
                    <w:adjustRightInd w:val="0"/>
                    <w:snapToGrid w:val="0"/>
                    <w:jc w:val="center"/>
                    <w:textAlignment w:val="center"/>
                    <w:rPr>
                      <w:color w:val="auto"/>
                      <w:szCs w:val="21"/>
                    </w:rPr>
                  </w:pPr>
                </w:p>
              </w:tc>
            </w:tr>
            <w:tr w14:paraId="1DDF3E9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6882BB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8588A">
                  <w:pPr>
                    <w:jc w:val="center"/>
                    <w:rPr>
                      <w:color w:val="auto"/>
                      <w:szCs w:val="21"/>
                    </w:rPr>
                  </w:pPr>
                  <w:r>
                    <w:rPr>
                      <w:color w:val="auto"/>
                      <w:szCs w:val="21"/>
                    </w:rPr>
                    <w:t>清华缘</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903A">
                  <w:pPr>
                    <w:adjustRightInd w:val="0"/>
                    <w:snapToGrid w:val="0"/>
                    <w:jc w:val="center"/>
                    <w:rPr>
                      <w:bCs/>
                      <w:color w:val="auto"/>
                      <w:szCs w:val="21"/>
                    </w:rPr>
                  </w:pPr>
                  <w:r>
                    <w:rPr>
                      <w:bCs/>
                      <w:color w:val="auto"/>
                      <w:szCs w:val="21"/>
                    </w:rPr>
                    <w:t>702888.83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E11C">
                  <w:pPr>
                    <w:adjustRightInd w:val="0"/>
                    <w:snapToGrid w:val="0"/>
                    <w:jc w:val="center"/>
                    <w:rPr>
                      <w:bCs/>
                      <w:color w:val="auto"/>
                      <w:szCs w:val="21"/>
                    </w:rPr>
                  </w:pPr>
                  <w:r>
                    <w:rPr>
                      <w:bCs/>
                      <w:color w:val="auto"/>
                      <w:szCs w:val="21"/>
                    </w:rPr>
                    <w:t>3766856.18</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CF90B">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510D">
                  <w:pPr>
                    <w:adjustRightInd w:val="0"/>
                    <w:snapToGrid w:val="0"/>
                    <w:jc w:val="center"/>
                    <w:rPr>
                      <w:bCs/>
                      <w:color w:val="auto"/>
                      <w:szCs w:val="21"/>
                    </w:rPr>
                  </w:pPr>
                  <w:r>
                    <w:rPr>
                      <w:bCs/>
                      <w:color w:val="auto"/>
                      <w:szCs w:val="21"/>
                    </w:rPr>
                    <w:t>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8973A">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4708DAA">
                  <w:pPr>
                    <w:adjustRightInd w:val="0"/>
                    <w:snapToGrid w:val="0"/>
                    <w:jc w:val="center"/>
                    <w:rPr>
                      <w:color w:val="auto"/>
                      <w:szCs w:val="21"/>
                    </w:rPr>
                  </w:pPr>
                  <w:r>
                    <w:rPr>
                      <w:color w:val="auto"/>
                      <w:szCs w:val="21"/>
                    </w:rPr>
                    <w:t>1420</w:t>
                  </w:r>
                </w:p>
              </w:tc>
              <w:tc>
                <w:tcPr>
                  <w:tcW w:w="976" w:type="pct"/>
                  <w:vMerge w:val="continue"/>
                  <w:tcBorders>
                    <w:left w:val="single" w:color="auto" w:sz="2" w:space="0"/>
                  </w:tcBorders>
                  <w:shd w:val="clear" w:color="auto" w:fill="auto"/>
                  <w:vAlign w:val="center"/>
                </w:tcPr>
                <w:p w14:paraId="6E8A3FEC">
                  <w:pPr>
                    <w:adjustRightInd w:val="0"/>
                    <w:snapToGrid w:val="0"/>
                    <w:jc w:val="center"/>
                    <w:textAlignment w:val="center"/>
                    <w:rPr>
                      <w:color w:val="auto"/>
                      <w:szCs w:val="21"/>
                    </w:rPr>
                  </w:pPr>
                </w:p>
              </w:tc>
            </w:tr>
            <w:tr w14:paraId="0FCA3AA0">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F41E435">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EDFBD">
                  <w:pPr>
                    <w:jc w:val="center"/>
                    <w:rPr>
                      <w:color w:val="auto"/>
                      <w:szCs w:val="21"/>
                    </w:rPr>
                  </w:pPr>
                  <w:r>
                    <w:rPr>
                      <w:color w:val="auto"/>
                      <w:szCs w:val="21"/>
                    </w:rPr>
                    <w:t>租地</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0C779">
                  <w:pPr>
                    <w:adjustRightInd w:val="0"/>
                    <w:snapToGrid w:val="0"/>
                    <w:jc w:val="center"/>
                    <w:rPr>
                      <w:bCs/>
                      <w:color w:val="auto"/>
                      <w:szCs w:val="21"/>
                    </w:rPr>
                  </w:pPr>
                  <w:r>
                    <w:rPr>
                      <w:bCs/>
                      <w:color w:val="auto"/>
                      <w:szCs w:val="21"/>
                    </w:rPr>
                    <w:t>701466.68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83384">
                  <w:pPr>
                    <w:adjustRightInd w:val="0"/>
                    <w:snapToGrid w:val="0"/>
                    <w:jc w:val="center"/>
                    <w:rPr>
                      <w:bCs/>
                      <w:color w:val="auto"/>
                      <w:szCs w:val="21"/>
                    </w:rPr>
                  </w:pPr>
                  <w:r>
                    <w:rPr>
                      <w:bCs/>
                      <w:color w:val="auto"/>
                      <w:szCs w:val="21"/>
                    </w:rPr>
                    <w:t>3766703.36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D0A8F">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141D7">
                  <w:pPr>
                    <w:adjustRightInd w:val="0"/>
                    <w:snapToGrid w:val="0"/>
                    <w:jc w:val="center"/>
                    <w:rPr>
                      <w:bCs/>
                      <w:color w:val="auto"/>
                      <w:szCs w:val="21"/>
                    </w:rPr>
                  </w:pPr>
                  <w:r>
                    <w:rPr>
                      <w:bCs/>
                      <w:color w:val="auto"/>
                      <w:szCs w:val="21"/>
                    </w:rPr>
                    <w:t>80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803CC">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06B2C4A">
                  <w:pPr>
                    <w:adjustRightInd w:val="0"/>
                    <w:snapToGrid w:val="0"/>
                    <w:jc w:val="center"/>
                    <w:rPr>
                      <w:color w:val="auto"/>
                      <w:szCs w:val="21"/>
                    </w:rPr>
                  </w:pPr>
                  <w:r>
                    <w:rPr>
                      <w:color w:val="auto"/>
                      <w:szCs w:val="21"/>
                    </w:rPr>
                    <w:t>1800</w:t>
                  </w:r>
                </w:p>
              </w:tc>
              <w:tc>
                <w:tcPr>
                  <w:tcW w:w="976" w:type="pct"/>
                  <w:vMerge w:val="continue"/>
                  <w:tcBorders>
                    <w:left w:val="single" w:color="auto" w:sz="2" w:space="0"/>
                  </w:tcBorders>
                  <w:shd w:val="clear" w:color="auto" w:fill="auto"/>
                  <w:vAlign w:val="center"/>
                </w:tcPr>
                <w:p w14:paraId="1C449569">
                  <w:pPr>
                    <w:adjustRightInd w:val="0"/>
                    <w:snapToGrid w:val="0"/>
                    <w:jc w:val="center"/>
                    <w:textAlignment w:val="center"/>
                    <w:rPr>
                      <w:color w:val="auto"/>
                      <w:szCs w:val="21"/>
                    </w:rPr>
                  </w:pPr>
                </w:p>
              </w:tc>
            </w:tr>
            <w:tr w14:paraId="69A6A68C">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234A96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B929">
                  <w:pPr>
                    <w:jc w:val="center"/>
                    <w:rPr>
                      <w:color w:val="auto"/>
                      <w:szCs w:val="21"/>
                    </w:rPr>
                  </w:pPr>
                  <w:r>
                    <w:rPr>
                      <w:color w:val="auto"/>
                      <w:szCs w:val="21"/>
                    </w:rPr>
                    <w:t>中桥国际</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EA36D">
                  <w:pPr>
                    <w:adjustRightInd w:val="0"/>
                    <w:snapToGrid w:val="0"/>
                    <w:jc w:val="center"/>
                    <w:rPr>
                      <w:bCs/>
                      <w:color w:val="auto"/>
                      <w:szCs w:val="21"/>
                    </w:rPr>
                  </w:pPr>
                  <w:r>
                    <w:rPr>
                      <w:bCs/>
                      <w:color w:val="auto"/>
                      <w:szCs w:val="21"/>
                    </w:rPr>
                    <w:t>703220.64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10F5">
                  <w:pPr>
                    <w:adjustRightInd w:val="0"/>
                    <w:snapToGrid w:val="0"/>
                    <w:jc w:val="center"/>
                    <w:rPr>
                      <w:bCs/>
                      <w:color w:val="auto"/>
                      <w:szCs w:val="21"/>
                    </w:rPr>
                  </w:pPr>
                  <w:r>
                    <w:rPr>
                      <w:bCs/>
                      <w:color w:val="auto"/>
                      <w:szCs w:val="21"/>
                    </w:rPr>
                    <w:t>3767005.33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710CA">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CE1F">
                  <w:pPr>
                    <w:adjustRightInd w:val="0"/>
                    <w:snapToGrid w:val="0"/>
                    <w:jc w:val="center"/>
                    <w:rPr>
                      <w:bCs/>
                      <w:color w:val="auto"/>
                      <w:szCs w:val="21"/>
                    </w:rPr>
                  </w:pPr>
                  <w:r>
                    <w:rPr>
                      <w:bCs/>
                      <w:color w:val="auto"/>
                      <w:szCs w:val="21"/>
                    </w:rPr>
                    <w:t>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9C6A4">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F5306EA">
                  <w:pPr>
                    <w:adjustRightInd w:val="0"/>
                    <w:snapToGrid w:val="0"/>
                    <w:jc w:val="center"/>
                    <w:rPr>
                      <w:color w:val="auto"/>
                      <w:szCs w:val="21"/>
                    </w:rPr>
                  </w:pPr>
                  <w:r>
                    <w:rPr>
                      <w:color w:val="auto"/>
                      <w:szCs w:val="21"/>
                    </w:rPr>
                    <w:t>750</w:t>
                  </w:r>
                </w:p>
              </w:tc>
              <w:tc>
                <w:tcPr>
                  <w:tcW w:w="976" w:type="pct"/>
                  <w:vMerge w:val="continue"/>
                  <w:tcBorders>
                    <w:left w:val="single" w:color="auto" w:sz="2" w:space="0"/>
                  </w:tcBorders>
                  <w:shd w:val="clear" w:color="auto" w:fill="auto"/>
                  <w:vAlign w:val="center"/>
                </w:tcPr>
                <w:p w14:paraId="69D6E748">
                  <w:pPr>
                    <w:adjustRightInd w:val="0"/>
                    <w:snapToGrid w:val="0"/>
                    <w:jc w:val="center"/>
                    <w:textAlignment w:val="center"/>
                    <w:rPr>
                      <w:color w:val="auto"/>
                      <w:szCs w:val="21"/>
                    </w:rPr>
                  </w:pPr>
                </w:p>
              </w:tc>
            </w:tr>
            <w:tr w14:paraId="002902C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7681095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4818">
                  <w:pPr>
                    <w:jc w:val="center"/>
                    <w:rPr>
                      <w:color w:val="auto"/>
                      <w:szCs w:val="21"/>
                    </w:rPr>
                  </w:pPr>
                  <w:r>
                    <w:rPr>
                      <w:color w:val="auto"/>
                      <w:szCs w:val="21"/>
                    </w:rPr>
                    <w:t>镇西</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5DBC">
                  <w:pPr>
                    <w:adjustRightInd w:val="0"/>
                    <w:snapToGrid w:val="0"/>
                    <w:jc w:val="center"/>
                    <w:rPr>
                      <w:bCs/>
                      <w:color w:val="auto"/>
                      <w:szCs w:val="21"/>
                    </w:rPr>
                  </w:pPr>
                  <w:r>
                    <w:rPr>
                      <w:bCs/>
                      <w:color w:val="auto"/>
                      <w:szCs w:val="21"/>
                    </w:rPr>
                    <w:t>701818.24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078D3">
                  <w:pPr>
                    <w:adjustRightInd w:val="0"/>
                    <w:snapToGrid w:val="0"/>
                    <w:jc w:val="center"/>
                    <w:rPr>
                      <w:bCs/>
                      <w:color w:val="auto"/>
                      <w:szCs w:val="21"/>
                    </w:rPr>
                  </w:pPr>
                  <w:r>
                    <w:rPr>
                      <w:bCs/>
                      <w:color w:val="auto"/>
                      <w:szCs w:val="21"/>
                    </w:rPr>
                    <w:t>3766811.50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C3373">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70ECA">
                  <w:pPr>
                    <w:adjustRightInd w:val="0"/>
                    <w:snapToGrid w:val="0"/>
                    <w:jc w:val="center"/>
                    <w:rPr>
                      <w:bCs/>
                      <w:color w:val="auto"/>
                      <w:szCs w:val="21"/>
                    </w:rPr>
                  </w:pPr>
                  <w:r>
                    <w:rPr>
                      <w:bCs/>
                      <w:color w:val="auto"/>
                      <w:szCs w:val="21"/>
                    </w:rPr>
                    <w:t>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30797">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F689E43">
                  <w:pPr>
                    <w:adjustRightInd w:val="0"/>
                    <w:snapToGrid w:val="0"/>
                    <w:jc w:val="center"/>
                    <w:rPr>
                      <w:color w:val="auto"/>
                      <w:szCs w:val="21"/>
                    </w:rPr>
                  </w:pPr>
                  <w:r>
                    <w:rPr>
                      <w:color w:val="auto"/>
                      <w:szCs w:val="21"/>
                    </w:rPr>
                    <w:t>790</w:t>
                  </w:r>
                </w:p>
              </w:tc>
              <w:tc>
                <w:tcPr>
                  <w:tcW w:w="976" w:type="pct"/>
                  <w:vMerge w:val="continue"/>
                  <w:tcBorders>
                    <w:left w:val="single" w:color="auto" w:sz="2" w:space="0"/>
                  </w:tcBorders>
                  <w:shd w:val="clear" w:color="auto" w:fill="auto"/>
                  <w:vAlign w:val="center"/>
                </w:tcPr>
                <w:p w14:paraId="02BD5EC4">
                  <w:pPr>
                    <w:adjustRightInd w:val="0"/>
                    <w:snapToGrid w:val="0"/>
                    <w:jc w:val="center"/>
                    <w:textAlignment w:val="center"/>
                    <w:rPr>
                      <w:color w:val="auto"/>
                      <w:szCs w:val="21"/>
                    </w:rPr>
                  </w:pPr>
                </w:p>
              </w:tc>
            </w:tr>
            <w:tr w14:paraId="7D46DB6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063F1F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D947B">
                  <w:pPr>
                    <w:jc w:val="center"/>
                    <w:rPr>
                      <w:color w:val="auto"/>
                      <w:szCs w:val="21"/>
                    </w:rPr>
                  </w:pPr>
                  <w:r>
                    <w:rPr>
                      <w:color w:val="auto"/>
                      <w:szCs w:val="21"/>
                    </w:rPr>
                    <w:t>张庄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FA930">
                  <w:pPr>
                    <w:adjustRightInd w:val="0"/>
                    <w:snapToGrid w:val="0"/>
                    <w:jc w:val="center"/>
                    <w:rPr>
                      <w:bCs/>
                      <w:color w:val="auto"/>
                      <w:szCs w:val="21"/>
                    </w:rPr>
                  </w:pPr>
                  <w:r>
                    <w:rPr>
                      <w:bCs/>
                      <w:color w:val="auto"/>
                      <w:szCs w:val="21"/>
                    </w:rPr>
                    <w:t>701650.42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ADB9">
                  <w:pPr>
                    <w:adjustRightInd w:val="0"/>
                    <w:snapToGrid w:val="0"/>
                    <w:jc w:val="center"/>
                    <w:rPr>
                      <w:bCs/>
                      <w:color w:val="auto"/>
                      <w:szCs w:val="21"/>
                    </w:rPr>
                  </w:pPr>
                  <w:r>
                    <w:rPr>
                      <w:bCs/>
                      <w:color w:val="auto"/>
                      <w:szCs w:val="21"/>
                    </w:rPr>
                    <w:t>3766687.53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2B302">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5FE2">
                  <w:pPr>
                    <w:adjustRightInd w:val="0"/>
                    <w:snapToGrid w:val="0"/>
                    <w:jc w:val="center"/>
                    <w:rPr>
                      <w:bCs/>
                      <w:color w:val="auto"/>
                      <w:szCs w:val="21"/>
                    </w:rPr>
                  </w:pPr>
                  <w:r>
                    <w:rPr>
                      <w:bCs/>
                      <w:color w:val="auto"/>
                      <w:szCs w:val="21"/>
                    </w:rPr>
                    <w:t>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A68B">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66D6C95E">
                  <w:pPr>
                    <w:adjustRightInd w:val="0"/>
                    <w:snapToGrid w:val="0"/>
                    <w:jc w:val="center"/>
                    <w:rPr>
                      <w:color w:val="auto"/>
                      <w:szCs w:val="21"/>
                    </w:rPr>
                  </w:pPr>
                  <w:r>
                    <w:rPr>
                      <w:color w:val="auto"/>
                      <w:szCs w:val="21"/>
                    </w:rPr>
                    <w:t>890</w:t>
                  </w:r>
                </w:p>
              </w:tc>
              <w:tc>
                <w:tcPr>
                  <w:tcW w:w="976" w:type="pct"/>
                  <w:vMerge w:val="continue"/>
                  <w:tcBorders>
                    <w:left w:val="single" w:color="auto" w:sz="2" w:space="0"/>
                  </w:tcBorders>
                  <w:shd w:val="clear" w:color="auto" w:fill="auto"/>
                  <w:vAlign w:val="center"/>
                </w:tcPr>
                <w:p w14:paraId="580ED5DB">
                  <w:pPr>
                    <w:adjustRightInd w:val="0"/>
                    <w:snapToGrid w:val="0"/>
                    <w:jc w:val="center"/>
                    <w:textAlignment w:val="center"/>
                    <w:rPr>
                      <w:color w:val="auto"/>
                      <w:szCs w:val="21"/>
                    </w:rPr>
                  </w:pPr>
                </w:p>
              </w:tc>
            </w:tr>
            <w:tr w14:paraId="396CDC3C">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33F90F3">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36</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63B1">
                  <w:pPr>
                    <w:jc w:val="center"/>
                    <w:rPr>
                      <w:color w:val="auto"/>
                      <w:szCs w:val="21"/>
                    </w:rPr>
                  </w:pPr>
                  <w:r>
                    <w:rPr>
                      <w:color w:val="auto"/>
                      <w:szCs w:val="21"/>
                    </w:rPr>
                    <w:t>高南村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710B0">
                  <w:pPr>
                    <w:adjustRightInd w:val="0"/>
                    <w:snapToGrid w:val="0"/>
                    <w:jc w:val="center"/>
                    <w:rPr>
                      <w:bCs/>
                      <w:color w:val="auto"/>
                      <w:szCs w:val="21"/>
                    </w:rPr>
                  </w:pPr>
                  <w:r>
                    <w:rPr>
                      <w:color w:val="auto"/>
                    </w:rPr>
                    <w:t>701460.77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EAF4">
                  <w:pPr>
                    <w:adjustRightInd w:val="0"/>
                    <w:snapToGrid w:val="0"/>
                    <w:jc w:val="center"/>
                    <w:rPr>
                      <w:bCs/>
                      <w:color w:val="auto"/>
                      <w:szCs w:val="21"/>
                    </w:rPr>
                  </w:pPr>
                  <w:r>
                    <w:rPr>
                      <w:bCs/>
                      <w:color w:val="auto"/>
                      <w:szCs w:val="21"/>
                    </w:rPr>
                    <w:t>3766703.24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3DA5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0561">
                  <w:pPr>
                    <w:adjustRightInd w:val="0"/>
                    <w:snapToGrid w:val="0"/>
                    <w:jc w:val="center"/>
                    <w:rPr>
                      <w:bCs/>
                      <w:color w:val="auto"/>
                      <w:szCs w:val="21"/>
                    </w:rPr>
                  </w:pPr>
                  <w:r>
                    <w:rPr>
                      <w:bCs/>
                      <w:color w:val="auto"/>
                      <w:szCs w:val="21"/>
                    </w:rPr>
                    <w:t>700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CB87">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D928271">
                  <w:pPr>
                    <w:adjustRightInd w:val="0"/>
                    <w:snapToGrid w:val="0"/>
                    <w:jc w:val="center"/>
                    <w:rPr>
                      <w:color w:val="auto"/>
                      <w:szCs w:val="21"/>
                    </w:rPr>
                  </w:pPr>
                  <w:r>
                    <w:rPr>
                      <w:color w:val="auto"/>
                      <w:szCs w:val="21"/>
                    </w:rPr>
                    <w:t>1200</w:t>
                  </w:r>
                </w:p>
              </w:tc>
              <w:tc>
                <w:tcPr>
                  <w:tcW w:w="976" w:type="pct"/>
                  <w:vMerge w:val="continue"/>
                  <w:tcBorders>
                    <w:left w:val="single" w:color="auto" w:sz="2" w:space="0"/>
                  </w:tcBorders>
                  <w:shd w:val="clear" w:color="auto" w:fill="auto"/>
                  <w:vAlign w:val="center"/>
                </w:tcPr>
                <w:p w14:paraId="0D6A0DD1">
                  <w:pPr>
                    <w:adjustRightInd w:val="0"/>
                    <w:snapToGrid w:val="0"/>
                    <w:jc w:val="center"/>
                    <w:textAlignment w:val="center"/>
                    <w:rPr>
                      <w:color w:val="auto"/>
                      <w:szCs w:val="21"/>
                    </w:rPr>
                  </w:pPr>
                </w:p>
              </w:tc>
            </w:tr>
            <w:tr w14:paraId="4799D162">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32C3164">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62D61">
                  <w:pPr>
                    <w:jc w:val="center"/>
                    <w:rPr>
                      <w:color w:val="auto"/>
                      <w:szCs w:val="21"/>
                    </w:rPr>
                  </w:pPr>
                  <w:r>
                    <w:rPr>
                      <w:color w:val="auto"/>
                      <w:szCs w:val="21"/>
                    </w:rPr>
                    <w:t>涟水三院</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54178">
                  <w:pPr>
                    <w:adjustRightInd w:val="0"/>
                    <w:snapToGrid w:val="0"/>
                    <w:jc w:val="center"/>
                    <w:rPr>
                      <w:bCs/>
                      <w:color w:val="auto"/>
                      <w:szCs w:val="21"/>
                    </w:rPr>
                  </w:pPr>
                  <w:r>
                    <w:rPr>
                      <w:bCs/>
                      <w:color w:val="auto"/>
                      <w:szCs w:val="21"/>
                    </w:rPr>
                    <w:t>701489.09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1EC2F">
                  <w:pPr>
                    <w:adjustRightInd w:val="0"/>
                    <w:snapToGrid w:val="0"/>
                    <w:jc w:val="center"/>
                    <w:rPr>
                      <w:bCs/>
                      <w:color w:val="auto"/>
                      <w:szCs w:val="21"/>
                    </w:rPr>
                  </w:pPr>
                  <w:r>
                    <w:rPr>
                      <w:bCs/>
                      <w:color w:val="auto"/>
                      <w:szCs w:val="21"/>
                    </w:rPr>
                    <w:t>3766397.93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0CA56">
                  <w:pPr>
                    <w:widowControl/>
                    <w:adjustRightInd w:val="0"/>
                    <w:snapToGrid w:val="0"/>
                    <w:jc w:val="center"/>
                    <w:textAlignment w:val="center"/>
                    <w:rPr>
                      <w:color w:val="auto"/>
                      <w:kern w:val="0"/>
                      <w:szCs w:val="21"/>
                    </w:rPr>
                  </w:pPr>
                  <w:r>
                    <w:rPr>
                      <w:color w:val="auto"/>
                      <w:kern w:val="0"/>
                      <w:szCs w:val="21"/>
                    </w:rPr>
                    <w:t>医院</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760F">
                  <w:pPr>
                    <w:adjustRightInd w:val="0"/>
                    <w:snapToGrid w:val="0"/>
                    <w:jc w:val="center"/>
                    <w:rPr>
                      <w:bCs/>
                      <w:color w:val="auto"/>
                      <w:szCs w:val="21"/>
                    </w:rPr>
                  </w:pPr>
                  <w:r>
                    <w:rPr>
                      <w:bCs/>
                      <w:color w:val="auto"/>
                      <w:szCs w:val="21"/>
                    </w:rPr>
                    <w:t>300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87F54">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045D5320">
                  <w:pPr>
                    <w:adjustRightInd w:val="0"/>
                    <w:snapToGrid w:val="0"/>
                    <w:jc w:val="center"/>
                    <w:rPr>
                      <w:color w:val="auto"/>
                      <w:szCs w:val="21"/>
                    </w:rPr>
                  </w:pPr>
                  <w:r>
                    <w:rPr>
                      <w:color w:val="auto"/>
                      <w:szCs w:val="21"/>
                    </w:rPr>
                    <w:t>1300</w:t>
                  </w:r>
                </w:p>
              </w:tc>
              <w:tc>
                <w:tcPr>
                  <w:tcW w:w="976" w:type="pct"/>
                  <w:vMerge w:val="continue"/>
                  <w:tcBorders>
                    <w:left w:val="single" w:color="auto" w:sz="2" w:space="0"/>
                  </w:tcBorders>
                  <w:shd w:val="clear" w:color="auto" w:fill="auto"/>
                  <w:vAlign w:val="center"/>
                </w:tcPr>
                <w:p w14:paraId="28563B8D">
                  <w:pPr>
                    <w:adjustRightInd w:val="0"/>
                    <w:snapToGrid w:val="0"/>
                    <w:jc w:val="center"/>
                    <w:textAlignment w:val="center"/>
                    <w:rPr>
                      <w:color w:val="auto"/>
                      <w:szCs w:val="21"/>
                    </w:rPr>
                  </w:pPr>
                </w:p>
              </w:tc>
            </w:tr>
            <w:tr w14:paraId="59AFD2D0">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4AA8470">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C58C7">
                  <w:pPr>
                    <w:jc w:val="center"/>
                    <w:rPr>
                      <w:color w:val="auto"/>
                      <w:szCs w:val="21"/>
                    </w:rPr>
                  </w:pPr>
                  <w:r>
                    <w:rPr>
                      <w:color w:val="auto"/>
                      <w:szCs w:val="21"/>
                    </w:rPr>
                    <w:t>袁庄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C3AAD">
                  <w:pPr>
                    <w:adjustRightInd w:val="0"/>
                    <w:snapToGrid w:val="0"/>
                    <w:jc w:val="center"/>
                    <w:rPr>
                      <w:bCs/>
                      <w:color w:val="auto"/>
                      <w:szCs w:val="21"/>
                    </w:rPr>
                  </w:pPr>
                  <w:r>
                    <w:rPr>
                      <w:bCs/>
                      <w:color w:val="auto"/>
                      <w:szCs w:val="21"/>
                    </w:rPr>
                    <w:t>701684.31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DF33">
                  <w:pPr>
                    <w:adjustRightInd w:val="0"/>
                    <w:snapToGrid w:val="0"/>
                    <w:jc w:val="center"/>
                    <w:rPr>
                      <w:bCs/>
                      <w:color w:val="auto"/>
                      <w:szCs w:val="21"/>
                    </w:rPr>
                  </w:pPr>
                  <w:r>
                    <w:rPr>
                      <w:bCs/>
                      <w:color w:val="auto"/>
                      <w:szCs w:val="21"/>
                    </w:rPr>
                    <w:t>3766259.95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FE72">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DA3B5">
                  <w:pPr>
                    <w:adjustRightInd w:val="0"/>
                    <w:snapToGrid w:val="0"/>
                    <w:jc w:val="center"/>
                    <w:rPr>
                      <w:bCs/>
                      <w:color w:val="auto"/>
                      <w:szCs w:val="21"/>
                    </w:rPr>
                  </w:pPr>
                  <w:r>
                    <w:rPr>
                      <w:bCs/>
                      <w:color w:val="auto"/>
                      <w:szCs w:val="21"/>
                    </w:rPr>
                    <w:t>600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6CA0">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DEB7C81">
                  <w:pPr>
                    <w:adjustRightInd w:val="0"/>
                    <w:snapToGrid w:val="0"/>
                    <w:jc w:val="center"/>
                    <w:rPr>
                      <w:color w:val="auto"/>
                      <w:szCs w:val="21"/>
                    </w:rPr>
                  </w:pPr>
                  <w:r>
                    <w:rPr>
                      <w:color w:val="auto"/>
                      <w:szCs w:val="21"/>
                    </w:rPr>
                    <w:t>1450</w:t>
                  </w:r>
                </w:p>
              </w:tc>
              <w:tc>
                <w:tcPr>
                  <w:tcW w:w="976" w:type="pct"/>
                  <w:vMerge w:val="continue"/>
                  <w:tcBorders>
                    <w:left w:val="single" w:color="auto" w:sz="2" w:space="0"/>
                  </w:tcBorders>
                  <w:shd w:val="clear" w:color="auto" w:fill="auto"/>
                  <w:vAlign w:val="center"/>
                </w:tcPr>
                <w:p w14:paraId="1A832724">
                  <w:pPr>
                    <w:adjustRightInd w:val="0"/>
                    <w:snapToGrid w:val="0"/>
                    <w:jc w:val="center"/>
                    <w:textAlignment w:val="center"/>
                    <w:rPr>
                      <w:color w:val="auto"/>
                      <w:szCs w:val="21"/>
                    </w:rPr>
                  </w:pPr>
                </w:p>
              </w:tc>
            </w:tr>
            <w:tr w14:paraId="1E1369D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FAC10E9">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39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E74B4">
                  <w:pPr>
                    <w:jc w:val="center"/>
                    <w:rPr>
                      <w:color w:val="auto"/>
                      <w:szCs w:val="21"/>
                    </w:rPr>
                  </w:pPr>
                  <w:r>
                    <w:rPr>
                      <w:color w:val="auto"/>
                      <w:szCs w:val="21"/>
                    </w:rPr>
                    <w:t>富贵佳苑</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4AA36">
                  <w:pPr>
                    <w:adjustRightInd w:val="0"/>
                    <w:snapToGrid w:val="0"/>
                    <w:jc w:val="center"/>
                    <w:rPr>
                      <w:bCs/>
                      <w:color w:val="auto"/>
                      <w:szCs w:val="21"/>
                    </w:rPr>
                  </w:pPr>
                  <w:r>
                    <w:rPr>
                      <w:bCs/>
                      <w:color w:val="auto"/>
                      <w:szCs w:val="21"/>
                    </w:rPr>
                    <w:t>701535.06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92BC">
                  <w:pPr>
                    <w:adjustRightInd w:val="0"/>
                    <w:snapToGrid w:val="0"/>
                    <w:jc w:val="center"/>
                    <w:rPr>
                      <w:bCs/>
                      <w:color w:val="auto"/>
                      <w:szCs w:val="21"/>
                    </w:rPr>
                  </w:pPr>
                  <w:r>
                    <w:rPr>
                      <w:bCs/>
                      <w:color w:val="auto"/>
                      <w:szCs w:val="21"/>
                    </w:rPr>
                    <w:t>3766100.87</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0949">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70BC">
                  <w:pPr>
                    <w:adjustRightInd w:val="0"/>
                    <w:snapToGrid w:val="0"/>
                    <w:jc w:val="center"/>
                    <w:rPr>
                      <w:bCs/>
                      <w:color w:val="auto"/>
                      <w:szCs w:val="21"/>
                    </w:rPr>
                  </w:pPr>
                  <w:r>
                    <w:rPr>
                      <w:bCs/>
                      <w:color w:val="auto"/>
                      <w:szCs w:val="21"/>
                    </w:rPr>
                    <w:t>2000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B4670">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455A5D3">
                  <w:pPr>
                    <w:adjustRightInd w:val="0"/>
                    <w:snapToGrid w:val="0"/>
                    <w:jc w:val="center"/>
                    <w:rPr>
                      <w:color w:val="auto"/>
                      <w:szCs w:val="21"/>
                    </w:rPr>
                  </w:pPr>
                  <w:r>
                    <w:rPr>
                      <w:color w:val="auto"/>
                      <w:szCs w:val="21"/>
                    </w:rPr>
                    <w:t>1750</w:t>
                  </w:r>
                </w:p>
              </w:tc>
              <w:tc>
                <w:tcPr>
                  <w:tcW w:w="976" w:type="pct"/>
                  <w:vMerge w:val="continue"/>
                  <w:tcBorders>
                    <w:left w:val="single" w:color="auto" w:sz="2" w:space="0"/>
                  </w:tcBorders>
                  <w:shd w:val="clear" w:color="auto" w:fill="auto"/>
                  <w:vAlign w:val="center"/>
                </w:tcPr>
                <w:p w14:paraId="30C1E64F">
                  <w:pPr>
                    <w:adjustRightInd w:val="0"/>
                    <w:snapToGrid w:val="0"/>
                    <w:jc w:val="center"/>
                    <w:textAlignment w:val="center"/>
                    <w:rPr>
                      <w:color w:val="auto"/>
                      <w:szCs w:val="21"/>
                    </w:rPr>
                  </w:pPr>
                </w:p>
              </w:tc>
            </w:tr>
            <w:tr w14:paraId="1B41BC2F">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3E4D8716">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F106C">
                  <w:pPr>
                    <w:jc w:val="center"/>
                    <w:rPr>
                      <w:color w:val="auto"/>
                      <w:szCs w:val="21"/>
                    </w:rPr>
                  </w:pPr>
                  <w:r>
                    <w:rPr>
                      <w:color w:val="auto"/>
                      <w:szCs w:val="21"/>
                    </w:rPr>
                    <w:t>今世缘小区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E8596">
                  <w:pPr>
                    <w:adjustRightInd w:val="0"/>
                    <w:snapToGrid w:val="0"/>
                    <w:jc w:val="center"/>
                    <w:rPr>
                      <w:bCs/>
                      <w:color w:val="auto"/>
                      <w:szCs w:val="21"/>
                    </w:rPr>
                  </w:pPr>
                  <w:r>
                    <w:rPr>
                      <w:bCs/>
                      <w:color w:val="auto"/>
                      <w:szCs w:val="21"/>
                    </w:rPr>
                    <w:t>701501.42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F735">
                  <w:pPr>
                    <w:adjustRightInd w:val="0"/>
                    <w:snapToGrid w:val="0"/>
                    <w:jc w:val="center"/>
                    <w:rPr>
                      <w:bCs/>
                      <w:color w:val="auto"/>
                      <w:szCs w:val="21"/>
                    </w:rPr>
                  </w:pPr>
                  <w:r>
                    <w:rPr>
                      <w:bCs/>
                      <w:color w:val="auto"/>
                      <w:szCs w:val="21"/>
                    </w:rPr>
                    <w:t>3765537.70</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10B1">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1757">
                  <w:pPr>
                    <w:adjustRightInd w:val="0"/>
                    <w:snapToGrid w:val="0"/>
                    <w:jc w:val="center"/>
                    <w:rPr>
                      <w:bCs/>
                      <w:color w:val="auto"/>
                      <w:szCs w:val="21"/>
                    </w:rPr>
                  </w:pPr>
                  <w:r>
                    <w:rPr>
                      <w:bCs/>
                      <w:color w:val="auto"/>
                      <w:szCs w:val="21"/>
                    </w:rPr>
                    <w:t>2600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DD29">
                  <w:pPr>
                    <w:adjustRightInd w:val="0"/>
                    <w:snapToGrid w:val="0"/>
                    <w:jc w:val="center"/>
                    <w:rPr>
                      <w:bCs/>
                      <w:color w:val="auto"/>
                      <w:szCs w:val="21"/>
                    </w:rPr>
                  </w:pPr>
                  <w:r>
                    <w:rPr>
                      <w:bCs/>
                      <w:color w:val="auto"/>
                      <w:szCs w:val="21"/>
                    </w:rPr>
                    <w:t>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18367CD">
                  <w:pPr>
                    <w:adjustRightInd w:val="0"/>
                    <w:snapToGrid w:val="0"/>
                    <w:jc w:val="center"/>
                    <w:rPr>
                      <w:color w:val="auto"/>
                      <w:szCs w:val="21"/>
                    </w:rPr>
                  </w:pPr>
                  <w:r>
                    <w:rPr>
                      <w:color w:val="auto"/>
                      <w:szCs w:val="21"/>
                    </w:rPr>
                    <w:t>2100</w:t>
                  </w:r>
                </w:p>
              </w:tc>
              <w:tc>
                <w:tcPr>
                  <w:tcW w:w="976" w:type="pct"/>
                  <w:vMerge w:val="continue"/>
                  <w:tcBorders>
                    <w:left w:val="single" w:color="auto" w:sz="2" w:space="0"/>
                  </w:tcBorders>
                  <w:shd w:val="clear" w:color="auto" w:fill="auto"/>
                  <w:vAlign w:val="center"/>
                </w:tcPr>
                <w:p w14:paraId="2DB2902D">
                  <w:pPr>
                    <w:adjustRightInd w:val="0"/>
                    <w:snapToGrid w:val="0"/>
                    <w:jc w:val="center"/>
                    <w:textAlignment w:val="center"/>
                    <w:rPr>
                      <w:color w:val="auto"/>
                      <w:szCs w:val="21"/>
                    </w:rPr>
                  </w:pPr>
                </w:p>
              </w:tc>
            </w:tr>
            <w:tr w14:paraId="245B441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E231D69">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BA565">
                  <w:pPr>
                    <w:jc w:val="center"/>
                    <w:rPr>
                      <w:color w:val="auto"/>
                      <w:szCs w:val="21"/>
                    </w:rPr>
                  </w:pPr>
                  <w:r>
                    <w:rPr>
                      <w:color w:val="auto"/>
                      <w:szCs w:val="21"/>
                    </w:rPr>
                    <w:t>合兴</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B7D22">
                  <w:pPr>
                    <w:adjustRightInd w:val="0"/>
                    <w:snapToGrid w:val="0"/>
                    <w:jc w:val="center"/>
                    <w:rPr>
                      <w:bCs/>
                      <w:color w:val="auto"/>
                      <w:szCs w:val="21"/>
                    </w:rPr>
                  </w:pPr>
                  <w:r>
                    <w:rPr>
                      <w:bCs/>
                      <w:color w:val="auto"/>
                      <w:szCs w:val="21"/>
                    </w:rPr>
                    <w:t>701361.53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0D4C">
                  <w:pPr>
                    <w:adjustRightInd w:val="0"/>
                    <w:snapToGrid w:val="0"/>
                    <w:jc w:val="center"/>
                    <w:rPr>
                      <w:bCs/>
                      <w:color w:val="auto"/>
                      <w:szCs w:val="21"/>
                    </w:rPr>
                  </w:pPr>
                  <w:r>
                    <w:rPr>
                      <w:bCs/>
                      <w:color w:val="auto"/>
                      <w:szCs w:val="21"/>
                    </w:rPr>
                    <w:t>3766057.78</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2EB7">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8900">
                  <w:pPr>
                    <w:adjustRightInd w:val="0"/>
                    <w:snapToGrid w:val="0"/>
                    <w:jc w:val="center"/>
                    <w:rPr>
                      <w:bCs/>
                      <w:color w:val="auto"/>
                      <w:szCs w:val="21"/>
                    </w:rPr>
                  </w:pPr>
                  <w:r>
                    <w:rPr>
                      <w:bCs/>
                      <w:color w:val="auto"/>
                      <w:szCs w:val="21"/>
                    </w:rPr>
                    <w:t>400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47BD">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A391B55">
                  <w:pPr>
                    <w:adjustRightInd w:val="0"/>
                    <w:snapToGrid w:val="0"/>
                    <w:jc w:val="center"/>
                    <w:rPr>
                      <w:color w:val="auto"/>
                      <w:szCs w:val="21"/>
                    </w:rPr>
                  </w:pPr>
                  <w:r>
                    <w:rPr>
                      <w:color w:val="auto"/>
                      <w:szCs w:val="21"/>
                    </w:rPr>
                    <w:t>1450</w:t>
                  </w:r>
                </w:p>
              </w:tc>
              <w:tc>
                <w:tcPr>
                  <w:tcW w:w="976" w:type="pct"/>
                  <w:vMerge w:val="continue"/>
                  <w:tcBorders>
                    <w:left w:val="single" w:color="auto" w:sz="2" w:space="0"/>
                  </w:tcBorders>
                  <w:shd w:val="clear" w:color="auto" w:fill="auto"/>
                  <w:vAlign w:val="center"/>
                </w:tcPr>
                <w:p w14:paraId="596BFEAF">
                  <w:pPr>
                    <w:adjustRightInd w:val="0"/>
                    <w:snapToGrid w:val="0"/>
                    <w:jc w:val="center"/>
                    <w:textAlignment w:val="center"/>
                    <w:rPr>
                      <w:color w:val="auto"/>
                      <w:szCs w:val="21"/>
                    </w:rPr>
                  </w:pPr>
                </w:p>
              </w:tc>
            </w:tr>
            <w:tr w14:paraId="6C8E3FE1">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0F7777F">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8EFCE">
                  <w:pPr>
                    <w:jc w:val="center"/>
                    <w:rPr>
                      <w:color w:val="auto"/>
                      <w:szCs w:val="21"/>
                    </w:rPr>
                  </w:pPr>
                  <w:r>
                    <w:rPr>
                      <w:color w:val="auto"/>
                      <w:szCs w:val="21"/>
                    </w:rPr>
                    <w:t>汪庄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FEAA">
                  <w:pPr>
                    <w:adjustRightInd w:val="0"/>
                    <w:snapToGrid w:val="0"/>
                    <w:jc w:val="center"/>
                    <w:rPr>
                      <w:bCs/>
                      <w:color w:val="auto"/>
                      <w:szCs w:val="21"/>
                    </w:rPr>
                  </w:pPr>
                  <w:r>
                    <w:rPr>
                      <w:bCs/>
                      <w:color w:val="auto"/>
                      <w:szCs w:val="21"/>
                    </w:rPr>
                    <w:t>701127.87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EAD2">
                  <w:pPr>
                    <w:adjustRightInd w:val="0"/>
                    <w:snapToGrid w:val="0"/>
                    <w:jc w:val="center"/>
                    <w:rPr>
                      <w:bCs/>
                      <w:color w:val="auto"/>
                      <w:szCs w:val="21"/>
                    </w:rPr>
                  </w:pPr>
                  <w:r>
                    <w:rPr>
                      <w:bCs/>
                      <w:color w:val="auto"/>
                      <w:szCs w:val="21"/>
                    </w:rPr>
                    <w:t>3765857.41</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D20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F9F0F">
                  <w:pPr>
                    <w:adjustRightInd w:val="0"/>
                    <w:snapToGrid w:val="0"/>
                    <w:jc w:val="center"/>
                    <w:rPr>
                      <w:bCs/>
                      <w:color w:val="auto"/>
                      <w:szCs w:val="21"/>
                    </w:rPr>
                  </w:pPr>
                  <w:r>
                    <w:rPr>
                      <w:bCs/>
                      <w:color w:val="auto"/>
                      <w:szCs w:val="21"/>
                    </w:rPr>
                    <w:t>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3CD1">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F18A0DC">
                  <w:pPr>
                    <w:adjustRightInd w:val="0"/>
                    <w:snapToGrid w:val="0"/>
                    <w:jc w:val="center"/>
                    <w:rPr>
                      <w:color w:val="auto"/>
                      <w:szCs w:val="21"/>
                    </w:rPr>
                  </w:pPr>
                  <w:r>
                    <w:rPr>
                      <w:color w:val="auto"/>
                      <w:szCs w:val="21"/>
                    </w:rPr>
                    <w:t>1770</w:t>
                  </w:r>
                </w:p>
              </w:tc>
              <w:tc>
                <w:tcPr>
                  <w:tcW w:w="976" w:type="pct"/>
                  <w:vMerge w:val="continue"/>
                  <w:tcBorders>
                    <w:left w:val="single" w:color="auto" w:sz="2" w:space="0"/>
                  </w:tcBorders>
                  <w:shd w:val="clear" w:color="auto" w:fill="auto"/>
                  <w:vAlign w:val="center"/>
                </w:tcPr>
                <w:p w14:paraId="5C584B7F">
                  <w:pPr>
                    <w:adjustRightInd w:val="0"/>
                    <w:snapToGrid w:val="0"/>
                    <w:jc w:val="center"/>
                    <w:textAlignment w:val="center"/>
                    <w:rPr>
                      <w:color w:val="auto"/>
                      <w:szCs w:val="21"/>
                    </w:rPr>
                  </w:pPr>
                </w:p>
              </w:tc>
            </w:tr>
            <w:tr w14:paraId="7101A9F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152E41BD">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DF837">
                  <w:pPr>
                    <w:jc w:val="center"/>
                    <w:rPr>
                      <w:color w:val="auto"/>
                      <w:szCs w:val="21"/>
                    </w:rPr>
                  </w:pPr>
                  <w:r>
                    <w:rPr>
                      <w:color w:val="auto"/>
                      <w:szCs w:val="21"/>
                    </w:rPr>
                    <w:t>严园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9AF30">
                  <w:pPr>
                    <w:adjustRightInd w:val="0"/>
                    <w:snapToGrid w:val="0"/>
                    <w:jc w:val="center"/>
                    <w:rPr>
                      <w:bCs/>
                      <w:color w:val="auto"/>
                      <w:szCs w:val="21"/>
                    </w:rPr>
                  </w:pPr>
                  <w:r>
                    <w:rPr>
                      <w:bCs/>
                      <w:color w:val="auto"/>
                      <w:szCs w:val="21"/>
                    </w:rPr>
                    <w:t>700725.73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3A7F">
                  <w:pPr>
                    <w:adjustRightInd w:val="0"/>
                    <w:snapToGrid w:val="0"/>
                    <w:jc w:val="center"/>
                    <w:rPr>
                      <w:bCs/>
                      <w:color w:val="auto"/>
                      <w:szCs w:val="21"/>
                    </w:rPr>
                  </w:pPr>
                  <w:r>
                    <w:rPr>
                      <w:bCs/>
                      <w:color w:val="auto"/>
                      <w:szCs w:val="21"/>
                    </w:rPr>
                    <w:t>3766119.16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C23E">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644A">
                  <w:pPr>
                    <w:adjustRightInd w:val="0"/>
                    <w:snapToGrid w:val="0"/>
                    <w:jc w:val="center"/>
                    <w:rPr>
                      <w:bCs/>
                      <w:color w:val="auto"/>
                      <w:szCs w:val="21"/>
                    </w:rPr>
                  </w:pPr>
                  <w:r>
                    <w:rPr>
                      <w:bCs/>
                      <w:color w:val="auto"/>
                      <w:szCs w:val="21"/>
                    </w:rPr>
                    <w:t>420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84175">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10EB4BC">
                  <w:pPr>
                    <w:adjustRightInd w:val="0"/>
                    <w:snapToGrid w:val="0"/>
                    <w:jc w:val="center"/>
                    <w:rPr>
                      <w:color w:val="auto"/>
                      <w:szCs w:val="21"/>
                    </w:rPr>
                  </w:pPr>
                  <w:r>
                    <w:rPr>
                      <w:color w:val="auto"/>
                      <w:szCs w:val="21"/>
                    </w:rPr>
                    <w:t>1320</w:t>
                  </w:r>
                </w:p>
              </w:tc>
              <w:tc>
                <w:tcPr>
                  <w:tcW w:w="976" w:type="pct"/>
                  <w:vMerge w:val="continue"/>
                  <w:tcBorders>
                    <w:left w:val="single" w:color="auto" w:sz="2" w:space="0"/>
                  </w:tcBorders>
                  <w:shd w:val="clear" w:color="auto" w:fill="auto"/>
                  <w:vAlign w:val="center"/>
                </w:tcPr>
                <w:p w14:paraId="37AFD5DB">
                  <w:pPr>
                    <w:adjustRightInd w:val="0"/>
                    <w:snapToGrid w:val="0"/>
                    <w:jc w:val="center"/>
                    <w:textAlignment w:val="center"/>
                    <w:rPr>
                      <w:color w:val="auto"/>
                      <w:szCs w:val="21"/>
                    </w:rPr>
                  </w:pPr>
                </w:p>
              </w:tc>
            </w:tr>
            <w:tr w14:paraId="48EFB0B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4052F91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41009">
                  <w:pPr>
                    <w:jc w:val="center"/>
                    <w:rPr>
                      <w:color w:val="auto"/>
                      <w:szCs w:val="21"/>
                    </w:rPr>
                  </w:pPr>
                  <w:r>
                    <w:rPr>
                      <w:color w:val="auto"/>
                      <w:szCs w:val="21"/>
                    </w:rPr>
                    <w:t>杨庄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B23A">
                  <w:pPr>
                    <w:adjustRightInd w:val="0"/>
                    <w:snapToGrid w:val="0"/>
                    <w:jc w:val="center"/>
                    <w:rPr>
                      <w:bCs/>
                      <w:color w:val="auto"/>
                      <w:szCs w:val="21"/>
                    </w:rPr>
                  </w:pPr>
                  <w:r>
                    <w:rPr>
                      <w:bCs/>
                      <w:color w:val="auto"/>
                      <w:szCs w:val="21"/>
                    </w:rPr>
                    <w:t>700399.32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B3E2">
                  <w:pPr>
                    <w:adjustRightInd w:val="0"/>
                    <w:snapToGrid w:val="0"/>
                    <w:jc w:val="center"/>
                    <w:rPr>
                      <w:bCs/>
                      <w:color w:val="auto"/>
                      <w:szCs w:val="21"/>
                    </w:rPr>
                  </w:pPr>
                  <w:r>
                    <w:rPr>
                      <w:bCs/>
                      <w:color w:val="auto"/>
                      <w:szCs w:val="21"/>
                    </w:rPr>
                    <w:t>3765682.04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C997D">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77A2C">
                  <w:pPr>
                    <w:adjustRightInd w:val="0"/>
                    <w:snapToGrid w:val="0"/>
                    <w:jc w:val="center"/>
                    <w:rPr>
                      <w:bCs/>
                      <w:color w:val="auto"/>
                      <w:szCs w:val="21"/>
                    </w:rPr>
                  </w:pPr>
                  <w:r>
                    <w:rPr>
                      <w:bCs/>
                      <w:color w:val="auto"/>
                      <w:szCs w:val="21"/>
                    </w:rPr>
                    <w:t>600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A561D">
                  <w:pPr>
                    <w:adjustRightInd w:val="0"/>
                    <w:snapToGrid w:val="0"/>
                    <w:jc w:val="center"/>
                    <w:rPr>
                      <w:bCs/>
                      <w:color w:val="auto"/>
                      <w:szCs w:val="21"/>
                    </w:rPr>
                  </w:pPr>
                  <w:r>
                    <w:rPr>
                      <w:bCs/>
                      <w:color w:val="auto"/>
                      <w:szCs w:val="21"/>
                    </w:rPr>
                    <w:t>WS</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8B31C8D">
                  <w:pPr>
                    <w:adjustRightInd w:val="0"/>
                    <w:snapToGrid w:val="0"/>
                    <w:jc w:val="center"/>
                    <w:rPr>
                      <w:color w:val="auto"/>
                      <w:szCs w:val="21"/>
                    </w:rPr>
                  </w:pPr>
                  <w:r>
                    <w:rPr>
                      <w:color w:val="auto"/>
                      <w:szCs w:val="21"/>
                    </w:rPr>
                    <w:t>2250</w:t>
                  </w:r>
                </w:p>
              </w:tc>
              <w:tc>
                <w:tcPr>
                  <w:tcW w:w="976" w:type="pct"/>
                  <w:vMerge w:val="continue"/>
                  <w:tcBorders>
                    <w:left w:val="single" w:color="auto" w:sz="2" w:space="0"/>
                  </w:tcBorders>
                  <w:shd w:val="clear" w:color="auto" w:fill="auto"/>
                  <w:vAlign w:val="center"/>
                </w:tcPr>
                <w:p w14:paraId="22573FDF">
                  <w:pPr>
                    <w:adjustRightInd w:val="0"/>
                    <w:snapToGrid w:val="0"/>
                    <w:jc w:val="center"/>
                    <w:textAlignment w:val="center"/>
                    <w:rPr>
                      <w:color w:val="auto"/>
                      <w:szCs w:val="21"/>
                    </w:rPr>
                  </w:pPr>
                </w:p>
              </w:tc>
            </w:tr>
            <w:tr w14:paraId="65A5191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4D2E2C0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8D11F">
                  <w:pPr>
                    <w:jc w:val="center"/>
                    <w:rPr>
                      <w:color w:val="auto"/>
                      <w:szCs w:val="21"/>
                    </w:rPr>
                  </w:pPr>
                  <w:r>
                    <w:rPr>
                      <w:color w:val="auto"/>
                      <w:szCs w:val="21"/>
                    </w:rPr>
                    <w:t>明珠佳缘</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5B7C">
                  <w:pPr>
                    <w:adjustRightInd w:val="0"/>
                    <w:snapToGrid w:val="0"/>
                    <w:jc w:val="center"/>
                    <w:rPr>
                      <w:bCs/>
                      <w:color w:val="auto"/>
                      <w:szCs w:val="21"/>
                    </w:rPr>
                  </w:pPr>
                  <w:r>
                    <w:rPr>
                      <w:bCs/>
                      <w:color w:val="auto"/>
                      <w:szCs w:val="21"/>
                    </w:rPr>
                    <w:t>702932.23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2657">
                  <w:pPr>
                    <w:adjustRightInd w:val="0"/>
                    <w:snapToGrid w:val="0"/>
                    <w:jc w:val="center"/>
                    <w:rPr>
                      <w:bCs/>
                      <w:color w:val="auto"/>
                      <w:szCs w:val="21"/>
                    </w:rPr>
                  </w:pPr>
                  <w:r>
                    <w:rPr>
                      <w:bCs/>
                      <w:color w:val="auto"/>
                      <w:szCs w:val="21"/>
                    </w:rPr>
                    <w:t>3766590.58</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13954">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619C1">
                  <w:pPr>
                    <w:adjustRightInd w:val="0"/>
                    <w:snapToGrid w:val="0"/>
                    <w:jc w:val="center"/>
                    <w:rPr>
                      <w:bCs/>
                      <w:color w:val="auto"/>
                      <w:szCs w:val="21"/>
                    </w:rPr>
                  </w:pPr>
                  <w:r>
                    <w:rPr>
                      <w:bCs/>
                      <w:color w:val="auto"/>
                      <w:szCs w:val="21"/>
                    </w:rPr>
                    <w:t>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3564">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4B07519">
                  <w:pPr>
                    <w:adjustRightInd w:val="0"/>
                    <w:snapToGrid w:val="0"/>
                    <w:jc w:val="center"/>
                    <w:rPr>
                      <w:color w:val="auto"/>
                      <w:szCs w:val="21"/>
                    </w:rPr>
                  </w:pPr>
                  <w:r>
                    <w:rPr>
                      <w:color w:val="auto"/>
                      <w:szCs w:val="21"/>
                    </w:rPr>
                    <w:t>1600</w:t>
                  </w:r>
                </w:p>
              </w:tc>
              <w:tc>
                <w:tcPr>
                  <w:tcW w:w="976" w:type="pct"/>
                  <w:vMerge w:val="continue"/>
                  <w:tcBorders>
                    <w:left w:val="single" w:color="auto" w:sz="2" w:space="0"/>
                  </w:tcBorders>
                  <w:shd w:val="clear" w:color="auto" w:fill="auto"/>
                  <w:vAlign w:val="center"/>
                </w:tcPr>
                <w:p w14:paraId="400DB99F">
                  <w:pPr>
                    <w:adjustRightInd w:val="0"/>
                    <w:snapToGrid w:val="0"/>
                    <w:jc w:val="center"/>
                    <w:textAlignment w:val="center"/>
                    <w:rPr>
                      <w:color w:val="auto"/>
                      <w:szCs w:val="21"/>
                    </w:rPr>
                  </w:pPr>
                </w:p>
              </w:tc>
            </w:tr>
            <w:tr w14:paraId="6A083E0A">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37C1AD0">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46</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7DF16">
                  <w:pPr>
                    <w:jc w:val="center"/>
                    <w:rPr>
                      <w:color w:val="auto"/>
                      <w:szCs w:val="21"/>
                    </w:rPr>
                  </w:pPr>
                  <w:r>
                    <w:rPr>
                      <w:color w:val="auto"/>
                      <w:szCs w:val="21"/>
                    </w:rPr>
                    <w:t>鲍园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36AB3">
                  <w:pPr>
                    <w:adjustRightInd w:val="0"/>
                    <w:snapToGrid w:val="0"/>
                    <w:jc w:val="center"/>
                    <w:rPr>
                      <w:bCs/>
                      <w:color w:val="auto"/>
                      <w:szCs w:val="21"/>
                    </w:rPr>
                  </w:pPr>
                  <w:r>
                    <w:rPr>
                      <w:bCs/>
                      <w:color w:val="auto"/>
                      <w:szCs w:val="21"/>
                    </w:rPr>
                    <w:t>702992.69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5821">
                  <w:pPr>
                    <w:adjustRightInd w:val="0"/>
                    <w:snapToGrid w:val="0"/>
                    <w:jc w:val="center"/>
                    <w:rPr>
                      <w:bCs/>
                      <w:color w:val="auto"/>
                      <w:szCs w:val="21"/>
                    </w:rPr>
                  </w:pPr>
                  <w:r>
                    <w:rPr>
                      <w:bCs/>
                      <w:color w:val="auto"/>
                      <w:szCs w:val="21"/>
                    </w:rPr>
                    <w:t>3766360.97</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CD95">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2BE69">
                  <w:pPr>
                    <w:adjustRightInd w:val="0"/>
                    <w:snapToGrid w:val="0"/>
                    <w:jc w:val="center"/>
                    <w:rPr>
                      <w:bCs/>
                      <w:color w:val="auto"/>
                      <w:szCs w:val="21"/>
                    </w:rPr>
                  </w:pPr>
                  <w:r>
                    <w:rPr>
                      <w:bCs/>
                      <w:color w:val="auto"/>
                      <w:szCs w:val="21"/>
                    </w:rPr>
                    <w:t>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CE0A">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240EEF13">
                  <w:pPr>
                    <w:adjustRightInd w:val="0"/>
                    <w:snapToGrid w:val="0"/>
                    <w:jc w:val="center"/>
                    <w:rPr>
                      <w:color w:val="auto"/>
                      <w:szCs w:val="21"/>
                    </w:rPr>
                  </w:pPr>
                  <w:r>
                    <w:rPr>
                      <w:color w:val="auto"/>
                      <w:szCs w:val="21"/>
                    </w:rPr>
                    <w:t>1830</w:t>
                  </w:r>
                </w:p>
              </w:tc>
              <w:tc>
                <w:tcPr>
                  <w:tcW w:w="976" w:type="pct"/>
                  <w:vMerge w:val="continue"/>
                  <w:tcBorders>
                    <w:left w:val="single" w:color="auto" w:sz="2" w:space="0"/>
                  </w:tcBorders>
                  <w:shd w:val="clear" w:color="auto" w:fill="auto"/>
                  <w:vAlign w:val="center"/>
                </w:tcPr>
                <w:p w14:paraId="6F5D2835">
                  <w:pPr>
                    <w:adjustRightInd w:val="0"/>
                    <w:snapToGrid w:val="0"/>
                    <w:jc w:val="center"/>
                    <w:textAlignment w:val="center"/>
                    <w:rPr>
                      <w:color w:val="auto"/>
                      <w:szCs w:val="21"/>
                    </w:rPr>
                  </w:pPr>
                </w:p>
              </w:tc>
            </w:tr>
            <w:tr w14:paraId="6007CFDC">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A411777">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E03F">
                  <w:pPr>
                    <w:jc w:val="center"/>
                    <w:rPr>
                      <w:color w:val="auto"/>
                      <w:szCs w:val="21"/>
                    </w:rPr>
                  </w:pPr>
                  <w:r>
                    <w:rPr>
                      <w:color w:val="auto"/>
                      <w:szCs w:val="21"/>
                    </w:rPr>
                    <w:t>富祥家园</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9482">
                  <w:pPr>
                    <w:adjustRightInd w:val="0"/>
                    <w:snapToGrid w:val="0"/>
                    <w:jc w:val="center"/>
                    <w:rPr>
                      <w:bCs/>
                      <w:color w:val="auto"/>
                      <w:szCs w:val="21"/>
                    </w:rPr>
                  </w:pPr>
                  <w:r>
                    <w:rPr>
                      <w:bCs/>
                      <w:color w:val="auto"/>
                      <w:szCs w:val="21"/>
                    </w:rPr>
                    <w:t>702621.82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D71CD">
                  <w:pPr>
                    <w:adjustRightInd w:val="0"/>
                    <w:snapToGrid w:val="0"/>
                    <w:jc w:val="center"/>
                    <w:rPr>
                      <w:bCs/>
                      <w:color w:val="auto"/>
                      <w:szCs w:val="21"/>
                    </w:rPr>
                  </w:pPr>
                  <w:r>
                    <w:rPr>
                      <w:bCs/>
                      <w:color w:val="auto"/>
                      <w:szCs w:val="21"/>
                    </w:rPr>
                    <w:t>3766179.36</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5D3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D104">
                  <w:pPr>
                    <w:adjustRightInd w:val="0"/>
                    <w:snapToGrid w:val="0"/>
                    <w:jc w:val="center"/>
                    <w:rPr>
                      <w:bCs/>
                      <w:color w:val="auto"/>
                      <w:szCs w:val="21"/>
                    </w:rPr>
                  </w:pPr>
                  <w:r>
                    <w:rPr>
                      <w:bCs/>
                      <w:color w:val="auto"/>
                      <w:szCs w:val="21"/>
                    </w:rPr>
                    <w:t>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28832">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7ABE350B">
                  <w:pPr>
                    <w:adjustRightInd w:val="0"/>
                    <w:snapToGrid w:val="0"/>
                    <w:jc w:val="center"/>
                    <w:rPr>
                      <w:color w:val="auto"/>
                      <w:szCs w:val="21"/>
                    </w:rPr>
                  </w:pPr>
                  <w:r>
                    <w:rPr>
                      <w:color w:val="auto"/>
                      <w:szCs w:val="21"/>
                    </w:rPr>
                    <w:t>1700</w:t>
                  </w:r>
                </w:p>
              </w:tc>
              <w:tc>
                <w:tcPr>
                  <w:tcW w:w="976" w:type="pct"/>
                  <w:vMerge w:val="continue"/>
                  <w:tcBorders>
                    <w:left w:val="single" w:color="auto" w:sz="2" w:space="0"/>
                  </w:tcBorders>
                  <w:shd w:val="clear" w:color="auto" w:fill="auto"/>
                  <w:vAlign w:val="center"/>
                </w:tcPr>
                <w:p w14:paraId="5EE86275">
                  <w:pPr>
                    <w:adjustRightInd w:val="0"/>
                    <w:snapToGrid w:val="0"/>
                    <w:jc w:val="center"/>
                    <w:textAlignment w:val="center"/>
                    <w:rPr>
                      <w:color w:val="auto"/>
                      <w:szCs w:val="21"/>
                    </w:rPr>
                  </w:pPr>
                </w:p>
              </w:tc>
            </w:tr>
            <w:tr w14:paraId="163BF4F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5C0DB45A">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80CEA">
                  <w:pPr>
                    <w:jc w:val="center"/>
                    <w:rPr>
                      <w:color w:val="auto"/>
                      <w:szCs w:val="21"/>
                    </w:rPr>
                  </w:pPr>
                  <w:r>
                    <w:rPr>
                      <w:color w:val="auto"/>
                      <w:szCs w:val="21"/>
                    </w:rPr>
                    <w:t>小徐庄</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5E97">
                  <w:pPr>
                    <w:adjustRightInd w:val="0"/>
                    <w:snapToGrid w:val="0"/>
                    <w:jc w:val="center"/>
                    <w:rPr>
                      <w:bCs/>
                      <w:color w:val="auto"/>
                      <w:szCs w:val="21"/>
                    </w:rPr>
                  </w:pPr>
                  <w:r>
                    <w:rPr>
                      <w:bCs/>
                      <w:color w:val="auto"/>
                      <w:szCs w:val="21"/>
                    </w:rPr>
                    <w:t>702352.18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7F514">
                  <w:pPr>
                    <w:adjustRightInd w:val="0"/>
                    <w:snapToGrid w:val="0"/>
                    <w:jc w:val="center"/>
                    <w:rPr>
                      <w:bCs/>
                      <w:color w:val="auto"/>
                      <w:szCs w:val="21"/>
                    </w:rPr>
                  </w:pPr>
                  <w:r>
                    <w:rPr>
                      <w:bCs/>
                      <w:color w:val="auto"/>
                      <w:szCs w:val="21"/>
                    </w:rPr>
                    <w:t>3766133.19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4768A">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2E81C">
                  <w:pPr>
                    <w:adjustRightInd w:val="0"/>
                    <w:snapToGrid w:val="0"/>
                    <w:jc w:val="center"/>
                    <w:rPr>
                      <w:bCs/>
                      <w:color w:val="auto"/>
                      <w:szCs w:val="21"/>
                    </w:rPr>
                  </w:pPr>
                  <w:r>
                    <w:rPr>
                      <w:bCs/>
                      <w:color w:val="auto"/>
                      <w:szCs w:val="21"/>
                    </w:rPr>
                    <w:t>1200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35EE4">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888CD29">
                  <w:pPr>
                    <w:adjustRightInd w:val="0"/>
                    <w:snapToGrid w:val="0"/>
                    <w:jc w:val="center"/>
                    <w:rPr>
                      <w:color w:val="auto"/>
                      <w:szCs w:val="21"/>
                    </w:rPr>
                  </w:pPr>
                  <w:r>
                    <w:rPr>
                      <w:color w:val="auto"/>
                      <w:szCs w:val="21"/>
                    </w:rPr>
                    <w:t>1620</w:t>
                  </w:r>
                </w:p>
              </w:tc>
              <w:tc>
                <w:tcPr>
                  <w:tcW w:w="976" w:type="pct"/>
                  <w:vMerge w:val="continue"/>
                  <w:tcBorders>
                    <w:left w:val="single" w:color="auto" w:sz="2" w:space="0"/>
                  </w:tcBorders>
                  <w:shd w:val="clear" w:color="auto" w:fill="auto"/>
                  <w:vAlign w:val="center"/>
                </w:tcPr>
                <w:p w14:paraId="752A973C">
                  <w:pPr>
                    <w:adjustRightInd w:val="0"/>
                    <w:snapToGrid w:val="0"/>
                    <w:jc w:val="center"/>
                    <w:textAlignment w:val="center"/>
                    <w:rPr>
                      <w:color w:val="auto"/>
                      <w:szCs w:val="21"/>
                    </w:rPr>
                  </w:pPr>
                </w:p>
              </w:tc>
            </w:tr>
            <w:tr w14:paraId="4ACBBB09">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44CBE23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49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DAB7">
                  <w:pPr>
                    <w:jc w:val="center"/>
                    <w:rPr>
                      <w:color w:val="auto"/>
                      <w:szCs w:val="21"/>
                    </w:rPr>
                  </w:pPr>
                  <w:r>
                    <w:rPr>
                      <w:color w:val="auto"/>
                      <w:szCs w:val="21"/>
                    </w:rPr>
                    <w:t>今世缘安置小区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AB5AA">
                  <w:pPr>
                    <w:adjustRightInd w:val="0"/>
                    <w:snapToGrid w:val="0"/>
                    <w:jc w:val="center"/>
                    <w:rPr>
                      <w:bCs/>
                      <w:color w:val="auto"/>
                      <w:szCs w:val="21"/>
                    </w:rPr>
                  </w:pPr>
                  <w:r>
                    <w:rPr>
                      <w:bCs/>
                      <w:color w:val="auto"/>
                      <w:szCs w:val="21"/>
                    </w:rPr>
                    <w:t>702730.28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47760">
                  <w:pPr>
                    <w:adjustRightInd w:val="0"/>
                    <w:snapToGrid w:val="0"/>
                    <w:jc w:val="center"/>
                    <w:rPr>
                      <w:bCs/>
                      <w:color w:val="auto"/>
                      <w:szCs w:val="21"/>
                    </w:rPr>
                  </w:pPr>
                  <w:r>
                    <w:rPr>
                      <w:bCs/>
                      <w:color w:val="auto"/>
                      <w:szCs w:val="21"/>
                    </w:rPr>
                    <w:t>3765654.74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BEEF">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16B5">
                  <w:pPr>
                    <w:adjustRightInd w:val="0"/>
                    <w:snapToGrid w:val="0"/>
                    <w:jc w:val="center"/>
                    <w:rPr>
                      <w:bCs/>
                      <w:color w:val="auto"/>
                      <w:szCs w:val="21"/>
                    </w:rPr>
                  </w:pPr>
                  <w:r>
                    <w:rPr>
                      <w:bCs/>
                      <w:color w:val="auto"/>
                      <w:szCs w:val="21"/>
                    </w:rPr>
                    <w:t>2600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36C1B">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5A006061">
                  <w:pPr>
                    <w:adjustRightInd w:val="0"/>
                    <w:snapToGrid w:val="0"/>
                    <w:jc w:val="center"/>
                    <w:rPr>
                      <w:color w:val="auto"/>
                      <w:szCs w:val="21"/>
                    </w:rPr>
                  </w:pPr>
                  <w:r>
                    <w:rPr>
                      <w:color w:val="auto"/>
                      <w:szCs w:val="21"/>
                    </w:rPr>
                    <w:t>2200</w:t>
                  </w:r>
                </w:p>
              </w:tc>
              <w:tc>
                <w:tcPr>
                  <w:tcW w:w="976" w:type="pct"/>
                  <w:vMerge w:val="continue"/>
                  <w:tcBorders>
                    <w:left w:val="single" w:color="auto" w:sz="2" w:space="0"/>
                  </w:tcBorders>
                  <w:shd w:val="clear" w:color="auto" w:fill="auto"/>
                  <w:vAlign w:val="center"/>
                </w:tcPr>
                <w:p w14:paraId="4AB669BE">
                  <w:pPr>
                    <w:adjustRightInd w:val="0"/>
                    <w:snapToGrid w:val="0"/>
                    <w:jc w:val="center"/>
                    <w:textAlignment w:val="center"/>
                    <w:rPr>
                      <w:color w:val="auto"/>
                      <w:szCs w:val="21"/>
                    </w:rPr>
                  </w:pPr>
                </w:p>
              </w:tc>
            </w:tr>
            <w:tr w14:paraId="63B13478">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686858C8">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50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61B5">
                  <w:pPr>
                    <w:jc w:val="center"/>
                    <w:rPr>
                      <w:color w:val="auto"/>
                      <w:szCs w:val="21"/>
                    </w:rPr>
                  </w:pPr>
                  <w:r>
                    <w:rPr>
                      <w:color w:val="auto"/>
                      <w:szCs w:val="21"/>
                    </w:rPr>
                    <w:t>高缘雅居</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7961B">
                  <w:pPr>
                    <w:adjustRightInd w:val="0"/>
                    <w:snapToGrid w:val="0"/>
                    <w:jc w:val="center"/>
                    <w:rPr>
                      <w:bCs/>
                      <w:color w:val="auto"/>
                      <w:szCs w:val="21"/>
                    </w:rPr>
                  </w:pPr>
                  <w:r>
                    <w:rPr>
                      <w:bCs/>
                      <w:color w:val="auto"/>
                      <w:szCs w:val="21"/>
                    </w:rPr>
                    <w:t>702725.52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7BE05">
                  <w:pPr>
                    <w:adjustRightInd w:val="0"/>
                    <w:snapToGrid w:val="0"/>
                    <w:jc w:val="center"/>
                    <w:rPr>
                      <w:bCs/>
                      <w:color w:val="auto"/>
                      <w:szCs w:val="21"/>
                    </w:rPr>
                  </w:pPr>
                  <w:r>
                    <w:rPr>
                      <w:bCs/>
                      <w:color w:val="auto"/>
                      <w:szCs w:val="21"/>
                    </w:rPr>
                    <w:t>3765876.44</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DBCFD">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BFBD">
                  <w:pPr>
                    <w:adjustRightInd w:val="0"/>
                    <w:snapToGrid w:val="0"/>
                    <w:jc w:val="center"/>
                    <w:rPr>
                      <w:bCs/>
                      <w:color w:val="auto"/>
                      <w:szCs w:val="21"/>
                    </w:rPr>
                  </w:pPr>
                  <w:r>
                    <w:rPr>
                      <w:bCs/>
                      <w:color w:val="auto"/>
                      <w:szCs w:val="21"/>
                    </w:rPr>
                    <w:t>1000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8F6C">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57E3FFF">
                  <w:pPr>
                    <w:adjustRightInd w:val="0"/>
                    <w:snapToGrid w:val="0"/>
                    <w:jc w:val="center"/>
                    <w:rPr>
                      <w:color w:val="auto"/>
                      <w:szCs w:val="21"/>
                    </w:rPr>
                  </w:pPr>
                  <w:r>
                    <w:rPr>
                      <w:color w:val="auto"/>
                      <w:szCs w:val="21"/>
                    </w:rPr>
                    <w:t>2400</w:t>
                  </w:r>
                </w:p>
              </w:tc>
              <w:tc>
                <w:tcPr>
                  <w:tcW w:w="976" w:type="pct"/>
                  <w:vMerge w:val="continue"/>
                  <w:tcBorders>
                    <w:left w:val="single" w:color="auto" w:sz="2" w:space="0"/>
                  </w:tcBorders>
                  <w:shd w:val="clear" w:color="auto" w:fill="auto"/>
                  <w:vAlign w:val="center"/>
                </w:tcPr>
                <w:p w14:paraId="631412ED">
                  <w:pPr>
                    <w:adjustRightInd w:val="0"/>
                    <w:snapToGrid w:val="0"/>
                    <w:jc w:val="center"/>
                    <w:textAlignment w:val="center"/>
                    <w:rPr>
                      <w:color w:val="auto"/>
                      <w:szCs w:val="21"/>
                    </w:rPr>
                  </w:pPr>
                </w:p>
              </w:tc>
            </w:tr>
            <w:tr w14:paraId="421AFAF4">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BD31AD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51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08E4">
                  <w:pPr>
                    <w:jc w:val="center"/>
                    <w:rPr>
                      <w:color w:val="auto"/>
                      <w:szCs w:val="21"/>
                    </w:rPr>
                  </w:pPr>
                  <w:r>
                    <w:rPr>
                      <w:color w:val="auto"/>
                      <w:szCs w:val="21"/>
                    </w:rPr>
                    <w:t>许庄小区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3D11B">
                  <w:pPr>
                    <w:adjustRightInd w:val="0"/>
                    <w:snapToGrid w:val="0"/>
                    <w:jc w:val="center"/>
                    <w:rPr>
                      <w:bCs/>
                      <w:color w:val="auto"/>
                      <w:szCs w:val="21"/>
                    </w:rPr>
                  </w:pPr>
                  <w:r>
                    <w:rPr>
                      <w:bCs/>
                      <w:color w:val="auto"/>
                      <w:szCs w:val="21"/>
                    </w:rPr>
                    <w:t>702920.97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4650">
                  <w:pPr>
                    <w:adjustRightInd w:val="0"/>
                    <w:snapToGrid w:val="0"/>
                    <w:jc w:val="center"/>
                    <w:rPr>
                      <w:bCs/>
                      <w:color w:val="auto"/>
                      <w:szCs w:val="21"/>
                    </w:rPr>
                  </w:pPr>
                  <w:r>
                    <w:rPr>
                      <w:bCs/>
                      <w:color w:val="auto"/>
                      <w:szCs w:val="21"/>
                    </w:rPr>
                    <w:t>3765333.27</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42073">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E918">
                  <w:pPr>
                    <w:adjustRightInd w:val="0"/>
                    <w:snapToGrid w:val="0"/>
                    <w:jc w:val="center"/>
                    <w:rPr>
                      <w:bCs/>
                      <w:color w:val="auto"/>
                      <w:szCs w:val="21"/>
                    </w:rPr>
                  </w:pPr>
                  <w:r>
                    <w:rPr>
                      <w:bCs/>
                      <w:color w:val="auto"/>
                      <w:szCs w:val="21"/>
                    </w:rPr>
                    <w:t>1800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2CDC">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465F5892">
                  <w:pPr>
                    <w:adjustRightInd w:val="0"/>
                    <w:snapToGrid w:val="0"/>
                    <w:jc w:val="center"/>
                    <w:rPr>
                      <w:color w:val="auto"/>
                      <w:szCs w:val="21"/>
                    </w:rPr>
                  </w:pPr>
                  <w:r>
                    <w:rPr>
                      <w:color w:val="auto"/>
                      <w:szCs w:val="21"/>
                    </w:rPr>
                    <w:t>2450</w:t>
                  </w:r>
                </w:p>
              </w:tc>
              <w:tc>
                <w:tcPr>
                  <w:tcW w:w="976" w:type="pct"/>
                  <w:vMerge w:val="continue"/>
                  <w:tcBorders>
                    <w:left w:val="single" w:color="auto" w:sz="2" w:space="0"/>
                  </w:tcBorders>
                  <w:shd w:val="clear" w:color="auto" w:fill="auto"/>
                  <w:vAlign w:val="center"/>
                </w:tcPr>
                <w:p w14:paraId="053DAB4A">
                  <w:pPr>
                    <w:adjustRightInd w:val="0"/>
                    <w:snapToGrid w:val="0"/>
                    <w:jc w:val="center"/>
                    <w:textAlignment w:val="center"/>
                    <w:rPr>
                      <w:color w:val="auto"/>
                      <w:szCs w:val="21"/>
                    </w:rPr>
                  </w:pPr>
                </w:p>
              </w:tc>
            </w:tr>
            <w:tr w14:paraId="51A7D299">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2ACBF6B">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52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A9EE">
                  <w:pPr>
                    <w:jc w:val="center"/>
                    <w:rPr>
                      <w:color w:val="auto"/>
                      <w:szCs w:val="21"/>
                    </w:rPr>
                  </w:pPr>
                  <w:r>
                    <w:rPr>
                      <w:color w:val="auto"/>
                      <w:szCs w:val="21"/>
                    </w:rPr>
                    <w:t>常园小区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0ABF2">
                  <w:pPr>
                    <w:adjustRightInd w:val="0"/>
                    <w:snapToGrid w:val="0"/>
                    <w:jc w:val="center"/>
                    <w:rPr>
                      <w:bCs/>
                      <w:color w:val="auto"/>
                      <w:szCs w:val="21"/>
                    </w:rPr>
                  </w:pPr>
                  <w:r>
                    <w:rPr>
                      <w:bCs/>
                      <w:color w:val="auto"/>
                      <w:szCs w:val="21"/>
                    </w:rPr>
                    <w:t>703180.31</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63EAA">
                  <w:pPr>
                    <w:adjustRightInd w:val="0"/>
                    <w:snapToGrid w:val="0"/>
                    <w:jc w:val="center"/>
                    <w:rPr>
                      <w:bCs/>
                      <w:color w:val="auto"/>
                      <w:szCs w:val="21"/>
                    </w:rPr>
                  </w:pPr>
                  <w:r>
                    <w:rPr>
                      <w:bCs/>
                      <w:color w:val="auto"/>
                      <w:szCs w:val="21"/>
                    </w:rPr>
                    <w:t>3765378.23</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6376">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0F7E7">
                  <w:pPr>
                    <w:adjustRightInd w:val="0"/>
                    <w:snapToGrid w:val="0"/>
                    <w:jc w:val="center"/>
                    <w:rPr>
                      <w:bCs/>
                      <w:color w:val="auto"/>
                      <w:szCs w:val="21"/>
                    </w:rPr>
                  </w:pPr>
                  <w:r>
                    <w:rPr>
                      <w:bCs/>
                      <w:color w:val="auto"/>
                      <w:szCs w:val="21"/>
                    </w:rPr>
                    <w:t>1500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CE400">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30040939">
                  <w:pPr>
                    <w:adjustRightInd w:val="0"/>
                    <w:snapToGrid w:val="0"/>
                    <w:jc w:val="center"/>
                    <w:rPr>
                      <w:color w:val="auto"/>
                      <w:szCs w:val="21"/>
                    </w:rPr>
                  </w:pPr>
                  <w:r>
                    <w:rPr>
                      <w:color w:val="auto"/>
                      <w:szCs w:val="21"/>
                    </w:rPr>
                    <w:t>2650</w:t>
                  </w:r>
                </w:p>
              </w:tc>
              <w:tc>
                <w:tcPr>
                  <w:tcW w:w="976" w:type="pct"/>
                  <w:vMerge w:val="continue"/>
                  <w:tcBorders>
                    <w:left w:val="single" w:color="auto" w:sz="2" w:space="0"/>
                  </w:tcBorders>
                  <w:shd w:val="clear" w:color="auto" w:fill="auto"/>
                  <w:vAlign w:val="center"/>
                </w:tcPr>
                <w:p w14:paraId="3692F23B">
                  <w:pPr>
                    <w:adjustRightInd w:val="0"/>
                    <w:snapToGrid w:val="0"/>
                    <w:jc w:val="center"/>
                    <w:textAlignment w:val="center"/>
                    <w:rPr>
                      <w:color w:val="auto"/>
                      <w:szCs w:val="21"/>
                    </w:rPr>
                  </w:pPr>
                </w:p>
              </w:tc>
            </w:tr>
            <w:tr w14:paraId="3CBFC1E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29F576FE">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53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104A">
                  <w:pPr>
                    <w:jc w:val="center"/>
                    <w:rPr>
                      <w:color w:val="auto"/>
                      <w:szCs w:val="21"/>
                    </w:rPr>
                  </w:pPr>
                  <w:r>
                    <w:rPr>
                      <w:color w:val="auto"/>
                      <w:szCs w:val="21"/>
                    </w:rPr>
                    <w:t>高沟社区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7A62B">
                  <w:pPr>
                    <w:adjustRightInd w:val="0"/>
                    <w:snapToGrid w:val="0"/>
                    <w:jc w:val="center"/>
                    <w:rPr>
                      <w:bCs/>
                      <w:color w:val="auto"/>
                      <w:szCs w:val="21"/>
                    </w:rPr>
                  </w:pPr>
                  <w:r>
                    <w:rPr>
                      <w:bCs/>
                      <w:color w:val="auto"/>
                      <w:szCs w:val="21"/>
                    </w:rPr>
                    <w:t>703436.43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5E53">
                  <w:pPr>
                    <w:adjustRightInd w:val="0"/>
                    <w:snapToGrid w:val="0"/>
                    <w:jc w:val="center"/>
                    <w:rPr>
                      <w:bCs/>
                      <w:color w:val="auto"/>
                      <w:szCs w:val="21"/>
                    </w:rPr>
                  </w:pPr>
                  <w:r>
                    <w:rPr>
                      <w:bCs/>
                      <w:color w:val="auto"/>
                      <w:szCs w:val="21"/>
                    </w:rPr>
                    <w:t>3765456.75</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E44B">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E9F0">
                  <w:pPr>
                    <w:adjustRightInd w:val="0"/>
                    <w:snapToGrid w:val="0"/>
                    <w:jc w:val="center"/>
                    <w:rPr>
                      <w:bCs/>
                      <w:color w:val="auto"/>
                      <w:szCs w:val="21"/>
                    </w:rPr>
                  </w:pPr>
                  <w:r>
                    <w:rPr>
                      <w:bCs/>
                      <w:color w:val="auto"/>
                      <w:szCs w:val="21"/>
                    </w:rPr>
                    <w:t>1000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D1EB7">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6BE83FB6">
                  <w:pPr>
                    <w:adjustRightInd w:val="0"/>
                    <w:snapToGrid w:val="0"/>
                    <w:jc w:val="center"/>
                    <w:rPr>
                      <w:color w:val="auto"/>
                      <w:szCs w:val="21"/>
                    </w:rPr>
                  </w:pPr>
                  <w:r>
                    <w:rPr>
                      <w:color w:val="auto"/>
                      <w:szCs w:val="21"/>
                    </w:rPr>
                    <w:t>2750</w:t>
                  </w:r>
                </w:p>
              </w:tc>
              <w:tc>
                <w:tcPr>
                  <w:tcW w:w="976" w:type="pct"/>
                  <w:vMerge w:val="continue"/>
                  <w:tcBorders>
                    <w:left w:val="single" w:color="auto" w:sz="2" w:space="0"/>
                  </w:tcBorders>
                  <w:shd w:val="clear" w:color="auto" w:fill="auto"/>
                  <w:vAlign w:val="center"/>
                </w:tcPr>
                <w:p w14:paraId="5B8DB056">
                  <w:pPr>
                    <w:adjustRightInd w:val="0"/>
                    <w:snapToGrid w:val="0"/>
                    <w:jc w:val="center"/>
                    <w:textAlignment w:val="center"/>
                    <w:rPr>
                      <w:color w:val="auto"/>
                      <w:szCs w:val="21"/>
                    </w:rPr>
                  </w:pPr>
                </w:p>
              </w:tc>
            </w:tr>
            <w:tr w14:paraId="0643EDD7">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4" w:space="0"/>
                    <w:right w:val="single" w:color="000000" w:sz="4" w:space="0"/>
                  </w:tcBorders>
                  <w:shd w:val="clear" w:color="auto" w:fill="auto"/>
                  <w:noWrap/>
                  <w:vAlign w:val="center"/>
                </w:tcPr>
                <w:p w14:paraId="04B51A7A">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rPr>
                    <w:t>54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23895">
                  <w:pPr>
                    <w:jc w:val="center"/>
                    <w:rPr>
                      <w:color w:val="auto"/>
                      <w:szCs w:val="21"/>
                    </w:rPr>
                  </w:pPr>
                  <w:r>
                    <w:rPr>
                      <w:color w:val="auto"/>
                      <w:szCs w:val="21"/>
                    </w:rPr>
                    <w:t>荀庄社区</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42CD3">
                  <w:pPr>
                    <w:adjustRightInd w:val="0"/>
                    <w:snapToGrid w:val="0"/>
                    <w:jc w:val="center"/>
                    <w:rPr>
                      <w:bCs/>
                      <w:color w:val="auto"/>
                      <w:szCs w:val="21"/>
                    </w:rPr>
                  </w:pPr>
                  <w:r>
                    <w:rPr>
                      <w:bCs/>
                      <w:color w:val="auto"/>
                      <w:szCs w:val="21"/>
                    </w:rPr>
                    <w:t>704022.07</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F2A6">
                  <w:pPr>
                    <w:adjustRightInd w:val="0"/>
                    <w:snapToGrid w:val="0"/>
                    <w:jc w:val="center"/>
                    <w:rPr>
                      <w:bCs/>
                      <w:color w:val="auto"/>
                      <w:szCs w:val="21"/>
                    </w:rPr>
                  </w:pPr>
                  <w:r>
                    <w:rPr>
                      <w:bCs/>
                      <w:color w:val="auto"/>
                      <w:szCs w:val="21"/>
                    </w:rPr>
                    <w:t>3765423.99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2D55">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F770">
                  <w:pPr>
                    <w:adjustRightInd w:val="0"/>
                    <w:snapToGrid w:val="0"/>
                    <w:jc w:val="center"/>
                    <w:rPr>
                      <w:bCs/>
                      <w:color w:val="auto"/>
                      <w:szCs w:val="21"/>
                    </w:rPr>
                  </w:pPr>
                  <w:r>
                    <w:rPr>
                      <w:bCs/>
                      <w:color w:val="auto"/>
                      <w:szCs w:val="21"/>
                    </w:rPr>
                    <w:t>600</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D90C">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4" w:space="0"/>
                    <w:right w:val="single" w:color="auto" w:sz="2" w:space="0"/>
                  </w:tcBorders>
                  <w:shd w:val="clear" w:color="auto" w:fill="auto"/>
                  <w:vAlign w:val="center"/>
                </w:tcPr>
                <w:p w14:paraId="1DA878A5">
                  <w:pPr>
                    <w:adjustRightInd w:val="0"/>
                    <w:snapToGrid w:val="0"/>
                    <w:jc w:val="center"/>
                    <w:rPr>
                      <w:color w:val="auto"/>
                      <w:szCs w:val="21"/>
                    </w:rPr>
                  </w:pPr>
                  <w:r>
                    <w:rPr>
                      <w:color w:val="auto"/>
                      <w:szCs w:val="21"/>
                    </w:rPr>
                    <w:t>3260</w:t>
                  </w:r>
                </w:p>
              </w:tc>
              <w:tc>
                <w:tcPr>
                  <w:tcW w:w="976" w:type="pct"/>
                  <w:vMerge w:val="continue"/>
                  <w:tcBorders>
                    <w:left w:val="single" w:color="auto" w:sz="2" w:space="0"/>
                  </w:tcBorders>
                  <w:shd w:val="clear" w:color="auto" w:fill="auto"/>
                  <w:vAlign w:val="center"/>
                </w:tcPr>
                <w:p w14:paraId="0D4C44AB">
                  <w:pPr>
                    <w:adjustRightInd w:val="0"/>
                    <w:snapToGrid w:val="0"/>
                    <w:jc w:val="center"/>
                    <w:textAlignment w:val="center"/>
                    <w:rPr>
                      <w:color w:val="auto"/>
                      <w:szCs w:val="21"/>
                    </w:rPr>
                  </w:pPr>
                </w:p>
              </w:tc>
            </w:tr>
            <w:tr w14:paraId="29D742AF">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 w:type="pct"/>
                  <w:tcBorders>
                    <w:top w:val="single" w:color="000000" w:sz="4" w:space="0"/>
                    <w:bottom w:val="single" w:color="000000" w:sz="12" w:space="0"/>
                    <w:right w:val="single" w:color="000000" w:sz="4" w:space="0"/>
                  </w:tcBorders>
                  <w:shd w:val="clear" w:color="auto" w:fill="auto"/>
                  <w:noWrap/>
                  <w:vAlign w:val="center"/>
                </w:tcPr>
                <w:p w14:paraId="518AAFF7">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color w:val="auto"/>
                      <w:kern w:val="0"/>
                      <w:szCs w:val="21"/>
                    </w:rPr>
                    <w:t>55</w:t>
                  </w:r>
                </w:p>
              </w:tc>
              <w:tc>
                <w:tcPr>
                  <w:tcW w:w="534"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43F4B8DC">
                  <w:pPr>
                    <w:jc w:val="center"/>
                    <w:rPr>
                      <w:color w:val="auto"/>
                      <w:szCs w:val="21"/>
                    </w:rPr>
                  </w:pPr>
                  <w:r>
                    <w:rPr>
                      <w:color w:val="auto"/>
                      <w:szCs w:val="21"/>
                    </w:rPr>
                    <w:t>高东区</w:t>
                  </w:r>
                </w:p>
              </w:tc>
              <w:tc>
                <w:tcPr>
                  <w:tcW w:w="659"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5B1FA68A">
                  <w:pPr>
                    <w:adjustRightInd w:val="0"/>
                    <w:snapToGrid w:val="0"/>
                    <w:jc w:val="center"/>
                    <w:rPr>
                      <w:bCs/>
                      <w:color w:val="auto"/>
                      <w:szCs w:val="21"/>
                    </w:rPr>
                  </w:pPr>
                  <w:r>
                    <w:rPr>
                      <w:bCs/>
                      <w:color w:val="auto"/>
                      <w:szCs w:val="21"/>
                    </w:rPr>
                    <w:t>703321.09</w:t>
                  </w:r>
                </w:p>
              </w:tc>
              <w:tc>
                <w:tcPr>
                  <w:tcW w:w="667"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374CF294">
                  <w:pPr>
                    <w:adjustRightInd w:val="0"/>
                    <w:snapToGrid w:val="0"/>
                    <w:jc w:val="center"/>
                    <w:rPr>
                      <w:bCs/>
                      <w:color w:val="auto"/>
                      <w:szCs w:val="21"/>
                    </w:rPr>
                  </w:pPr>
                  <w:r>
                    <w:rPr>
                      <w:bCs/>
                      <w:color w:val="auto"/>
                      <w:szCs w:val="21"/>
                    </w:rPr>
                    <w:t>3766484.54</w:t>
                  </w:r>
                </w:p>
              </w:tc>
              <w:tc>
                <w:tcPr>
                  <w:tcW w:w="384"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458FBA95">
                  <w:pPr>
                    <w:jc w:val="center"/>
                    <w:rPr>
                      <w:color w:val="auto"/>
                      <w:kern w:val="0"/>
                      <w:szCs w:val="21"/>
                    </w:rPr>
                  </w:pPr>
                  <w:r>
                    <w:rPr>
                      <w:color w:val="auto"/>
                      <w:szCs w:val="22"/>
                    </w:rPr>
                    <w:t>居民</w:t>
                  </w:r>
                </w:p>
              </w:tc>
              <w:tc>
                <w:tcPr>
                  <w:tcW w:w="488"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3D6D4564">
                  <w:pPr>
                    <w:adjustRightInd w:val="0"/>
                    <w:snapToGrid w:val="0"/>
                    <w:jc w:val="center"/>
                    <w:rPr>
                      <w:bCs/>
                      <w:color w:val="auto"/>
                      <w:szCs w:val="21"/>
                    </w:rPr>
                  </w:pPr>
                  <w:r>
                    <w:rPr>
                      <w:bCs/>
                      <w:color w:val="auto"/>
                      <w:szCs w:val="21"/>
                    </w:rPr>
                    <w:t>800</w:t>
                  </w:r>
                </w:p>
              </w:tc>
              <w:tc>
                <w:tcPr>
                  <w:tcW w:w="432"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7FA1A9F4">
                  <w:pPr>
                    <w:adjustRightInd w:val="0"/>
                    <w:snapToGrid w:val="0"/>
                    <w:jc w:val="center"/>
                    <w:rPr>
                      <w:bCs/>
                      <w:color w:val="auto"/>
                      <w:szCs w:val="21"/>
                    </w:rPr>
                  </w:pPr>
                  <w:r>
                    <w:rPr>
                      <w:bCs/>
                      <w:color w:val="auto"/>
                      <w:szCs w:val="21"/>
                    </w:rPr>
                    <w:t>SE</w:t>
                  </w:r>
                </w:p>
              </w:tc>
              <w:tc>
                <w:tcPr>
                  <w:tcW w:w="600" w:type="pct"/>
                  <w:tcBorders>
                    <w:top w:val="single" w:color="000000" w:sz="4" w:space="0"/>
                    <w:left w:val="single" w:color="000000" w:sz="4" w:space="0"/>
                    <w:bottom w:val="single" w:color="000000" w:sz="12" w:space="0"/>
                    <w:right w:val="single" w:color="auto" w:sz="2" w:space="0"/>
                  </w:tcBorders>
                  <w:shd w:val="clear" w:color="auto" w:fill="auto"/>
                  <w:vAlign w:val="center"/>
                </w:tcPr>
                <w:p w14:paraId="4AB16AC6">
                  <w:pPr>
                    <w:adjustRightInd w:val="0"/>
                    <w:snapToGrid w:val="0"/>
                    <w:jc w:val="center"/>
                    <w:rPr>
                      <w:color w:val="auto"/>
                      <w:szCs w:val="21"/>
                    </w:rPr>
                  </w:pPr>
                  <w:r>
                    <w:rPr>
                      <w:color w:val="auto"/>
                      <w:szCs w:val="21"/>
                    </w:rPr>
                    <w:t>2250</w:t>
                  </w:r>
                </w:p>
              </w:tc>
              <w:tc>
                <w:tcPr>
                  <w:tcW w:w="976" w:type="pct"/>
                  <w:vMerge w:val="continue"/>
                  <w:tcBorders>
                    <w:left w:val="single" w:color="auto" w:sz="2" w:space="0"/>
                  </w:tcBorders>
                  <w:shd w:val="clear" w:color="auto" w:fill="auto"/>
                  <w:vAlign w:val="center"/>
                </w:tcPr>
                <w:p w14:paraId="2E3458C6">
                  <w:pPr>
                    <w:adjustRightInd w:val="0"/>
                    <w:snapToGrid w:val="0"/>
                    <w:jc w:val="center"/>
                    <w:textAlignment w:val="center"/>
                    <w:rPr>
                      <w:color w:val="auto"/>
                      <w:szCs w:val="21"/>
                    </w:rPr>
                  </w:pPr>
                </w:p>
              </w:tc>
            </w:tr>
          </w:tbl>
          <w:p w14:paraId="693988FB">
            <w:pPr>
              <w:pStyle w:val="18"/>
              <w:widowControl w:val="0"/>
              <w:snapToGrid/>
              <w:spacing w:before="0" w:after="0" w:line="360" w:lineRule="auto"/>
              <w:ind w:right="0"/>
              <w:jc w:val="left"/>
              <w:rPr>
                <w:b/>
                <w:color w:val="auto"/>
                <w:kern w:val="2"/>
                <w:sz w:val="24"/>
                <w:szCs w:val="24"/>
              </w:rPr>
            </w:pPr>
            <w:r>
              <w:rPr>
                <w:b/>
                <w:color w:val="auto"/>
                <w:kern w:val="2"/>
                <w:sz w:val="24"/>
                <w:szCs w:val="24"/>
              </w:rPr>
              <w:t>2、声环境</w:t>
            </w:r>
          </w:p>
          <w:p w14:paraId="4C1291D0">
            <w:pPr>
              <w:pStyle w:val="18"/>
              <w:widowControl w:val="0"/>
              <w:snapToGrid/>
              <w:spacing w:before="0" w:after="0" w:line="360" w:lineRule="auto"/>
              <w:ind w:right="0" w:firstLine="480" w:firstLineChars="200"/>
              <w:rPr>
                <w:color w:val="auto"/>
                <w:kern w:val="2"/>
                <w:sz w:val="24"/>
                <w:szCs w:val="24"/>
              </w:rPr>
            </w:pPr>
            <w:r>
              <w:rPr>
                <w:color w:val="auto"/>
                <w:kern w:val="2"/>
                <w:sz w:val="24"/>
                <w:szCs w:val="24"/>
              </w:rPr>
              <w:t>厂界外50米范围内无声环境保护目标。</w:t>
            </w:r>
          </w:p>
          <w:p w14:paraId="04C5C3E8">
            <w:pPr>
              <w:pStyle w:val="18"/>
              <w:widowControl w:val="0"/>
              <w:snapToGrid/>
              <w:spacing w:before="0" w:after="0" w:line="360" w:lineRule="auto"/>
              <w:ind w:right="0"/>
              <w:jc w:val="left"/>
              <w:rPr>
                <w:b/>
                <w:color w:val="auto"/>
                <w:kern w:val="2"/>
                <w:sz w:val="24"/>
                <w:szCs w:val="24"/>
              </w:rPr>
            </w:pPr>
            <w:r>
              <w:rPr>
                <w:b/>
                <w:color w:val="auto"/>
                <w:kern w:val="2"/>
                <w:sz w:val="24"/>
                <w:szCs w:val="24"/>
              </w:rPr>
              <w:t>3、地下水环境</w:t>
            </w:r>
          </w:p>
          <w:p w14:paraId="69D93862">
            <w:pPr>
              <w:pStyle w:val="271"/>
              <w:ind w:firstLine="480"/>
              <w:rPr>
                <w:color w:val="auto"/>
              </w:rPr>
            </w:pPr>
            <w:r>
              <w:rPr>
                <w:color w:val="auto"/>
              </w:rPr>
              <w:t>厂界外500米范围内无地下水集中式饮用水水源和热水、矿泉水、温泉等特殊地下水资源。</w:t>
            </w:r>
          </w:p>
          <w:p w14:paraId="3512DD28">
            <w:pPr>
              <w:pStyle w:val="18"/>
              <w:widowControl w:val="0"/>
              <w:snapToGrid/>
              <w:spacing w:before="0" w:after="0" w:line="360" w:lineRule="auto"/>
              <w:ind w:right="0"/>
              <w:jc w:val="left"/>
              <w:rPr>
                <w:b/>
                <w:color w:val="auto"/>
                <w:kern w:val="2"/>
                <w:sz w:val="24"/>
                <w:szCs w:val="24"/>
              </w:rPr>
            </w:pPr>
            <w:r>
              <w:rPr>
                <w:b/>
                <w:color w:val="auto"/>
                <w:kern w:val="2"/>
                <w:sz w:val="24"/>
                <w:szCs w:val="24"/>
              </w:rPr>
              <w:t>4、生态环境</w:t>
            </w:r>
          </w:p>
          <w:p w14:paraId="3AAC1279">
            <w:pPr>
              <w:pStyle w:val="18"/>
              <w:widowControl w:val="0"/>
              <w:snapToGrid/>
              <w:spacing w:before="0" w:after="0" w:line="360" w:lineRule="auto"/>
              <w:ind w:left="480" w:right="0"/>
              <w:jc w:val="left"/>
              <w:rPr>
                <w:color w:val="auto"/>
                <w:kern w:val="2"/>
                <w:sz w:val="24"/>
                <w:szCs w:val="24"/>
              </w:rPr>
            </w:pPr>
            <w:r>
              <w:rPr>
                <w:color w:val="auto"/>
                <w:kern w:val="2"/>
                <w:sz w:val="24"/>
                <w:szCs w:val="24"/>
              </w:rPr>
              <w:t>项目未新增园区外用地，故无生态环境保护目标。</w:t>
            </w:r>
          </w:p>
        </w:tc>
      </w:tr>
      <w:tr w14:paraId="19605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20" w:type="dxa"/>
            <w:tcMar>
              <w:left w:w="28" w:type="dxa"/>
              <w:right w:w="28" w:type="dxa"/>
            </w:tcMar>
            <w:vAlign w:val="center"/>
          </w:tcPr>
          <w:p w14:paraId="68CA75DD">
            <w:pPr>
              <w:adjustRightInd w:val="0"/>
              <w:snapToGrid w:val="0"/>
              <w:jc w:val="center"/>
              <w:rPr>
                <w:color w:val="auto"/>
                <w:kern w:val="0"/>
                <w:sz w:val="24"/>
              </w:rPr>
            </w:pPr>
            <w:r>
              <w:rPr>
                <w:rFonts w:hint="eastAsia"/>
                <w:color w:val="auto"/>
                <w:kern w:val="0"/>
                <w:sz w:val="24"/>
                <w:lang w:eastAsia="zh-CN"/>
              </w:rPr>
              <w:t>污染物协同控制</w:t>
            </w:r>
            <w:r>
              <w:rPr>
                <w:color w:val="auto"/>
                <w:kern w:val="0"/>
                <w:sz w:val="24"/>
              </w:rPr>
              <w:t>标准</w:t>
            </w:r>
          </w:p>
        </w:tc>
        <w:tc>
          <w:tcPr>
            <w:tcW w:w="8541" w:type="dxa"/>
            <w:vAlign w:val="center"/>
          </w:tcPr>
          <w:p w14:paraId="1F85A991">
            <w:pPr>
              <w:pStyle w:val="5"/>
              <w:keepNext w:val="0"/>
              <w:keepLines w:val="0"/>
              <w:spacing w:before="0" w:after="0" w:line="360" w:lineRule="auto"/>
              <w:ind w:firstLine="482" w:firstLineChars="200"/>
              <w:rPr>
                <w:rFonts w:ascii="Times New Roman" w:hAnsi="Times New Roman" w:eastAsia="宋体" w:cs="Times New Roman"/>
                <w:bCs w:val="0"/>
                <w:color w:val="auto"/>
                <w:sz w:val="24"/>
                <w:szCs w:val="24"/>
              </w:rPr>
            </w:pPr>
            <w:r>
              <w:rPr>
                <w:rFonts w:ascii="Times New Roman" w:hAnsi="Times New Roman" w:eastAsia="宋体" w:cs="Times New Roman"/>
                <w:bCs w:val="0"/>
                <w:color w:val="auto"/>
                <w:sz w:val="24"/>
                <w:szCs w:val="24"/>
              </w:rPr>
              <w:t>1、废气排放标准</w:t>
            </w:r>
          </w:p>
          <w:p w14:paraId="794E3B52">
            <w:pPr>
              <w:adjustRightInd w:val="0"/>
              <w:snapToGrid w:val="0"/>
              <w:spacing w:line="360" w:lineRule="auto"/>
              <w:ind w:firstLine="480" w:firstLineChars="200"/>
              <w:rPr>
                <w:rFonts w:hint="default" w:ascii="Times New Roman" w:hAnsi="Times New Roman" w:cs="Times New Roman"/>
                <w:bCs/>
                <w:color w:val="auto"/>
                <w:kern w:val="0"/>
                <w:sz w:val="24"/>
              </w:rPr>
            </w:pPr>
            <w:r>
              <w:rPr>
                <w:rFonts w:hint="eastAsia" w:eastAsiaTheme="minorEastAsia"/>
                <w:color w:val="auto"/>
                <w:kern w:val="0"/>
                <w:sz w:val="24"/>
                <w:szCs w:val="20"/>
              </w:rPr>
              <w:t>建设</w:t>
            </w:r>
            <w:r>
              <w:rPr>
                <w:rFonts w:eastAsiaTheme="minorEastAsia"/>
                <w:color w:val="auto"/>
                <w:kern w:val="0"/>
                <w:sz w:val="24"/>
                <w:szCs w:val="20"/>
              </w:rPr>
              <w:t>项目</w:t>
            </w:r>
            <w:r>
              <w:rPr>
                <w:rFonts w:hint="eastAsia" w:ascii="宋体" w:hAnsi="宋体" w:cs="宋体"/>
                <w:color w:val="auto"/>
                <w:sz w:val="24"/>
              </w:rPr>
              <w:t>调胶、涂胶、热压、裁边</w:t>
            </w:r>
            <w:r>
              <w:rPr>
                <w:rFonts w:eastAsiaTheme="minorEastAsia"/>
                <w:color w:val="auto"/>
                <w:kern w:val="0"/>
                <w:sz w:val="24"/>
                <w:szCs w:val="20"/>
              </w:rPr>
              <w:t>工序产生的有组织颗粒物、</w:t>
            </w:r>
            <w:r>
              <w:rPr>
                <w:rFonts w:hint="eastAsia" w:eastAsiaTheme="minorEastAsia"/>
                <w:color w:val="auto"/>
                <w:kern w:val="0"/>
                <w:sz w:val="24"/>
                <w:szCs w:val="20"/>
              </w:rPr>
              <w:t>非甲烷总烃、甲醛</w:t>
            </w:r>
            <w:r>
              <w:rPr>
                <w:rFonts w:eastAsiaTheme="minorEastAsia"/>
                <w:color w:val="auto"/>
                <w:kern w:val="0"/>
                <w:sz w:val="24"/>
                <w:szCs w:val="20"/>
              </w:rPr>
              <w:t>，</w:t>
            </w:r>
            <w:r>
              <w:rPr>
                <w:rFonts w:hint="eastAsia" w:eastAsiaTheme="minorEastAsia"/>
                <w:color w:val="auto"/>
                <w:kern w:val="0"/>
                <w:sz w:val="24"/>
                <w:szCs w:val="20"/>
              </w:rPr>
              <w:t>执行</w:t>
            </w:r>
            <w:r>
              <w:rPr>
                <w:rFonts w:hint="eastAsia" w:eastAsiaTheme="minorEastAsia"/>
                <w:color w:val="auto"/>
                <w:sz w:val="24"/>
              </w:rPr>
              <w:t>《木材加工行业大气污染物排放标</w:t>
            </w:r>
            <w:r>
              <w:rPr>
                <w:rFonts w:hint="default" w:ascii="Times New Roman" w:hAnsi="Times New Roman" w:cs="Times New Roman" w:eastAsiaTheme="minorEastAsia"/>
                <w:color w:val="auto"/>
                <w:sz w:val="24"/>
              </w:rPr>
              <w:t>准》（DB32/4436-2022）</w:t>
            </w:r>
            <w:r>
              <w:rPr>
                <w:rFonts w:hint="default" w:ascii="Times New Roman" w:hAnsi="Times New Roman" w:cs="Times New Roman"/>
                <w:color w:val="auto"/>
                <w:kern w:val="0"/>
                <w:sz w:val="24"/>
                <w:szCs w:val="20"/>
              </w:rPr>
              <w:t>表1中标准限值</w:t>
            </w:r>
            <w:r>
              <w:rPr>
                <w:rFonts w:hint="default" w:ascii="Times New Roman" w:hAnsi="Times New Roman" w:cs="Times New Roman"/>
                <w:color w:val="auto"/>
                <w:kern w:val="0"/>
                <w:sz w:val="24"/>
                <w:szCs w:val="20"/>
                <w:lang w:eastAsia="zh-CN"/>
              </w:rPr>
              <w:t>，</w:t>
            </w:r>
            <w:r>
              <w:rPr>
                <w:rFonts w:hint="default" w:ascii="Times New Roman" w:hAnsi="Times New Roman" w:cs="Times New Roman"/>
                <w:bCs/>
                <w:color w:val="auto"/>
                <w:sz w:val="24"/>
              </w:rPr>
              <w:t>氨、臭气浓度执行《恶臭污染物排放标准》表2排气筒排放限值</w:t>
            </w:r>
            <w:r>
              <w:rPr>
                <w:rFonts w:hint="default" w:ascii="Times New Roman" w:hAnsi="Times New Roman" w:cs="Times New Roman"/>
                <w:bCs/>
                <w:color w:val="auto"/>
                <w:kern w:val="0"/>
                <w:sz w:val="24"/>
              </w:rPr>
              <w:t>标准</w:t>
            </w:r>
            <w:r>
              <w:rPr>
                <w:rFonts w:hint="default" w:ascii="Times New Roman" w:hAnsi="Times New Roman" w:cs="Times New Roman"/>
                <w:bCs/>
                <w:color w:val="auto"/>
                <w:kern w:val="0"/>
                <w:sz w:val="24"/>
                <w:lang w:eastAsia="zh-CN"/>
              </w:rPr>
              <w:t>，具体</w:t>
            </w:r>
            <w:r>
              <w:rPr>
                <w:rFonts w:hint="default" w:ascii="Times New Roman" w:hAnsi="Times New Roman" w:cs="Times New Roman"/>
                <w:bCs/>
                <w:color w:val="auto"/>
                <w:kern w:val="0"/>
                <w:sz w:val="24"/>
              </w:rPr>
              <w:t>限值详见表3-4。</w:t>
            </w:r>
          </w:p>
          <w:p w14:paraId="3D5BEB62">
            <w:pPr>
              <w:widowControl/>
              <w:adjustRightInd w:val="0"/>
              <w:snapToGrid w:val="0"/>
              <w:spacing w:line="360" w:lineRule="auto"/>
              <w:ind w:firstLine="480" w:firstLineChars="200"/>
              <w:rPr>
                <w:color w:val="auto"/>
                <w:sz w:val="24"/>
              </w:rPr>
            </w:pPr>
            <w:r>
              <w:rPr>
                <w:rFonts w:hint="default" w:ascii="Times New Roman" w:hAnsi="Times New Roman" w:cs="Times New Roman" w:eastAsiaTheme="minorEastAsia"/>
                <w:color w:val="auto"/>
                <w:kern w:val="0"/>
                <w:sz w:val="24"/>
                <w:szCs w:val="20"/>
              </w:rPr>
              <w:t>建设项目</w:t>
            </w:r>
            <w:r>
              <w:rPr>
                <w:rFonts w:hint="default" w:ascii="Times New Roman" w:hAnsi="Times New Roman" w:cs="Times New Roman" w:eastAsiaTheme="minorEastAsia"/>
                <w:color w:val="auto"/>
                <w:sz w:val="24"/>
              </w:rPr>
              <w:t>厂界无组织颗粒物执行江苏省地方标准《大气污染物综合排放标准》（DB32/4041-2021）表3中标准限值，甲醛、非甲</w:t>
            </w:r>
            <w:r>
              <w:rPr>
                <w:rFonts w:hint="default" w:ascii="Times New Roman" w:hAnsi="Times New Roman" w:cs="Times New Roman" w:eastAsiaTheme="minorEastAsia"/>
                <w:color w:val="auto"/>
                <w:kern w:val="0"/>
                <w:sz w:val="24"/>
                <w:szCs w:val="20"/>
              </w:rPr>
              <w:t>烷总烃</w:t>
            </w:r>
            <w:r>
              <w:rPr>
                <w:rFonts w:hint="default" w:ascii="Times New Roman" w:hAnsi="Times New Roman" w:cs="Times New Roman" w:eastAsiaTheme="minorEastAsia"/>
                <w:color w:val="auto"/>
                <w:sz w:val="24"/>
              </w:rPr>
              <w:t>执行</w:t>
            </w:r>
            <w:r>
              <w:rPr>
                <w:rFonts w:hint="default" w:ascii="Times New Roman" w:hAnsi="Times New Roman" w:cs="Times New Roman" w:eastAsiaTheme="minorEastAsia"/>
                <w:color w:val="auto"/>
                <w:kern w:val="0"/>
                <w:sz w:val="24"/>
                <w:szCs w:val="20"/>
              </w:rPr>
              <w:t>江苏省地方标准</w:t>
            </w:r>
            <w:r>
              <w:rPr>
                <w:rFonts w:hint="default" w:ascii="Times New Roman" w:hAnsi="Times New Roman" w:cs="Times New Roman" w:eastAsiaTheme="minorEastAsia"/>
                <w:color w:val="auto"/>
                <w:sz w:val="24"/>
              </w:rPr>
              <w:t>《木材加工行业大气污染物排放标准》（DB32/4436-2022）表4</w:t>
            </w:r>
            <w:r>
              <w:rPr>
                <w:rFonts w:hint="default" w:ascii="Times New Roman" w:hAnsi="Times New Roman" w:cs="Times New Roman"/>
                <w:color w:val="auto"/>
                <w:kern w:val="0"/>
                <w:sz w:val="24"/>
                <w:szCs w:val="20"/>
              </w:rPr>
              <w:t>中标准限值</w:t>
            </w:r>
            <w:r>
              <w:rPr>
                <w:rFonts w:hint="default" w:ascii="Times New Roman" w:hAnsi="Times New Roman" w:cs="Times New Roman" w:eastAsiaTheme="minorEastAsia"/>
                <w:color w:val="auto"/>
                <w:kern w:val="0"/>
                <w:sz w:val="24"/>
                <w:szCs w:val="20"/>
              </w:rPr>
              <w:t>；同时厂区内</w:t>
            </w:r>
            <w:r>
              <w:rPr>
                <w:rFonts w:hint="default" w:ascii="Times New Roman" w:hAnsi="Times New Roman" w:cs="Times New Roman" w:eastAsiaTheme="minorEastAsia"/>
                <w:color w:val="auto"/>
                <w:sz w:val="24"/>
              </w:rPr>
              <w:t>甲醛、</w:t>
            </w:r>
            <w:r>
              <w:rPr>
                <w:rFonts w:hint="default" w:ascii="Times New Roman" w:hAnsi="Times New Roman" w:cs="Times New Roman" w:eastAsiaTheme="minorEastAsia"/>
                <w:color w:val="auto"/>
                <w:kern w:val="0"/>
                <w:sz w:val="24"/>
                <w:szCs w:val="20"/>
              </w:rPr>
              <w:t>非甲烷总烃执行</w:t>
            </w:r>
            <w:r>
              <w:rPr>
                <w:rFonts w:hint="default" w:ascii="Times New Roman" w:hAnsi="Times New Roman" w:cs="Times New Roman" w:eastAsiaTheme="minorEastAsia"/>
                <w:color w:val="auto"/>
                <w:sz w:val="24"/>
              </w:rPr>
              <w:t>江苏省地方标准</w:t>
            </w:r>
            <w:r>
              <w:rPr>
                <w:rFonts w:hint="default" w:ascii="Times New Roman" w:hAnsi="Times New Roman" w:cs="Times New Roman"/>
                <w:color w:val="auto"/>
                <w:kern w:val="0"/>
                <w:sz w:val="24"/>
                <w:szCs w:val="20"/>
              </w:rPr>
              <w:t>《</w:t>
            </w:r>
            <w:r>
              <w:rPr>
                <w:rFonts w:hint="default" w:ascii="Times New Roman" w:hAnsi="Times New Roman" w:cs="Times New Roman" w:eastAsiaTheme="minorEastAsia"/>
                <w:color w:val="auto"/>
                <w:sz w:val="24"/>
              </w:rPr>
              <w:t>木材加工行业大气污染物排放标准》（DB32/4436-2022）表3</w:t>
            </w:r>
            <w:r>
              <w:rPr>
                <w:rFonts w:hint="default" w:ascii="Times New Roman" w:hAnsi="Times New Roman" w:cs="Times New Roman"/>
                <w:color w:val="auto"/>
                <w:sz w:val="24"/>
              </w:rPr>
              <w:t>中标准限值。</w:t>
            </w:r>
            <w:r>
              <w:rPr>
                <w:rFonts w:hint="default" w:ascii="Times New Roman" w:hAnsi="Times New Roman" w:cs="Times New Roman"/>
                <w:bCs/>
                <w:color w:val="auto"/>
                <w:sz w:val="24"/>
              </w:rPr>
              <w:t>氨、臭气浓度执行《恶臭污染物排放标准》（GB14554-93）表1厂界标准值</w:t>
            </w:r>
            <w:r>
              <w:rPr>
                <w:rFonts w:hint="default" w:ascii="Times New Roman" w:hAnsi="Times New Roman" w:cs="Times New Roman"/>
                <w:bCs/>
                <w:color w:val="auto"/>
                <w:sz w:val="24"/>
                <w:lang w:eastAsia="zh-CN"/>
              </w:rPr>
              <w:t>，</w:t>
            </w:r>
            <w:r>
              <w:rPr>
                <w:rFonts w:hint="default" w:ascii="Times New Roman" w:hAnsi="Times New Roman" w:cs="Times New Roman"/>
                <w:bCs/>
                <w:color w:val="auto"/>
                <w:kern w:val="0"/>
                <w:sz w:val="24"/>
              </w:rPr>
              <w:t>各标准限值详见表3-5。</w:t>
            </w:r>
          </w:p>
          <w:p w14:paraId="1A5D2694">
            <w:pPr>
              <w:widowControl/>
              <w:adjustRightInd w:val="0"/>
              <w:snapToGrid w:val="0"/>
              <w:ind w:firstLine="482" w:firstLineChars="200"/>
              <w:jc w:val="center"/>
              <w:rPr>
                <w:bCs/>
                <w:color w:val="auto"/>
                <w:kern w:val="0"/>
                <w:sz w:val="24"/>
              </w:rPr>
            </w:pPr>
            <w:r>
              <w:rPr>
                <w:b/>
                <w:color w:val="auto"/>
                <w:sz w:val="24"/>
              </w:rPr>
              <w:t>表</w:t>
            </w:r>
            <w:r>
              <w:rPr>
                <w:rFonts w:hint="eastAsia"/>
                <w:b/>
                <w:color w:val="auto"/>
                <w:sz w:val="24"/>
              </w:rPr>
              <w:t>3-4</w:t>
            </w:r>
            <w:r>
              <w:rPr>
                <w:b/>
                <w:color w:val="auto"/>
                <w:sz w:val="24"/>
              </w:rPr>
              <w:t xml:space="preserve">  大气污染物</w:t>
            </w:r>
            <w:r>
              <w:rPr>
                <w:rFonts w:hint="eastAsia"/>
                <w:b/>
                <w:color w:val="auto"/>
                <w:sz w:val="24"/>
              </w:rPr>
              <w:t>有组织</w:t>
            </w:r>
            <w:r>
              <w:rPr>
                <w:b/>
                <w:color w:val="auto"/>
                <w:sz w:val="24"/>
              </w:rPr>
              <w:t>排放标准</w:t>
            </w:r>
          </w:p>
          <w:tbl>
            <w:tblPr>
              <w:tblStyle w:val="4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008"/>
              <w:gridCol w:w="805"/>
              <w:gridCol w:w="813"/>
              <w:gridCol w:w="1219"/>
              <w:gridCol w:w="1035"/>
              <w:gridCol w:w="2520"/>
            </w:tblGrid>
            <w:tr w14:paraId="0B082E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561" w:type="pct"/>
                  <w:tcBorders>
                    <w:top w:val="single" w:color="auto" w:sz="12" w:space="0"/>
                  </w:tcBorders>
                  <w:vAlign w:val="center"/>
                </w:tcPr>
                <w:p w14:paraId="3891F735">
                  <w:pPr>
                    <w:widowControl/>
                    <w:adjustRightInd w:val="0"/>
                    <w:snapToGrid w:val="0"/>
                    <w:jc w:val="center"/>
                    <w:rPr>
                      <w:bCs/>
                      <w:color w:val="auto"/>
                      <w:kern w:val="0"/>
                      <w:sz w:val="32"/>
                      <w:szCs w:val="32"/>
                    </w:rPr>
                  </w:pPr>
                  <w:r>
                    <w:rPr>
                      <w:b/>
                      <w:color w:val="auto"/>
                      <w:kern w:val="0"/>
                      <w:szCs w:val="21"/>
                    </w:rPr>
                    <w:t>排气筒编号</w:t>
                  </w:r>
                </w:p>
              </w:tc>
              <w:tc>
                <w:tcPr>
                  <w:tcW w:w="611" w:type="pct"/>
                  <w:tcBorders>
                    <w:top w:val="single" w:color="auto" w:sz="12" w:space="0"/>
                  </w:tcBorders>
                  <w:vAlign w:val="center"/>
                </w:tcPr>
                <w:p w14:paraId="4D3F37C2">
                  <w:pPr>
                    <w:widowControl/>
                    <w:adjustRightInd w:val="0"/>
                    <w:snapToGrid w:val="0"/>
                    <w:jc w:val="center"/>
                    <w:rPr>
                      <w:b/>
                      <w:color w:val="auto"/>
                      <w:kern w:val="0"/>
                      <w:szCs w:val="21"/>
                    </w:rPr>
                  </w:pPr>
                  <w:r>
                    <w:rPr>
                      <w:b/>
                      <w:color w:val="auto"/>
                      <w:kern w:val="0"/>
                      <w:szCs w:val="21"/>
                    </w:rPr>
                    <w:t>污染物</w:t>
                  </w:r>
                </w:p>
                <w:p w14:paraId="02E79FBF">
                  <w:pPr>
                    <w:widowControl/>
                    <w:adjustRightInd w:val="0"/>
                    <w:snapToGrid w:val="0"/>
                    <w:jc w:val="center"/>
                    <w:rPr>
                      <w:bCs/>
                      <w:color w:val="auto"/>
                      <w:kern w:val="0"/>
                      <w:sz w:val="32"/>
                      <w:szCs w:val="32"/>
                    </w:rPr>
                  </w:pPr>
                  <w:r>
                    <w:rPr>
                      <w:b/>
                      <w:color w:val="auto"/>
                      <w:kern w:val="0"/>
                      <w:szCs w:val="21"/>
                    </w:rPr>
                    <w:t>名称</w:t>
                  </w:r>
                </w:p>
              </w:tc>
              <w:tc>
                <w:tcPr>
                  <w:tcW w:w="489" w:type="pct"/>
                  <w:tcBorders>
                    <w:top w:val="single" w:color="auto" w:sz="12" w:space="0"/>
                  </w:tcBorders>
                  <w:vAlign w:val="center"/>
                </w:tcPr>
                <w:p w14:paraId="235823CB">
                  <w:pPr>
                    <w:widowControl/>
                    <w:adjustRightInd w:val="0"/>
                    <w:snapToGrid w:val="0"/>
                    <w:jc w:val="center"/>
                    <w:rPr>
                      <w:bCs/>
                      <w:color w:val="auto"/>
                      <w:kern w:val="0"/>
                      <w:sz w:val="32"/>
                      <w:szCs w:val="32"/>
                    </w:rPr>
                  </w:pPr>
                  <w:r>
                    <w:rPr>
                      <w:b/>
                      <w:color w:val="auto"/>
                      <w:kern w:val="0"/>
                      <w:szCs w:val="21"/>
                    </w:rPr>
                    <w:t>工序</w:t>
                  </w:r>
                </w:p>
              </w:tc>
              <w:tc>
                <w:tcPr>
                  <w:tcW w:w="460" w:type="pct"/>
                  <w:tcBorders>
                    <w:top w:val="single" w:color="auto" w:sz="12" w:space="0"/>
                  </w:tcBorders>
                  <w:vAlign w:val="center"/>
                </w:tcPr>
                <w:p w14:paraId="2BC2858D">
                  <w:pPr>
                    <w:widowControl/>
                    <w:adjustRightInd w:val="0"/>
                    <w:snapToGrid w:val="0"/>
                    <w:jc w:val="center"/>
                    <w:rPr>
                      <w:bCs/>
                      <w:color w:val="auto"/>
                      <w:kern w:val="0"/>
                      <w:sz w:val="32"/>
                      <w:szCs w:val="32"/>
                    </w:rPr>
                  </w:pPr>
                  <w:r>
                    <w:rPr>
                      <w:b/>
                      <w:color w:val="auto"/>
                      <w:kern w:val="0"/>
                      <w:szCs w:val="21"/>
                    </w:rPr>
                    <w:t>排气筒高度（m）</w:t>
                  </w:r>
                </w:p>
              </w:tc>
              <w:tc>
                <w:tcPr>
                  <w:tcW w:w="733" w:type="pct"/>
                  <w:tcBorders>
                    <w:top w:val="single" w:color="auto" w:sz="12" w:space="0"/>
                  </w:tcBorders>
                  <w:vAlign w:val="center"/>
                </w:tcPr>
                <w:p w14:paraId="4816E43F">
                  <w:pPr>
                    <w:widowControl/>
                    <w:adjustRightInd w:val="0"/>
                    <w:snapToGrid w:val="0"/>
                    <w:jc w:val="center"/>
                    <w:rPr>
                      <w:bCs/>
                      <w:color w:val="auto"/>
                      <w:kern w:val="0"/>
                      <w:sz w:val="32"/>
                      <w:szCs w:val="32"/>
                    </w:rPr>
                  </w:pPr>
                  <w:r>
                    <w:rPr>
                      <w:b/>
                      <w:color w:val="auto"/>
                      <w:kern w:val="0"/>
                      <w:szCs w:val="21"/>
                    </w:rPr>
                    <w:t>最高允许排放浓度（</w:t>
                  </w:r>
                  <w:r>
                    <w:rPr>
                      <w:b/>
                      <w:bCs/>
                      <w:color w:val="auto"/>
                      <w:kern w:val="0"/>
                      <w:szCs w:val="21"/>
                    </w:rPr>
                    <w:t>mg/m</w:t>
                  </w:r>
                  <w:r>
                    <w:rPr>
                      <w:b/>
                      <w:bCs/>
                      <w:color w:val="auto"/>
                      <w:kern w:val="0"/>
                      <w:szCs w:val="21"/>
                      <w:vertAlign w:val="superscript"/>
                    </w:rPr>
                    <w:t>3</w:t>
                  </w:r>
                  <w:r>
                    <w:rPr>
                      <w:b/>
                      <w:color w:val="auto"/>
                      <w:kern w:val="0"/>
                      <w:szCs w:val="21"/>
                    </w:rPr>
                    <w:t>）</w:t>
                  </w:r>
                </w:p>
              </w:tc>
              <w:tc>
                <w:tcPr>
                  <w:tcW w:w="620" w:type="pct"/>
                  <w:tcBorders>
                    <w:top w:val="single" w:color="auto" w:sz="12" w:space="0"/>
                  </w:tcBorders>
                  <w:vAlign w:val="center"/>
                </w:tcPr>
                <w:p w14:paraId="3B760D14">
                  <w:pPr>
                    <w:widowControl/>
                    <w:adjustRightInd w:val="0"/>
                    <w:snapToGrid w:val="0"/>
                    <w:jc w:val="center"/>
                    <w:rPr>
                      <w:b/>
                      <w:color w:val="auto"/>
                      <w:kern w:val="0"/>
                      <w:szCs w:val="21"/>
                    </w:rPr>
                  </w:pPr>
                  <w:r>
                    <w:rPr>
                      <w:rFonts w:ascii="宋体" w:hAnsi="宋体"/>
                      <w:b/>
                      <w:color w:val="auto"/>
                      <w:kern w:val="0"/>
                      <w:szCs w:val="21"/>
                    </w:rPr>
                    <w:t>最高允许排放速率</w:t>
                  </w:r>
                </w:p>
                <w:p w14:paraId="40279A63">
                  <w:pPr>
                    <w:widowControl/>
                    <w:adjustRightInd w:val="0"/>
                    <w:snapToGrid w:val="0"/>
                    <w:jc w:val="center"/>
                    <w:rPr>
                      <w:bCs/>
                      <w:color w:val="auto"/>
                      <w:kern w:val="0"/>
                      <w:sz w:val="32"/>
                      <w:szCs w:val="32"/>
                    </w:rPr>
                  </w:pPr>
                  <w:r>
                    <w:rPr>
                      <w:rFonts w:ascii="宋体" w:hAnsi="宋体"/>
                      <w:b/>
                      <w:color w:val="auto"/>
                      <w:kern w:val="0"/>
                      <w:szCs w:val="21"/>
                    </w:rPr>
                    <w:t>（</w:t>
                  </w:r>
                  <w:r>
                    <w:rPr>
                      <w:b/>
                      <w:color w:val="auto"/>
                      <w:kern w:val="0"/>
                      <w:szCs w:val="21"/>
                    </w:rPr>
                    <w:t>kg/h</w:t>
                  </w:r>
                  <w:r>
                    <w:rPr>
                      <w:rFonts w:ascii="宋体" w:hAnsi="宋体"/>
                      <w:b/>
                      <w:color w:val="auto"/>
                      <w:kern w:val="0"/>
                      <w:szCs w:val="21"/>
                    </w:rPr>
                    <w:t>）</w:t>
                  </w:r>
                </w:p>
              </w:tc>
              <w:tc>
                <w:tcPr>
                  <w:tcW w:w="1523" w:type="pct"/>
                  <w:tcBorders>
                    <w:top w:val="single" w:color="auto" w:sz="12" w:space="0"/>
                  </w:tcBorders>
                  <w:vAlign w:val="center"/>
                </w:tcPr>
                <w:p w14:paraId="4B92B359">
                  <w:pPr>
                    <w:widowControl/>
                    <w:adjustRightInd w:val="0"/>
                    <w:snapToGrid w:val="0"/>
                    <w:jc w:val="center"/>
                    <w:rPr>
                      <w:bCs/>
                      <w:color w:val="auto"/>
                      <w:kern w:val="0"/>
                      <w:sz w:val="32"/>
                      <w:szCs w:val="32"/>
                    </w:rPr>
                  </w:pPr>
                  <w:r>
                    <w:rPr>
                      <w:b/>
                      <w:color w:val="auto"/>
                      <w:kern w:val="0"/>
                      <w:szCs w:val="21"/>
                    </w:rPr>
                    <w:t>标准来源</w:t>
                  </w:r>
                </w:p>
              </w:tc>
            </w:tr>
            <w:tr w14:paraId="178A55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61" w:type="pct"/>
                  <w:vMerge w:val="restart"/>
                  <w:vAlign w:val="center"/>
                </w:tcPr>
                <w:p w14:paraId="75FD4558">
                  <w:pPr>
                    <w:adjustRightInd w:val="0"/>
                    <w:snapToGrid w:val="0"/>
                    <w:jc w:val="center"/>
                    <w:rPr>
                      <w:bCs/>
                      <w:color w:val="auto"/>
                      <w:kern w:val="0"/>
                      <w:sz w:val="32"/>
                      <w:szCs w:val="32"/>
                    </w:rPr>
                  </w:pPr>
                  <w:r>
                    <w:rPr>
                      <w:color w:val="auto"/>
                      <w:kern w:val="0"/>
                      <w:szCs w:val="21"/>
                    </w:rPr>
                    <w:t>DA001</w:t>
                  </w:r>
                </w:p>
              </w:tc>
              <w:tc>
                <w:tcPr>
                  <w:tcW w:w="611" w:type="pct"/>
                  <w:vAlign w:val="center"/>
                </w:tcPr>
                <w:p w14:paraId="3295E89A">
                  <w:pPr>
                    <w:adjustRightInd w:val="0"/>
                    <w:snapToGrid w:val="0"/>
                    <w:jc w:val="center"/>
                    <w:rPr>
                      <w:bCs/>
                      <w:color w:val="auto"/>
                      <w:kern w:val="0"/>
                      <w:sz w:val="32"/>
                      <w:szCs w:val="32"/>
                    </w:rPr>
                  </w:pPr>
                  <w:r>
                    <w:rPr>
                      <w:color w:val="auto"/>
                      <w:kern w:val="0"/>
                      <w:szCs w:val="21"/>
                    </w:rPr>
                    <w:t>颗粒物</w:t>
                  </w:r>
                </w:p>
              </w:tc>
              <w:tc>
                <w:tcPr>
                  <w:tcW w:w="489" w:type="pct"/>
                  <w:vAlign w:val="center"/>
                </w:tcPr>
                <w:p w14:paraId="28FD28FB">
                  <w:pPr>
                    <w:widowControl/>
                    <w:adjustRightInd w:val="0"/>
                    <w:snapToGrid w:val="0"/>
                    <w:jc w:val="both"/>
                    <w:rPr>
                      <w:bCs/>
                      <w:color w:val="auto"/>
                      <w:kern w:val="0"/>
                      <w:sz w:val="32"/>
                      <w:szCs w:val="32"/>
                    </w:rPr>
                  </w:pPr>
                  <w:r>
                    <w:rPr>
                      <w:color w:val="auto"/>
                      <w:kern w:val="0"/>
                      <w:szCs w:val="21"/>
                    </w:rPr>
                    <w:t>调胶</w:t>
                  </w:r>
                </w:p>
              </w:tc>
              <w:tc>
                <w:tcPr>
                  <w:tcW w:w="460" w:type="pct"/>
                  <w:vMerge w:val="restart"/>
                  <w:vAlign w:val="center"/>
                </w:tcPr>
                <w:p w14:paraId="2D6A0EB4">
                  <w:pPr>
                    <w:adjustRightInd w:val="0"/>
                    <w:snapToGrid w:val="0"/>
                    <w:jc w:val="center"/>
                    <w:rPr>
                      <w:bCs/>
                      <w:color w:val="auto"/>
                      <w:kern w:val="0"/>
                      <w:sz w:val="32"/>
                      <w:szCs w:val="32"/>
                    </w:rPr>
                  </w:pPr>
                  <w:r>
                    <w:rPr>
                      <w:rFonts w:hint="eastAsia"/>
                      <w:color w:val="auto"/>
                      <w:szCs w:val="21"/>
                    </w:rPr>
                    <w:t>15</w:t>
                  </w:r>
                </w:p>
              </w:tc>
              <w:tc>
                <w:tcPr>
                  <w:tcW w:w="733" w:type="pct"/>
                  <w:vAlign w:val="center"/>
                </w:tcPr>
                <w:p w14:paraId="177EEFE1">
                  <w:pPr>
                    <w:adjustRightInd w:val="0"/>
                    <w:snapToGrid w:val="0"/>
                    <w:jc w:val="center"/>
                    <w:rPr>
                      <w:bCs/>
                      <w:color w:val="auto"/>
                      <w:kern w:val="0"/>
                      <w:sz w:val="32"/>
                      <w:szCs w:val="32"/>
                    </w:rPr>
                  </w:pPr>
                  <w:r>
                    <w:rPr>
                      <w:color w:val="auto"/>
                      <w:szCs w:val="21"/>
                    </w:rPr>
                    <w:t>15</w:t>
                  </w:r>
                </w:p>
              </w:tc>
              <w:tc>
                <w:tcPr>
                  <w:tcW w:w="620" w:type="pct"/>
                  <w:vAlign w:val="center"/>
                </w:tcPr>
                <w:p w14:paraId="3D2957EB">
                  <w:pPr>
                    <w:adjustRightInd w:val="0"/>
                    <w:snapToGrid w:val="0"/>
                    <w:jc w:val="center"/>
                    <w:rPr>
                      <w:bCs/>
                      <w:color w:val="auto"/>
                      <w:kern w:val="0"/>
                      <w:sz w:val="32"/>
                      <w:szCs w:val="32"/>
                    </w:rPr>
                  </w:pPr>
                  <w:r>
                    <w:rPr>
                      <w:rFonts w:hint="eastAsia"/>
                      <w:color w:val="auto"/>
                      <w:szCs w:val="21"/>
                    </w:rPr>
                    <w:t>/</w:t>
                  </w:r>
                </w:p>
              </w:tc>
              <w:tc>
                <w:tcPr>
                  <w:tcW w:w="1523" w:type="pct"/>
                  <w:vMerge w:val="restart"/>
                  <w:vAlign w:val="center"/>
                </w:tcPr>
                <w:p w14:paraId="6D8DC524">
                  <w:pPr>
                    <w:adjustRightInd w:val="0"/>
                    <w:snapToGrid w:val="0"/>
                    <w:jc w:val="center"/>
                    <w:rPr>
                      <w:bCs/>
                      <w:color w:val="auto"/>
                      <w:kern w:val="0"/>
                      <w:sz w:val="32"/>
                      <w:szCs w:val="32"/>
                    </w:rPr>
                  </w:pPr>
                  <w:r>
                    <w:rPr>
                      <w:color w:val="auto"/>
                      <w:szCs w:val="21"/>
                    </w:rPr>
                    <w:t>江苏省地方标准《木材加工行业大气污染物排放标准》（DB32</w:t>
                  </w:r>
                  <w:r>
                    <w:rPr>
                      <w:rFonts w:hint="eastAsia"/>
                      <w:color w:val="auto"/>
                      <w:szCs w:val="21"/>
                    </w:rPr>
                    <w:t>/</w:t>
                  </w:r>
                  <w:r>
                    <w:rPr>
                      <w:color w:val="auto"/>
                      <w:szCs w:val="21"/>
                    </w:rPr>
                    <w:t>4436-2022）表1</w:t>
                  </w:r>
                </w:p>
              </w:tc>
            </w:tr>
            <w:tr w14:paraId="637E52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1" w:type="pct"/>
                  <w:vMerge w:val="continue"/>
                  <w:vAlign w:val="center"/>
                </w:tcPr>
                <w:p w14:paraId="52128EA2">
                  <w:pPr>
                    <w:widowControl/>
                    <w:jc w:val="left"/>
                    <w:rPr>
                      <w:bCs/>
                      <w:color w:val="auto"/>
                      <w:kern w:val="0"/>
                      <w:sz w:val="32"/>
                      <w:szCs w:val="32"/>
                    </w:rPr>
                  </w:pPr>
                </w:p>
              </w:tc>
              <w:tc>
                <w:tcPr>
                  <w:tcW w:w="611" w:type="pct"/>
                  <w:vAlign w:val="center"/>
                </w:tcPr>
                <w:p w14:paraId="38443944">
                  <w:pPr>
                    <w:adjustRightInd w:val="0"/>
                    <w:snapToGrid w:val="0"/>
                    <w:jc w:val="center"/>
                    <w:rPr>
                      <w:bCs/>
                      <w:color w:val="auto"/>
                      <w:kern w:val="0"/>
                      <w:sz w:val="32"/>
                      <w:szCs w:val="32"/>
                    </w:rPr>
                  </w:pPr>
                  <w:r>
                    <w:rPr>
                      <w:color w:val="auto"/>
                      <w:szCs w:val="21"/>
                    </w:rPr>
                    <w:t>非甲烷总烃</w:t>
                  </w:r>
                </w:p>
              </w:tc>
              <w:tc>
                <w:tcPr>
                  <w:tcW w:w="489" w:type="pct"/>
                  <w:vMerge w:val="restart"/>
                  <w:vAlign w:val="center"/>
                </w:tcPr>
                <w:p w14:paraId="32197216">
                  <w:pPr>
                    <w:widowControl/>
                    <w:adjustRightInd w:val="0"/>
                    <w:snapToGrid w:val="0"/>
                    <w:jc w:val="both"/>
                    <w:rPr>
                      <w:color w:val="auto"/>
                      <w:kern w:val="0"/>
                      <w:szCs w:val="21"/>
                    </w:rPr>
                  </w:pPr>
                  <w:r>
                    <w:rPr>
                      <w:color w:val="auto"/>
                      <w:kern w:val="0"/>
                      <w:szCs w:val="21"/>
                    </w:rPr>
                    <w:t>调胶、涂胶、</w:t>
                  </w:r>
                </w:p>
                <w:p w14:paraId="2DD048F9">
                  <w:pPr>
                    <w:widowControl/>
                    <w:adjustRightInd w:val="0"/>
                    <w:snapToGrid w:val="0"/>
                    <w:jc w:val="both"/>
                    <w:rPr>
                      <w:bCs/>
                      <w:color w:val="auto"/>
                      <w:kern w:val="0"/>
                      <w:sz w:val="32"/>
                      <w:szCs w:val="32"/>
                    </w:rPr>
                  </w:pPr>
                  <w:r>
                    <w:rPr>
                      <w:color w:val="auto"/>
                      <w:szCs w:val="21"/>
                    </w:rPr>
                    <w:t>热压</w:t>
                  </w:r>
                </w:p>
              </w:tc>
              <w:tc>
                <w:tcPr>
                  <w:tcW w:w="460" w:type="pct"/>
                  <w:vMerge w:val="continue"/>
                  <w:vAlign w:val="center"/>
                </w:tcPr>
                <w:p w14:paraId="37D6CFCD">
                  <w:pPr>
                    <w:adjustRightInd w:val="0"/>
                    <w:snapToGrid w:val="0"/>
                    <w:jc w:val="center"/>
                    <w:rPr>
                      <w:bCs/>
                      <w:color w:val="auto"/>
                      <w:kern w:val="0"/>
                      <w:sz w:val="32"/>
                      <w:szCs w:val="32"/>
                    </w:rPr>
                  </w:pPr>
                </w:p>
              </w:tc>
              <w:tc>
                <w:tcPr>
                  <w:tcW w:w="733" w:type="pct"/>
                  <w:vAlign w:val="center"/>
                </w:tcPr>
                <w:p w14:paraId="572B730D">
                  <w:pPr>
                    <w:adjustRightInd w:val="0"/>
                    <w:snapToGrid w:val="0"/>
                    <w:jc w:val="center"/>
                    <w:rPr>
                      <w:bCs/>
                      <w:color w:val="auto"/>
                      <w:kern w:val="0"/>
                      <w:sz w:val="32"/>
                      <w:szCs w:val="32"/>
                    </w:rPr>
                  </w:pPr>
                  <w:r>
                    <w:rPr>
                      <w:color w:val="auto"/>
                      <w:szCs w:val="21"/>
                    </w:rPr>
                    <w:t>40</w:t>
                  </w:r>
                </w:p>
              </w:tc>
              <w:tc>
                <w:tcPr>
                  <w:tcW w:w="620" w:type="pct"/>
                  <w:vAlign w:val="center"/>
                </w:tcPr>
                <w:p w14:paraId="739A90B6">
                  <w:pPr>
                    <w:widowControl/>
                    <w:jc w:val="center"/>
                    <w:rPr>
                      <w:bCs/>
                      <w:color w:val="auto"/>
                      <w:kern w:val="0"/>
                      <w:sz w:val="32"/>
                      <w:szCs w:val="32"/>
                    </w:rPr>
                  </w:pPr>
                  <w:r>
                    <w:rPr>
                      <w:rFonts w:hint="eastAsia"/>
                      <w:color w:val="auto"/>
                      <w:szCs w:val="21"/>
                    </w:rPr>
                    <w:t>/</w:t>
                  </w:r>
                </w:p>
              </w:tc>
              <w:tc>
                <w:tcPr>
                  <w:tcW w:w="1523" w:type="pct"/>
                  <w:vMerge w:val="continue"/>
                  <w:vAlign w:val="center"/>
                </w:tcPr>
                <w:p w14:paraId="3B764E3C">
                  <w:pPr>
                    <w:widowControl/>
                    <w:jc w:val="left"/>
                    <w:rPr>
                      <w:bCs/>
                      <w:color w:val="auto"/>
                      <w:kern w:val="0"/>
                      <w:sz w:val="32"/>
                      <w:szCs w:val="32"/>
                    </w:rPr>
                  </w:pPr>
                </w:p>
              </w:tc>
            </w:tr>
            <w:tr w14:paraId="7B29A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61" w:type="pct"/>
                  <w:vMerge w:val="continue"/>
                  <w:vAlign w:val="center"/>
                </w:tcPr>
                <w:p w14:paraId="25DB8D53">
                  <w:pPr>
                    <w:adjustRightInd w:val="0"/>
                    <w:snapToGrid w:val="0"/>
                    <w:jc w:val="center"/>
                    <w:rPr>
                      <w:bCs/>
                      <w:color w:val="auto"/>
                      <w:kern w:val="0"/>
                      <w:sz w:val="32"/>
                      <w:szCs w:val="32"/>
                    </w:rPr>
                  </w:pPr>
                </w:p>
              </w:tc>
              <w:tc>
                <w:tcPr>
                  <w:tcW w:w="611" w:type="pct"/>
                  <w:vAlign w:val="center"/>
                </w:tcPr>
                <w:p w14:paraId="1B14532D">
                  <w:pPr>
                    <w:adjustRightInd w:val="0"/>
                    <w:snapToGrid w:val="0"/>
                    <w:jc w:val="center"/>
                    <w:rPr>
                      <w:bCs/>
                      <w:color w:val="auto"/>
                      <w:kern w:val="0"/>
                      <w:sz w:val="32"/>
                      <w:szCs w:val="32"/>
                    </w:rPr>
                  </w:pPr>
                  <w:r>
                    <w:rPr>
                      <w:color w:val="auto"/>
                      <w:szCs w:val="21"/>
                    </w:rPr>
                    <w:t>甲醛</w:t>
                  </w:r>
                </w:p>
              </w:tc>
              <w:tc>
                <w:tcPr>
                  <w:tcW w:w="489" w:type="pct"/>
                  <w:vMerge w:val="continue"/>
                  <w:vAlign w:val="center"/>
                </w:tcPr>
                <w:p w14:paraId="560643BB">
                  <w:pPr>
                    <w:widowControl/>
                    <w:adjustRightInd w:val="0"/>
                    <w:snapToGrid w:val="0"/>
                    <w:jc w:val="both"/>
                    <w:rPr>
                      <w:bCs/>
                      <w:color w:val="auto"/>
                      <w:kern w:val="0"/>
                      <w:sz w:val="32"/>
                      <w:szCs w:val="32"/>
                    </w:rPr>
                  </w:pPr>
                </w:p>
              </w:tc>
              <w:tc>
                <w:tcPr>
                  <w:tcW w:w="460" w:type="pct"/>
                  <w:vMerge w:val="continue"/>
                  <w:vAlign w:val="center"/>
                </w:tcPr>
                <w:p w14:paraId="50F5C2FA">
                  <w:pPr>
                    <w:adjustRightInd w:val="0"/>
                    <w:snapToGrid w:val="0"/>
                    <w:jc w:val="center"/>
                    <w:rPr>
                      <w:bCs/>
                      <w:color w:val="auto"/>
                      <w:kern w:val="0"/>
                      <w:sz w:val="32"/>
                      <w:szCs w:val="32"/>
                    </w:rPr>
                  </w:pPr>
                </w:p>
              </w:tc>
              <w:tc>
                <w:tcPr>
                  <w:tcW w:w="733" w:type="pct"/>
                  <w:vAlign w:val="center"/>
                </w:tcPr>
                <w:p w14:paraId="0163474D">
                  <w:pPr>
                    <w:adjustRightInd w:val="0"/>
                    <w:snapToGrid w:val="0"/>
                    <w:jc w:val="center"/>
                    <w:rPr>
                      <w:bCs/>
                      <w:color w:val="auto"/>
                      <w:kern w:val="0"/>
                      <w:sz w:val="32"/>
                      <w:szCs w:val="32"/>
                    </w:rPr>
                  </w:pPr>
                  <w:r>
                    <w:rPr>
                      <w:color w:val="auto"/>
                      <w:szCs w:val="21"/>
                    </w:rPr>
                    <w:t>4</w:t>
                  </w:r>
                </w:p>
              </w:tc>
              <w:tc>
                <w:tcPr>
                  <w:tcW w:w="620" w:type="pct"/>
                  <w:vAlign w:val="center"/>
                </w:tcPr>
                <w:p w14:paraId="0EE1968C">
                  <w:pPr>
                    <w:widowControl/>
                    <w:jc w:val="center"/>
                    <w:rPr>
                      <w:bCs/>
                      <w:color w:val="auto"/>
                      <w:kern w:val="0"/>
                      <w:sz w:val="32"/>
                      <w:szCs w:val="32"/>
                    </w:rPr>
                  </w:pPr>
                  <w:r>
                    <w:rPr>
                      <w:rFonts w:hint="eastAsia"/>
                      <w:color w:val="auto"/>
                      <w:szCs w:val="21"/>
                    </w:rPr>
                    <w:t>/</w:t>
                  </w:r>
                </w:p>
              </w:tc>
              <w:tc>
                <w:tcPr>
                  <w:tcW w:w="1523" w:type="pct"/>
                  <w:vMerge w:val="continue"/>
                  <w:vAlign w:val="center"/>
                </w:tcPr>
                <w:p w14:paraId="6DA8E587">
                  <w:pPr>
                    <w:widowControl/>
                    <w:jc w:val="left"/>
                    <w:rPr>
                      <w:bCs/>
                      <w:color w:val="auto"/>
                      <w:kern w:val="0"/>
                      <w:sz w:val="32"/>
                      <w:szCs w:val="32"/>
                    </w:rPr>
                  </w:pPr>
                </w:p>
              </w:tc>
            </w:tr>
            <w:tr w14:paraId="1BEC45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pct"/>
                  <w:vMerge w:val="restart"/>
                  <w:vAlign w:val="center"/>
                </w:tcPr>
                <w:p w14:paraId="77D47095">
                  <w:pPr>
                    <w:widowControl/>
                    <w:jc w:val="center"/>
                    <w:rPr>
                      <w:rFonts w:hint="eastAsia" w:eastAsia="宋体"/>
                      <w:bCs/>
                      <w:color w:val="auto"/>
                      <w:kern w:val="0"/>
                      <w:sz w:val="32"/>
                      <w:szCs w:val="32"/>
                      <w:lang w:eastAsia="zh-CN"/>
                    </w:rPr>
                  </w:pPr>
                  <w:r>
                    <w:rPr>
                      <w:color w:val="auto"/>
                      <w:kern w:val="0"/>
                      <w:szCs w:val="21"/>
                    </w:rPr>
                    <w:t>DA00</w:t>
                  </w:r>
                  <w:r>
                    <w:rPr>
                      <w:rFonts w:hint="eastAsia"/>
                      <w:color w:val="auto"/>
                      <w:kern w:val="0"/>
                      <w:szCs w:val="21"/>
                      <w:lang w:val="en-US" w:eastAsia="zh-CN"/>
                    </w:rPr>
                    <w:t>2</w:t>
                  </w:r>
                </w:p>
              </w:tc>
              <w:tc>
                <w:tcPr>
                  <w:tcW w:w="611" w:type="pct"/>
                  <w:vAlign w:val="center"/>
                </w:tcPr>
                <w:p w14:paraId="06D5DA8F">
                  <w:pPr>
                    <w:adjustRightInd w:val="0"/>
                    <w:snapToGrid w:val="0"/>
                    <w:jc w:val="center"/>
                    <w:rPr>
                      <w:bCs/>
                      <w:color w:val="auto"/>
                      <w:kern w:val="0"/>
                      <w:sz w:val="32"/>
                      <w:szCs w:val="32"/>
                    </w:rPr>
                  </w:pPr>
                  <w:r>
                    <w:rPr>
                      <w:color w:val="auto"/>
                      <w:kern w:val="0"/>
                      <w:szCs w:val="21"/>
                    </w:rPr>
                    <w:t>颗粒物</w:t>
                  </w:r>
                </w:p>
              </w:tc>
              <w:tc>
                <w:tcPr>
                  <w:tcW w:w="489" w:type="pct"/>
                  <w:vAlign w:val="center"/>
                </w:tcPr>
                <w:p w14:paraId="23B12F23">
                  <w:pPr>
                    <w:widowControl/>
                    <w:adjustRightInd w:val="0"/>
                    <w:snapToGrid w:val="0"/>
                    <w:jc w:val="both"/>
                    <w:rPr>
                      <w:bCs/>
                      <w:color w:val="auto"/>
                      <w:kern w:val="0"/>
                      <w:sz w:val="32"/>
                      <w:szCs w:val="32"/>
                    </w:rPr>
                  </w:pPr>
                  <w:r>
                    <w:rPr>
                      <w:rFonts w:hint="eastAsia"/>
                      <w:color w:val="auto"/>
                      <w:szCs w:val="21"/>
                    </w:rPr>
                    <w:t>旋切、锯切、砂光</w:t>
                  </w:r>
                </w:p>
              </w:tc>
              <w:tc>
                <w:tcPr>
                  <w:tcW w:w="460" w:type="pct"/>
                  <w:vMerge w:val="restart"/>
                  <w:vAlign w:val="center"/>
                </w:tcPr>
                <w:p w14:paraId="65809699">
                  <w:pPr>
                    <w:adjustRightInd w:val="0"/>
                    <w:snapToGrid w:val="0"/>
                    <w:jc w:val="center"/>
                    <w:rPr>
                      <w:bCs/>
                      <w:color w:val="auto"/>
                      <w:kern w:val="0"/>
                      <w:sz w:val="32"/>
                      <w:szCs w:val="32"/>
                    </w:rPr>
                  </w:pPr>
                  <w:r>
                    <w:rPr>
                      <w:rFonts w:hint="eastAsia"/>
                      <w:color w:val="auto"/>
                      <w:szCs w:val="21"/>
                    </w:rPr>
                    <w:t>15</w:t>
                  </w:r>
                </w:p>
              </w:tc>
              <w:tc>
                <w:tcPr>
                  <w:tcW w:w="733" w:type="pct"/>
                  <w:vAlign w:val="center"/>
                </w:tcPr>
                <w:p w14:paraId="35AA1211">
                  <w:pPr>
                    <w:adjustRightInd w:val="0"/>
                    <w:snapToGrid w:val="0"/>
                    <w:jc w:val="center"/>
                    <w:rPr>
                      <w:bCs/>
                      <w:color w:val="auto"/>
                      <w:kern w:val="0"/>
                      <w:sz w:val="32"/>
                      <w:szCs w:val="32"/>
                    </w:rPr>
                  </w:pPr>
                  <w:r>
                    <w:rPr>
                      <w:color w:val="auto"/>
                      <w:szCs w:val="21"/>
                    </w:rPr>
                    <w:t>15</w:t>
                  </w:r>
                </w:p>
              </w:tc>
              <w:tc>
                <w:tcPr>
                  <w:tcW w:w="620" w:type="pct"/>
                  <w:vAlign w:val="center"/>
                </w:tcPr>
                <w:p w14:paraId="026D15F2">
                  <w:pPr>
                    <w:widowControl/>
                    <w:jc w:val="center"/>
                    <w:rPr>
                      <w:bCs/>
                      <w:color w:val="auto"/>
                      <w:kern w:val="0"/>
                      <w:sz w:val="32"/>
                      <w:szCs w:val="32"/>
                    </w:rPr>
                  </w:pPr>
                  <w:r>
                    <w:rPr>
                      <w:rFonts w:hint="eastAsia"/>
                      <w:color w:val="auto"/>
                      <w:szCs w:val="21"/>
                    </w:rPr>
                    <w:t>/</w:t>
                  </w:r>
                </w:p>
              </w:tc>
              <w:tc>
                <w:tcPr>
                  <w:tcW w:w="1523" w:type="pct"/>
                  <w:vAlign w:val="center"/>
                </w:tcPr>
                <w:p w14:paraId="48E99DAB">
                  <w:pPr>
                    <w:widowControl/>
                    <w:jc w:val="left"/>
                    <w:rPr>
                      <w:bCs/>
                      <w:color w:val="auto"/>
                      <w:kern w:val="0"/>
                      <w:sz w:val="32"/>
                      <w:szCs w:val="32"/>
                    </w:rPr>
                  </w:pPr>
                  <w:r>
                    <w:rPr>
                      <w:color w:val="auto"/>
                      <w:szCs w:val="21"/>
                    </w:rPr>
                    <w:t>江苏省地方标准《木材加工行业大气污染物排放标准》（DB32</w:t>
                  </w:r>
                  <w:r>
                    <w:rPr>
                      <w:rFonts w:hint="eastAsia"/>
                      <w:color w:val="auto"/>
                      <w:szCs w:val="21"/>
                    </w:rPr>
                    <w:t>/</w:t>
                  </w:r>
                  <w:r>
                    <w:rPr>
                      <w:color w:val="auto"/>
                      <w:szCs w:val="21"/>
                    </w:rPr>
                    <w:t>4436-2022）表1</w:t>
                  </w:r>
                </w:p>
              </w:tc>
            </w:tr>
            <w:tr w14:paraId="476649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pct"/>
                  <w:vMerge w:val="continue"/>
                  <w:vAlign w:val="center"/>
                </w:tcPr>
                <w:p w14:paraId="77693E5A">
                  <w:pPr>
                    <w:widowControl/>
                    <w:jc w:val="center"/>
                    <w:rPr>
                      <w:color w:val="auto"/>
                      <w:kern w:val="0"/>
                      <w:szCs w:val="21"/>
                    </w:rPr>
                  </w:pPr>
                  <w:bookmarkStart w:id="29" w:name="_Hlk129944707"/>
                </w:p>
              </w:tc>
              <w:tc>
                <w:tcPr>
                  <w:tcW w:w="611" w:type="pct"/>
                  <w:vAlign w:val="center"/>
                </w:tcPr>
                <w:p w14:paraId="19581A62">
                  <w:pPr>
                    <w:adjustRightInd w:val="0"/>
                    <w:snapToGrid w:val="0"/>
                    <w:jc w:val="center"/>
                    <w:rPr>
                      <w:rFonts w:hint="eastAsia" w:eastAsia="宋体"/>
                      <w:color w:val="auto"/>
                      <w:kern w:val="0"/>
                      <w:szCs w:val="21"/>
                      <w:lang w:eastAsia="zh-CN"/>
                    </w:rPr>
                  </w:pPr>
                  <w:r>
                    <w:rPr>
                      <w:rFonts w:hint="eastAsia"/>
                      <w:color w:val="auto"/>
                      <w:kern w:val="0"/>
                      <w:szCs w:val="21"/>
                      <w:lang w:eastAsia="zh-CN"/>
                    </w:rPr>
                    <w:t>氨</w:t>
                  </w:r>
                </w:p>
              </w:tc>
              <w:tc>
                <w:tcPr>
                  <w:tcW w:w="489" w:type="pct"/>
                  <w:vAlign w:val="center"/>
                </w:tcPr>
                <w:p w14:paraId="46A4725C">
                  <w:pPr>
                    <w:widowControl/>
                    <w:adjustRightInd w:val="0"/>
                    <w:snapToGrid w:val="0"/>
                    <w:jc w:val="both"/>
                    <w:rPr>
                      <w:rFonts w:hint="eastAsia" w:eastAsia="宋体"/>
                      <w:color w:val="auto"/>
                      <w:szCs w:val="21"/>
                      <w:lang w:eastAsia="zh-CN"/>
                    </w:rPr>
                  </w:pPr>
                  <w:r>
                    <w:rPr>
                      <w:rFonts w:hint="eastAsia"/>
                      <w:color w:val="auto"/>
                      <w:szCs w:val="21"/>
                      <w:lang w:eastAsia="zh-CN"/>
                    </w:rPr>
                    <w:t>热压</w:t>
                  </w:r>
                </w:p>
              </w:tc>
              <w:tc>
                <w:tcPr>
                  <w:tcW w:w="460" w:type="pct"/>
                  <w:vMerge w:val="continue"/>
                  <w:vAlign w:val="center"/>
                </w:tcPr>
                <w:p w14:paraId="3AB7FD2A">
                  <w:pPr>
                    <w:adjustRightInd w:val="0"/>
                    <w:snapToGrid w:val="0"/>
                    <w:jc w:val="center"/>
                    <w:rPr>
                      <w:rFonts w:hint="eastAsia"/>
                      <w:color w:val="auto"/>
                      <w:szCs w:val="21"/>
                    </w:rPr>
                  </w:pPr>
                </w:p>
              </w:tc>
              <w:tc>
                <w:tcPr>
                  <w:tcW w:w="733" w:type="pct"/>
                  <w:vAlign w:val="center"/>
                </w:tcPr>
                <w:p w14:paraId="62E632A5">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620" w:type="pct"/>
                  <w:vAlign w:val="center"/>
                </w:tcPr>
                <w:p w14:paraId="12266DB6">
                  <w:pPr>
                    <w:adjustRightInd w:val="0"/>
                    <w:snapToGrid w:val="0"/>
                    <w:jc w:val="center"/>
                    <w:rPr>
                      <w:rFonts w:hint="eastAsia"/>
                      <w:color w:val="auto"/>
                      <w:szCs w:val="21"/>
                    </w:rPr>
                  </w:pPr>
                  <w:r>
                    <w:rPr>
                      <w:rFonts w:hint="eastAsia"/>
                      <w:color w:val="auto"/>
                      <w:szCs w:val="21"/>
                    </w:rPr>
                    <w:t>4.9</w:t>
                  </w:r>
                </w:p>
              </w:tc>
              <w:tc>
                <w:tcPr>
                  <w:tcW w:w="1523" w:type="pct"/>
                  <w:vMerge w:val="restart"/>
                  <w:vAlign w:val="center"/>
                </w:tcPr>
                <w:p w14:paraId="68B78DB6">
                  <w:pPr>
                    <w:widowControl/>
                    <w:jc w:val="left"/>
                    <w:rPr>
                      <w:color w:val="auto"/>
                      <w:szCs w:val="21"/>
                    </w:rPr>
                  </w:pPr>
                  <w:r>
                    <w:rPr>
                      <w:rFonts w:hint="eastAsia"/>
                      <w:color w:val="auto"/>
                      <w:sz w:val="21"/>
                      <w:szCs w:val="21"/>
                    </w:rPr>
                    <w:t>《恶臭污染物排放标准》</w:t>
                  </w:r>
                  <w:r>
                    <w:rPr>
                      <w:rFonts w:hint="default" w:ascii="Times New Roman" w:hAnsi="Times New Roman" w:cs="Times New Roman"/>
                      <w:bCs/>
                      <w:color w:val="auto"/>
                      <w:sz w:val="21"/>
                      <w:szCs w:val="21"/>
                    </w:rPr>
                    <w:t>（GB14554-93）</w:t>
                  </w:r>
                  <w:r>
                    <w:rPr>
                      <w:rFonts w:hint="eastAsia"/>
                      <w:color w:val="auto"/>
                      <w:sz w:val="21"/>
                      <w:szCs w:val="21"/>
                    </w:rPr>
                    <w:t>表2</w:t>
                  </w:r>
                </w:p>
              </w:tc>
            </w:tr>
            <w:tr w14:paraId="647C1E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1" w:type="pct"/>
                  <w:vMerge w:val="continue"/>
                  <w:tcBorders>
                    <w:bottom w:val="single" w:color="auto" w:sz="12" w:space="0"/>
                  </w:tcBorders>
                  <w:vAlign w:val="center"/>
                </w:tcPr>
                <w:p w14:paraId="4FE90EEA">
                  <w:pPr>
                    <w:widowControl/>
                    <w:jc w:val="center"/>
                    <w:rPr>
                      <w:color w:val="auto"/>
                      <w:kern w:val="0"/>
                      <w:szCs w:val="21"/>
                    </w:rPr>
                  </w:pPr>
                </w:p>
              </w:tc>
              <w:tc>
                <w:tcPr>
                  <w:tcW w:w="611" w:type="pct"/>
                  <w:tcBorders>
                    <w:bottom w:val="single" w:color="auto" w:sz="12" w:space="0"/>
                  </w:tcBorders>
                  <w:vAlign w:val="center"/>
                </w:tcPr>
                <w:p w14:paraId="21F3E7EF">
                  <w:pPr>
                    <w:adjustRightInd w:val="0"/>
                    <w:snapToGrid w:val="0"/>
                    <w:jc w:val="center"/>
                    <w:rPr>
                      <w:rFonts w:hint="eastAsia" w:eastAsia="宋体"/>
                      <w:color w:val="auto"/>
                      <w:kern w:val="0"/>
                      <w:szCs w:val="21"/>
                      <w:lang w:eastAsia="zh-CN"/>
                    </w:rPr>
                  </w:pPr>
                  <w:r>
                    <w:rPr>
                      <w:rFonts w:hint="eastAsia"/>
                      <w:color w:val="auto"/>
                      <w:kern w:val="0"/>
                      <w:szCs w:val="21"/>
                      <w:lang w:eastAsia="zh-CN"/>
                    </w:rPr>
                    <w:t>臭气浓度</w:t>
                  </w:r>
                </w:p>
              </w:tc>
              <w:tc>
                <w:tcPr>
                  <w:tcW w:w="489" w:type="pct"/>
                  <w:tcBorders>
                    <w:bottom w:val="single" w:color="auto" w:sz="12" w:space="0"/>
                  </w:tcBorders>
                  <w:vAlign w:val="center"/>
                </w:tcPr>
                <w:p w14:paraId="4ABE25AC">
                  <w:pPr>
                    <w:widowControl/>
                    <w:adjustRightInd w:val="0"/>
                    <w:snapToGrid w:val="0"/>
                    <w:jc w:val="both"/>
                    <w:rPr>
                      <w:rFonts w:hint="eastAsia"/>
                      <w:color w:val="auto"/>
                      <w:szCs w:val="21"/>
                    </w:rPr>
                  </w:pPr>
                  <w:r>
                    <w:rPr>
                      <w:rFonts w:hint="eastAsia"/>
                      <w:color w:val="auto"/>
                      <w:szCs w:val="21"/>
                      <w:lang w:eastAsia="zh-CN"/>
                    </w:rPr>
                    <w:t>热压</w:t>
                  </w:r>
                </w:p>
              </w:tc>
              <w:tc>
                <w:tcPr>
                  <w:tcW w:w="460" w:type="pct"/>
                  <w:vMerge w:val="continue"/>
                  <w:tcBorders>
                    <w:bottom w:val="single" w:color="auto" w:sz="12" w:space="0"/>
                  </w:tcBorders>
                  <w:vAlign w:val="center"/>
                </w:tcPr>
                <w:p w14:paraId="3FD7E0EA">
                  <w:pPr>
                    <w:adjustRightInd w:val="0"/>
                    <w:snapToGrid w:val="0"/>
                    <w:jc w:val="center"/>
                    <w:rPr>
                      <w:rFonts w:hint="eastAsia"/>
                      <w:color w:val="auto"/>
                      <w:szCs w:val="21"/>
                    </w:rPr>
                  </w:pPr>
                </w:p>
              </w:tc>
              <w:tc>
                <w:tcPr>
                  <w:tcW w:w="733" w:type="pct"/>
                  <w:tcBorders>
                    <w:bottom w:val="single" w:color="auto" w:sz="12" w:space="0"/>
                  </w:tcBorders>
                  <w:vAlign w:val="center"/>
                </w:tcPr>
                <w:p w14:paraId="5D5599DC">
                  <w:pPr>
                    <w:adjustRightInd w:val="0"/>
                    <w:snapToGrid w:val="0"/>
                    <w:jc w:val="center"/>
                    <w:rPr>
                      <w:color w:val="auto"/>
                      <w:szCs w:val="21"/>
                    </w:rPr>
                  </w:pPr>
                  <w:r>
                    <w:rPr>
                      <w:rFonts w:hint="eastAsia"/>
                      <w:color w:val="auto"/>
                      <w:szCs w:val="21"/>
                    </w:rPr>
                    <w:t>2</w:t>
                  </w:r>
                  <w:r>
                    <w:rPr>
                      <w:color w:val="auto"/>
                      <w:szCs w:val="21"/>
                    </w:rPr>
                    <w:t>000</w:t>
                  </w:r>
                  <w:r>
                    <w:rPr>
                      <w:rFonts w:hint="eastAsia"/>
                      <w:color w:val="auto"/>
                      <w:szCs w:val="21"/>
                    </w:rPr>
                    <w:t>（无量纲）</w:t>
                  </w:r>
                </w:p>
              </w:tc>
              <w:tc>
                <w:tcPr>
                  <w:tcW w:w="620" w:type="pct"/>
                  <w:tcBorders>
                    <w:bottom w:val="single" w:color="auto" w:sz="12" w:space="0"/>
                  </w:tcBorders>
                  <w:vAlign w:val="center"/>
                </w:tcPr>
                <w:p w14:paraId="5401E49A">
                  <w:pPr>
                    <w:adjustRightInd w:val="0"/>
                    <w:snapToGrid w:val="0"/>
                    <w:jc w:val="center"/>
                    <w:rPr>
                      <w:rFonts w:hint="eastAsia"/>
                      <w:color w:val="auto"/>
                      <w:szCs w:val="21"/>
                    </w:rPr>
                  </w:pPr>
                </w:p>
              </w:tc>
              <w:tc>
                <w:tcPr>
                  <w:tcW w:w="1523" w:type="pct"/>
                  <w:vMerge w:val="continue"/>
                  <w:tcBorders>
                    <w:bottom w:val="single" w:color="auto" w:sz="12" w:space="0"/>
                  </w:tcBorders>
                  <w:vAlign w:val="center"/>
                </w:tcPr>
                <w:p w14:paraId="3A5D28F2">
                  <w:pPr>
                    <w:widowControl/>
                    <w:jc w:val="left"/>
                    <w:rPr>
                      <w:color w:val="auto"/>
                      <w:szCs w:val="21"/>
                    </w:rPr>
                  </w:pPr>
                </w:p>
              </w:tc>
            </w:tr>
          </w:tbl>
          <w:p w14:paraId="6F0217CB">
            <w:pPr>
              <w:adjustRightInd w:val="0"/>
              <w:snapToGrid w:val="0"/>
              <w:jc w:val="left"/>
              <w:rPr>
                <w:rFonts w:eastAsiaTheme="minorEastAsia"/>
                <w:color w:val="auto"/>
                <w:sz w:val="18"/>
                <w:szCs w:val="18"/>
              </w:rPr>
            </w:pPr>
            <w:r>
              <w:rPr>
                <w:rFonts w:eastAsiaTheme="minorEastAsia"/>
                <w:color w:val="auto"/>
                <w:sz w:val="18"/>
                <w:szCs w:val="18"/>
              </w:rPr>
              <w:t>注：</w:t>
            </w:r>
            <w:r>
              <w:rPr>
                <w:rFonts w:hint="eastAsia" w:eastAsiaTheme="minorEastAsia"/>
                <w:color w:val="auto"/>
                <w:sz w:val="18"/>
                <w:szCs w:val="18"/>
              </w:rPr>
              <w:t>建设</w:t>
            </w:r>
            <w:r>
              <w:rPr>
                <w:rFonts w:eastAsiaTheme="minorEastAsia"/>
                <w:color w:val="auto"/>
                <w:sz w:val="18"/>
                <w:szCs w:val="18"/>
              </w:rPr>
              <w:t>项目15m高排气筒高度高出周围200m半径范围内的建筑5米以上。</w:t>
            </w:r>
          </w:p>
          <w:p w14:paraId="05CB8F40">
            <w:pPr>
              <w:widowControl/>
              <w:adjustRightInd w:val="0"/>
              <w:snapToGrid w:val="0"/>
              <w:spacing w:before="120" w:beforeLines="50"/>
              <w:jc w:val="center"/>
              <w:rPr>
                <w:b/>
                <w:color w:val="auto"/>
                <w:sz w:val="24"/>
              </w:rPr>
            </w:pPr>
          </w:p>
          <w:p w14:paraId="155DE76A">
            <w:pPr>
              <w:widowControl/>
              <w:adjustRightInd w:val="0"/>
              <w:snapToGrid w:val="0"/>
              <w:spacing w:before="120" w:beforeLines="50"/>
              <w:jc w:val="center"/>
              <w:rPr>
                <w:b/>
                <w:color w:val="auto"/>
                <w:sz w:val="24"/>
              </w:rPr>
            </w:pPr>
          </w:p>
          <w:p w14:paraId="76D36081">
            <w:pPr>
              <w:widowControl/>
              <w:adjustRightInd w:val="0"/>
              <w:snapToGrid w:val="0"/>
              <w:spacing w:before="120" w:beforeLines="50"/>
              <w:jc w:val="center"/>
              <w:rPr>
                <w:b/>
                <w:color w:val="auto"/>
                <w:sz w:val="24"/>
              </w:rPr>
            </w:pPr>
          </w:p>
          <w:p w14:paraId="1CA87B9C">
            <w:pPr>
              <w:widowControl/>
              <w:adjustRightInd w:val="0"/>
              <w:snapToGrid w:val="0"/>
              <w:spacing w:before="120" w:beforeLines="50"/>
              <w:jc w:val="center"/>
              <w:rPr>
                <w:b/>
                <w:color w:val="auto"/>
                <w:sz w:val="24"/>
              </w:rPr>
            </w:pPr>
          </w:p>
          <w:p w14:paraId="3233572A">
            <w:pPr>
              <w:widowControl/>
              <w:adjustRightInd w:val="0"/>
              <w:snapToGrid w:val="0"/>
              <w:spacing w:before="120" w:beforeLines="50"/>
              <w:jc w:val="center"/>
              <w:rPr>
                <w:b/>
                <w:color w:val="auto"/>
                <w:sz w:val="24"/>
              </w:rPr>
            </w:pPr>
          </w:p>
          <w:p w14:paraId="1F9F982C">
            <w:pPr>
              <w:widowControl/>
              <w:adjustRightInd w:val="0"/>
              <w:snapToGrid w:val="0"/>
              <w:spacing w:before="120" w:beforeLines="50"/>
              <w:jc w:val="center"/>
              <w:rPr>
                <w:b/>
                <w:color w:val="auto"/>
                <w:sz w:val="24"/>
              </w:rPr>
            </w:pPr>
            <w:r>
              <w:rPr>
                <w:b/>
                <w:color w:val="auto"/>
                <w:sz w:val="24"/>
              </w:rPr>
              <w:t>表</w:t>
            </w:r>
            <w:r>
              <w:rPr>
                <w:rFonts w:hint="eastAsia"/>
                <w:b/>
                <w:color w:val="auto"/>
                <w:sz w:val="24"/>
              </w:rPr>
              <w:t>3-5</w:t>
            </w:r>
            <w:r>
              <w:rPr>
                <w:b/>
                <w:color w:val="auto"/>
                <w:sz w:val="24"/>
              </w:rPr>
              <w:t xml:space="preserve">  大气污染物</w:t>
            </w:r>
            <w:r>
              <w:rPr>
                <w:rFonts w:hint="eastAsia"/>
                <w:b/>
                <w:color w:val="auto"/>
                <w:sz w:val="24"/>
              </w:rPr>
              <w:t>无组织</w:t>
            </w:r>
            <w:r>
              <w:rPr>
                <w:b/>
                <w:color w:val="auto"/>
                <w:sz w:val="24"/>
              </w:rPr>
              <w:t>排放标准</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234"/>
              <w:gridCol w:w="1349"/>
              <w:gridCol w:w="1273"/>
              <w:gridCol w:w="1194"/>
              <w:gridCol w:w="2381"/>
            </w:tblGrid>
            <w:tr w14:paraId="7E6AE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pct"/>
                  <w:gridSpan w:val="2"/>
                  <w:vAlign w:val="center"/>
                </w:tcPr>
                <w:p w14:paraId="0327449C">
                  <w:pPr>
                    <w:widowControl/>
                    <w:adjustRightInd w:val="0"/>
                    <w:snapToGrid w:val="0"/>
                    <w:jc w:val="center"/>
                    <w:rPr>
                      <w:b/>
                      <w:color w:val="auto"/>
                      <w:sz w:val="32"/>
                      <w:szCs w:val="32"/>
                    </w:rPr>
                  </w:pPr>
                  <w:r>
                    <w:rPr>
                      <w:b/>
                      <w:color w:val="auto"/>
                      <w:kern w:val="0"/>
                      <w:szCs w:val="21"/>
                    </w:rPr>
                    <w:t>污染物名称</w:t>
                  </w:r>
                </w:p>
              </w:tc>
              <w:tc>
                <w:tcPr>
                  <w:tcW w:w="810" w:type="pct"/>
                  <w:vAlign w:val="center"/>
                </w:tcPr>
                <w:p w14:paraId="59930C43">
                  <w:pPr>
                    <w:widowControl/>
                    <w:adjustRightInd w:val="0"/>
                    <w:snapToGrid w:val="0"/>
                    <w:jc w:val="center"/>
                    <w:rPr>
                      <w:b/>
                      <w:color w:val="auto"/>
                      <w:sz w:val="32"/>
                      <w:szCs w:val="32"/>
                    </w:rPr>
                  </w:pPr>
                  <w:r>
                    <w:rPr>
                      <w:b/>
                      <w:color w:val="auto"/>
                      <w:kern w:val="0"/>
                      <w:szCs w:val="21"/>
                    </w:rPr>
                    <w:t>无组织排放监控浓度限值（mg/m</w:t>
                  </w:r>
                  <w:r>
                    <w:rPr>
                      <w:b/>
                      <w:color w:val="auto"/>
                      <w:kern w:val="0"/>
                      <w:szCs w:val="21"/>
                      <w:vertAlign w:val="superscript"/>
                    </w:rPr>
                    <w:t>3</w:t>
                  </w:r>
                  <w:r>
                    <w:rPr>
                      <w:b/>
                      <w:color w:val="auto"/>
                      <w:kern w:val="0"/>
                      <w:szCs w:val="21"/>
                    </w:rPr>
                    <w:t>）</w:t>
                  </w:r>
                </w:p>
              </w:tc>
              <w:tc>
                <w:tcPr>
                  <w:tcW w:w="764" w:type="pct"/>
                  <w:vAlign w:val="center"/>
                </w:tcPr>
                <w:p w14:paraId="73203885">
                  <w:pPr>
                    <w:widowControl/>
                    <w:adjustRightInd w:val="0"/>
                    <w:snapToGrid w:val="0"/>
                    <w:jc w:val="center"/>
                    <w:rPr>
                      <w:b/>
                      <w:color w:val="auto"/>
                      <w:sz w:val="32"/>
                      <w:szCs w:val="32"/>
                    </w:rPr>
                  </w:pPr>
                  <w:r>
                    <w:rPr>
                      <w:b/>
                      <w:color w:val="auto"/>
                      <w:kern w:val="0"/>
                      <w:szCs w:val="21"/>
                    </w:rPr>
                    <w:t>限值含义</w:t>
                  </w:r>
                </w:p>
              </w:tc>
              <w:tc>
                <w:tcPr>
                  <w:tcW w:w="717" w:type="pct"/>
                  <w:vAlign w:val="center"/>
                </w:tcPr>
                <w:p w14:paraId="6EB2F764">
                  <w:pPr>
                    <w:widowControl/>
                    <w:adjustRightInd w:val="0"/>
                    <w:snapToGrid w:val="0"/>
                    <w:jc w:val="center"/>
                    <w:rPr>
                      <w:b/>
                      <w:color w:val="auto"/>
                      <w:sz w:val="32"/>
                      <w:szCs w:val="32"/>
                    </w:rPr>
                  </w:pPr>
                  <w:r>
                    <w:rPr>
                      <w:b/>
                      <w:color w:val="auto"/>
                      <w:kern w:val="0"/>
                      <w:szCs w:val="21"/>
                    </w:rPr>
                    <w:t>监控位置</w:t>
                  </w:r>
                </w:p>
              </w:tc>
              <w:tc>
                <w:tcPr>
                  <w:tcW w:w="1429" w:type="pct"/>
                  <w:vAlign w:val="center"/>
                </w:tcPr>
                <w:p w14:paraId="1DA419F8">
                  <w:pPr>
                    <w:widowControl/>
                    <w:adjustRightInd w:val="0"/>
                    <w:snapToGrid w:val="0"/>
                    <w:jc w:val="center"/>
                    <w:rPr>
                      <w:b/>
                      <w:color w:val="auto"/>
                      <w:sz w:val="32"/>
                      <w:szCs w:val="32"/>
                    </w:rPr>
                  </w:pPr>
                  <w:r>
                    <w:rPr>
                      <w:b/>
                      <w:color w:val="auto"/>
                      <w:kern w:val="0"/>
                      <w:szCs w:val="21"/>
                    </w:rPr>
                    <w:t>标准来源</w:t>
                  </w:r>
                </w:p>
              </w:tc>
            </w:tr>
            <w:tr w14:paraId="49510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37" w:type="pct"/>
                  <w:vMerge w:val="restart"/>
                  <w:vAlign w:val="center"/>
                </w:tcPr>
                <w:p w14:paraId="4C36A449">
                  <w:pPr>
                    <w:widowControl/>
                    <w:adjustRightInd w:val="0"/>
                    <w:snapToGrid w:val="0"/>
                    <w:jc w:val="center"/>
                    <w:rPr>
                      <w:b/>
                      <w:color w:val="auto"/>
                      <w:sz w:val="32"/>
                      <w:szCs w:val="32"/>
                    </w:rPr>
                  </w:pPr>
                  <w:r>
                    <w:rPr>
                      <w:color w:val="auto"/>
                      <w:kern w:val="0"/>
                      <w:szCs w:val="21"/>
                    </w:rPr>
                    <w:t>厂界</w:t>
                  </w:r>
                </w:p>
              </w:tc>
              <w:tc>
                <w:tcPr>
                  <w:tcW w:w="740" w:type="pct"/>
                  <w:vAlign w:val="center"/>
                </w:tcPr>
                <w:p w14:paraId="6F9BD563">
                  <w:pPr>
                    <w:widowControl/>
                    <w:adjustRightInd w:val="0"/>
                    <w:snapToGrid w:val="0"/>
                    <w:jc w:val="center"/>
                    <w:rPr>
                      <w:b/>
                      <w:color w:val="auto"/>
                      <w:sz w:val="32"/>
                      <w:szCs w:val="32"/>
                    </w:rPr>
                  </w:pPr>
                  <w:r>
                    <w:rPr>
                      <w:color w:val="auto"/>
                      <w:kern w:val="0"/>
                      <w:szCs w:val="21"/>
                    </w:rPr>
                    <w:t>颗粒物</w:t>
                  </w:r>
                </w:p>
              </w:tc>
              <w:tc>
                <w:tcPr>
                  <w:tcW w:w="810" w:type="pct"/>
                  <w:vAlign w:val="center"/>
                </w:tcPr>
                <w:p w14:paraId="084E022A">
                  <w:pPr>
                    <w:widowControl/>
                    <w:adjustRightInd w:val="0"/>
                    <w:snapToGrid w:val="0"/>
                    <w:jc w:val="center"/>
                    <w:rPr>
                      <w:b/>
                      <w:color w:val="auto"/>
                      <w:sz w:val="32"/>
                      <w:szCs w:val="32"/>
                    </w:rPr>
                  </w:pPr>
                  <w:r>
                    <w:rPr>
                      <w:color w:val="auto"/>
                      <w:szCs w:val="21"/>
                    </w:rPr>
                    <w:t>0.5</w:t>
                  </w:r>
                </w:p>
              </w:tc>
              <w:tc>
                <w:tcPr>
                  <w:tcW w:w="764" w:type="pct"/>
                  <w:vAlign w:val="center"/>
                </w:tcPr>
                <w:p w14:paraId="03B9663A">
                  <w:pPr>
                    <w:adjustRightInd w:val="0"/>
                    <w:snapToGrid w:val="0"/>
                    <w:jc w:val="center"/>
                    <w:rPr>
                      <w:b/>
                      <w:color w:val="auto"/>
                      <w:sz w:val="32"/>
                      <w:szCs w:val="32"/>
                    </w:rPr>
                  </w:pPr>
                  <w:r>
                    <w:rPr>
                      <w:color w:val="auto"/>
                      <w:szCs w:val="21"/>
                    </w:rPr>
                    <w:t>/</w:t>
                  </w:r>
                </w:p>
              </w:tc>
              <w:tc>
                <w:tcPr>
                  <w:tcW w:w="717" w:type="pct"/>
                  <w:vAlign w:val="center"/>
                </w:tcPr>
                <w:p w14:paraId="53358D8E">
                  <w:pPr>
                    <w:adjustRightInd w:val="0"/>
                    <w:snapToGrid w:val="0"/>
                    <w:jc w:val="center"/>
                    <w:rPr>
                      <w:b/>
                      <w:color w:val="auto"/>
                      <w:sz w:val="32"/>
                      <w:szCs w:val="32"/>
                    </w:rPr>
                  </w:pPr>
                  <w:r>
                    <w:rPr>
                      <w:color w:val="auto"/>
                      <w:szCs w:val="21"/>
                    </w:rPr>
                    <w:t>边界外浓度最高点</w:t>
                  </w:r>
                </w:p>
              </w:tc>
              <w:tc>
                <w:tcPr>
                  <w:tcW w:w="1429" w:type="pct"/>
                  <w:vAlign w:val="center"/>
                </w:tcPr>
                <w:p w14:paraId="161137A6">
                  <w:pPr>
                    <w:adjustRightInd w:val="0"/>
                    <w:snapToGrid w:val="0"/>
                    <w:jc w:val="center"/>
                    <w:rPr>
                      <w:b/>
                      <w:color w:val="auto"/>
                      <w:sz w:val="32"/>
                      <w:szCs w:val="32"/>
                    </w:rPr>
                  </w:pPr>
                  <w:r>
                    <w:rPr>
                      <w:color w:val="auto"/>
                      <w:szCs w:val="21"/>
                    </w:rPr>
                    <w:t>江苏省地方标准《大气污染物综合排放标准》（DB32/4041-2021）表3</w:t>
                  </w:r>
                </w:p>
              </w:tc>
            </w:tr>
            <w:tr w14:paraId="381AA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37" w:type="pct"/>
                  <w:vMerge w:val="continue"/>
                  <w:vAlign w:val="center"/>
                </w:tcPr>
                <w:p w14:paraId="70A3B726">
                  <w:pPr>
                    <w:widowControl/>
                    <w:adjustRightInd w:val="0"/>
                    <w:snapToGrid w:val="0"/>
                    <w:jc w:val="center"/>
                    <w:rPr>
                      <w:b/>
                      <w:color w:val="auto"/>
                      <w:sz w:val="32"/>
                      <w:szCs w:val="32"/>
                    </w:rPr>
                  </w:pPr>
                </w:p>
              </w:tc>
              <w:tc>
                <w:tcPr>
                  <w:tcW w:w="740" w:type="pct"/>
                  <w:vAlign w:val="center"/>
                </w:tcPr>
                <w:p w14:paraId="3CBC29CD">
                  <w:pPr>
                    <w:adjustRightInd w:val="0"/>
                    <w:snapToGrid w:val="0"/>
                    <w:jc w:val="center"/>
                    <w:rPr>
                      <w:b/>
                      <w:color w:val="auto"/>
                      <w:sz w:val="32"/>
                      <w:szCs w:val="32"/>
                    </w:rPr>
                  </w:pPr>
                  <w:r>
                    <w:rPr>
                      <w:color w:val="auto"/>
                      <w:kern w:val="0"/>
                      <w:szCs w:val="21"/>
                    </w:rPr>
                    <w:t>甲醛</w:t>
                  </w:r>
                </w:p>
              </w:tc>
              <w:tc>
                <w:tcPr>
                  <w:tcW w:w="810" w:type="pct"/>
                  <w:vAlign w:val="center"/>
                </w:tcPr>
                <w:p w14:paraId="449D97E1">
                  <w:pPr>
                    <w:widowControl/>
                    <w:adjustRightInd w:val="0"/>
                    <w:snapToGrid w:val="0"/>
                    <w:jc w:val="center"/>
                    <w:rPr>
                      <w:b/>
                      <w:color w:val="auto"/>
                      <w:sz w:val="32"/>
                      <w:szCs w:val="32"/>
                    </w:rPr>
                  </w:pPr>
                  <w:r>
                    <w:rPr>
                      <w:color w:val="auto"/>
                      <w:szCs w:val="21"/>
                    </w:rPr>
                    <w:t>0.05</w:t>
                  </w:r>
                </w:p>
              </w:tc>
              <w:tc>
                <w:tcPr>
                  <w:tcW w:w="764" w:type="pct"/>
                  <w:vAlign w:val="center"/>
                </w:tcPr>
                <w:p w14:paraId="755A3FE1">
                  <w:pPr>
                    <w:adjustRightInd w:val="0"/>
                    <w:snapToGrid w:val="0"/>
                    <w:jc w:val="center"/>
                    <w:rPr>
                      <w:b/>
                      <w:color w:val="auto"/>
                      <w:sz w:val="32"/>
                      <w:szCs w:val="32"/>
                    </w:rPr>
                  </w:pPr>
                  <w:r>
                    <w:rPr>
                      <w:color w:val="auto"/>
                      <w:szCs w:val="21"/>
                    </w:rPr>
                    <w:t>/</w:t>
                  </w:r>
                </w:p>
              </w:tc>
              <w:tc>
                <w:tcPr>
                  <w:tcW w:w="717" w:type="pct"/>
                  <w:vMerge w:val="restart"/>
                  <w:vAlign w:val="center"/>
                </w:tcPr>
                <w:p w14:paraId="16BD702B">
                  <w:pPr>
                    <w:adjustRightInd w:val="0"/>
                    <w:snapToGrid w:val="0"/>
                    <w:jc w:val="center"/>
                    <w:rPr>
                      <w:b/>
                      <w:color w:val="auto"/>
                      <w:sz w:val="32"/>
                      <w:szCs w:val="32"/>
                    </w:rPr>
                  </w:pPr>
                  <w:r>
                    <w:rPr>
                      <w:color w:val="auto"/>
                      <w:szCs w:val="21"/>
                    </w:rPr>
                    <w:t>在企业边界设置监控点</w:t>
                  </w:r>
                </w:p>
              </w:tc>
              <w:tc>
                <w:tcPr>
                  <w:tcW w:w="1429" w:type="pct"/>
                  <w:vMerge w:val="restart"/>
                  <w:vAlign w:val="center"/>
                </w:tcPr>
                <w:p w14:paraId="6B28FDF0">
                  <w:pPr>
                    <w:adjustRightInd w:val="0"/>
                    <w:snapToGrid w:val="0"/>
                    <w:jc w:val="center"/>
                    <w:rPr>
                      <w:color w:val="auto"/>
                      <w:szCs w:val="21"/>
                    </w:rPr>
                  </w:pPr>
                  <w:r>
                    <w:rPr>
                      <w:color w:val="auto"/>
                      <w:szCs w:val="21"/>
                    </w:rPr>
                    <w:t>江苏省地方标准《木</w:t>
                  </w:r>
                </w:p>
                <w:p w14:paraId="5412AFA8">
                  <w:pPr>
                    <w:adjustRightInd w:val="0"/>
                    <w:snapToGrid w:val="0"/>
                    <w:jc w:val="center"/>
                    <w:rPr>
                      <w:b/>
                      <w:color w:val="auto"/>
                      <w:sz w:val="32"/>
                      <w:szCs w:val="32"/>
                    </w:rPr>
                  </w:pPr>
                  <w:r>
                    <w:rPr>
                      <w:color w:val="auto"/>
                      <w:szCs w:val="21"/>
                    </w:rPr>
                    <w:t>材加工行业大气污染物排放标准》（DB32</w:t>
                  </w:r>
                  <w:r>
                    <w:rPr>
                      <w:rFonts w:hint="eastAsia"/>
                      <w:color w:val="auto"/>
                      <w:szCs w:val="21"/>
                    </w:rPr>
                    <w:t>/</w:t>
                  </w:r>
                  <w:r>
                    <w:rPr>
                      <w:color w:val="auto"/>
                      <w:szCs w:val="21"/>
                    </w:rPr>
                    <w:t>436-2022）表4</w:t>
                  </w:r>
                </w:p>
              </w:tc>
            </w:tr>
            <w:tr w14:paraId="1C032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7" w:type="pct"/>
                  <w:vMerge w:val="continue"/>
                  <w:vAlign w:val="center"/>
                </w:tcPr>
                <w:p w14:paraId="03296740">
                  <w:pPr>
                    <w:adjustRightInd w:val="0"/>
                    <w:snapToGrid w:val="0"/>
                    <w:jc w:val="center"/>
                    <w:rPr>
                      <w:b/>
                      <w:color w:val="auto"/>
                      <w:sz w:val="32"/>
                      <w:szCs w:val="32"/>
                    </w:rPr>
                  </w:pPr>
                </w:p>
              </w:tc>
              <w:tc>
                <w:tcPr>
                  <w:tcW w:w="740" w:type="pct"/>
                  <w:vAlign w:val="center"/>
                </w:tcPr>
                <w:p w14:paraId="754FAAB0">
                  <w:pPr>
                    <w:adjustRightInd w:val="0"/>
                    <w:snapToGrid w:val="0"/>
                    <w:jc w:val="center"/>
                    <w:rPr>
                      <w:b/>
                      <w:color w:val="auto"/>
                      <w:sz w:val="32"/>
                      <w:szCs w:val="32"/>
                    </w:rPr>
                  </w:pPr>
                  <w:r>
                    <w:rPr>
                      <w:color w:val="auto"/>
                      <w:szCs w:val="21"/>
                    </w:rPr>
                    <w:t>非甲烷总烃</w:t>
                  </w:r>
                </w:p>
              </w:tc>
              <w:tc>
                <w:tcPr>
                  <w:tcW w:w="810" w:type="pct"/>
                  <w:vAlign w:val="center"/>
                </w:tcPr>
                <w:p w14:paraId="7A7FD8B3">
                  <w:pPr>
                    <w:adjustRightInd w:val="0"/>
                    <w:snapToGrid w:val="0"/>
                    <w:jc w:val="center"/>
                    <w:rPr>
                      <w:b/>
                      <w:color w:val="auto"/>
                      <w:sz w:val="32"/>
                      <w:szCs w:val="32"/>
                    </w:rPr>
                  </w:pPr>
                  <w:r>
                    <w:rPr>
                      <w:color w:val="auto"/>
                      <w:szCs w:val="21"/>
                    </w:rPr>
                    <w:t>4</w:t>
                  </w:r>
                </w:p>
              </w:tc>
              <w:tc>
                <w:tcPr>
                  <w:tcW w:w="764" w:type="pct"/>
                  <w:vAlign w:val="center"/>
                </w:tcPr>
                <w:p w14:paraId="0221644D">
                  <w:pPr>
                    <w:adjustRightInd w:val="0"/>
                    <w:snapToGrid w:val="0"/>
                    <w:jc w:val="center"/>
                    <w:rPr>
                      <w:b/>
                      <w:color w:val="auto"/>
                      <w:sz w:val="32"/>
                      <w:szCs w:val="32"/>
                    </w:rPr>
                  </w:pPr>
                  <w:r>
                    <w:rPr>
                      <w:color w:val="auto"/>
                      <w:szCs w:val="21"/>
                    </w:rPr>
                    <w:t>/</w:t>
                  </w:r>
                </w:p>
              </w:tc>
              <w:tc>
                <w:tcPr>
                  <w:tcW w:w="717" w:type="pct"/>
                  <w:vMerge w:val="continue"/>
                </w:tcPr>
                <w:p w14:paraId="00F13812">
                  <w:pPr>
                    <w:widowControl/>
                    <w:adjustRightInd w:val="0"/>
                    <w:snapToGrid w:val="0"/>
                    <w:spacing w:line="360" w:lineRule="auto"/>
                    <w:jc w:val="center"/>
                    <w:rPr>
                      <w:b/>
                      <w:color w:val="auto"/>
                      <w:sz w:val="32"/>
                      <w:szCs w:val="32"/>
                    </w:rPr>
                  </w:pPr>
                </w:p>
              </w:tc>
              <w:tc>
                <w:tcPr>
                  <w:tcW w:w="1429" w:type="pct"/>
                  <w:vMerge w:val="continue"/>
                </w:tcPr>
                <w:p w14:paraId="407970B6">
                  <w:pPr>
                    <w:widowControl/>
                    <w:adjustRightInd w:val="0"/>
                    <w:snapToGrid w:val="0"/>
                    <w:spacing w:line="360" w:lineRule="auto"/>
                    <w:jc w:val="center"/>
                    <w:rPr>
                      <w:b/>
                      <w:color w:val="auto"/>
                      <w:sz w:val="32"/>
                      <w:szCs w:val="32"/>
                    </w:rPr>
                  </w:pPr>
                </w:p>
              </w:tc>
            </w:tr>
            <w:tr w14:paraId="59B91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7" w:type="pct"/>
                  <w:vMerge w:val="continue"/>
                  <w:vAlign w:val="center"/>
                </w:tcPr>
                <w:p w14:paraId="216DB812">
                  <w:pPr>
                    <w:adjustRightInd w:val="0"/>
                    <w:snapToGrid w:val="0"/>
                    <w:jc w:val="center"/>
                    <w:rPr>
                      <w:b/>
                      <w:color w:val="auto"/>
                      <w:sz w:val="32"/>
                      <w:szCs w:val="32"/>
                    </w:rPr>
                  </w:pPr>
                </w:p>
              </w:tc>
              <w:tc>
                <w:tcPr>
                  <w:tcW w:w="740" w:type="pct"/>
                  <w:vAlign w:val="center"/>
                </w:tcPr>
                <w:p w14:paraId="752B3E30">
                  <w:pPr>
                    <w:adjustRightInd w:val="0"/>
                    <w:snapToGrid w:val="0"/>
                    <w:jc w:val="center"/>
                    <w:rPr>
                      <w:rFonts w:hint="eastAsia" w:eastAsia="宋体"/>
                      <w:color w:val="auto"/>
                      <w:szCs w:val="21"/>
                      <w:lang w:eastAsia="zh-CN"/>
                    </w:rPr>
                  </w:pPr>
                  <w:r>
                    <w:rPr>
                      <w:rFonts w:hint="eastAsia"/>
                      <w:color w:val="auto"/>
                      <w:szCs w:val="21"/>
                      <w:lang w:eastAsia="zh-CN"/>
                    </w:rPr>
                    <w:t>氨</w:t>
                  </w:r>
                </w:p>
              </w:tc>
              <w:tc>
                <w:tcPr>
                  <w:tcW w:w="810" w:type="pct"/>
                  <w:vAlign w:val="center"/>
                </w:tcPr>
                <w:p w14:paraId="71CBDABC">
                  <w:pPr>
                    <w:jc w:val="center"/>
                    <w:rPr>
                      <w:rFonts w:hint="default" w:ascii="Times New Roman" w:hAnsi="Times New Roman" w:cs="Times New Roman"/>
                      <w:color w:val="auto"/>
                      <w:szCs w:val="21"/>
                    </w:rPr>
                  </w:pPr>
                  <w:r>
                    <w:rPr>
                      <w:rFonts w:hint="default" w:ascii="Times New Roman" w:hAnsi="Times New Roman" w:cs="Times New Roman"/>
                      <w:color w:val="auto"/>
                    </w:rPr>
                    <w:t>1.5</w:t>
                  </w:r>
                </w:p>
              </w:tc>
              <w:tc>
                <w:tcPr>
                  <w:tcW w:w="764" w:type="pct"/>
                  <w:vAlign w:val="center"/>
                </w:tcPr>
                <w:p w14:paraId="1A8519C9">
                  <w:pPr>
                    <w:adjustRightInd w:val="0"/>
                    <w:snapToGrid w:val="0"/>
                    <w:jc w:val="center"/>
                    <w:rPr>
                      <w:color w:val="auto"/>
                      <w:szCs w:val="21"/>
                    </w:rPr>
                  </w:pPr>
                  <w:r>
                    <w:rPr>
                      <w:color w:val="auto"/>
                      <w:szCs w:val="21"/>
                    </w:rPr>
                    <w:t>/</w:t>
                  </w:r>
                </w:p>
              </w:tc>
              <w:tc>
                <w:tcPr>
                  <w:tcW w:w="717" w:type="pct"/>
                  <w:vMerge w:val="restart"/>
                </w:tcPr>
                <w:p w14:paraId="6583A13E">
                  <w:pPr>
                    <w:adjustRightInd w:val="0"/>
                    <w:snapToGrid w:val="0"/>
                    <w:jc w:val="center"/>
                    <w:rPr>
                      <w:rFonts w:hint="eastAsia"/>
                      <w:color w:val="auto"/>
                      <w:szCs w:val="21"/>
                      <w:lang w:eastAsia="zh-CN"/>
                    </w:rPr>
                  </w:pPr>
                  <w:r>
                    <w:rPr>
                      <w:rFonts w:hint="eastAsia"/>
                      <w:color w:val="auto"/>
                      <w:szCs w:val="21"/>
                      <w:lang w:eastAsia="zh-CN"/>
                    </w:rPr>
                    <w:t>厂界的下风向侧或有臭气方位的边界上</w:t>
                  </w:r>
                </w:p>
              </w:tc>
              <w:tc>
                <w:tcPr>
                  <w:tcW w:w="1429" w:type="pct"/>
                  <w:vMerge w:val="restart"/>
                  <w:vAlign w:val="center"/>
                </w:tcPr>
                <w:p w14:paraId="35CAB3BE">
                  <w:pPr>
                    <w:adjustRightInd w:val="0"/>
                    <w:snapToGrid w:val="0"/>
                    <w:jc w:val="center"/>
                    <w:rPr>
                      <w:color w:val="auto"/>
                      <w:szCs w:val="21"/>
                    </w:rPr>
                  </w:pPr>
                  <w:r>
                    <w:rPr>
                      <w:rFonts w:hint="eastAsia"/>
                      <w:color w:val="auto"/>
                      <w:szCs w:val="21"/>
                    </w:rPr>
                    <w:t>《恶臭污染物排放标准》</w:t>
                  </w:r>
                  <w:r>
                    <w:rPr>
                      <w:rFonts w:hint="default"/>
                      <w:color w:val="auto"/>
                      <w:szCs w:val="21"/>
                    </w:rPr>
                    <w:t>（GB14554-93）表</w:t>
                  </w:r>
                  <w:r>
                    <w:rPr>
                      <w:rFonts w:hint="eastAsia"/>
                      <w:color w:val="auto"/>
                      <w:szCs w:val="21"/>
                    </w:rPr>
                    <w:t>1厂界标准值</w:t>
                  </w:r>
                </w:p>
              </w:tc>
            </w:tr>
            <w:tr w14:paraId="2C944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37" w:type="pct"/>
                  <w:vMerge w:val="continue"/>
                  <w:vAlign w:val="center"/>
                </w:tcPr>
                <w:p w14:paraId="1401159C">
                  <w:pPr>
                    <w:adjustRightInd w:val="0"/>
                    <w:snapToGrid w:val="0"/>
                    <w:jc w:val="center"/>
                    <w:rPr>
                      <w:b/>
                      <w:color w:val="auto"/>
                      <w:sz w:val="32"/>
                      <w:szCs w:val="32"/>
                    </w:rPr>
                  </w:pPr>
                </w:p>
              </w:tc>
              <w:tc>
                <w:tcPr>
                  <w:tcW w:w="740" w:type="pct"/>
                  <w:vAlign w:val="center"/>
                </w:tcPr>
                <w:p w14:paraId="44F06A6F">
                  <w:pPr>
                    <w:adjustRightInd w:val="0"/>
                    <w:snapToGrid w:val="0"/>
                    <w:jc w:val="center"/>
                    <w:rPr>
                      <w:rFonts w:hint="eastAsia" w:eastAsia="宋体"/>
                      <w:color w:val="auto"/>
                      <w:szCs w:val="21"/>
                      <w:lang w:eastAsia="zh-CN"/>
                    </w:rPr>
                  </w:pPr>
                  <w:r>
                    <w:rPr>
                      <w:rFonts w:hint="eastAsia"/>
                      <w:color w:val="auto"/>
                      <w:szCs w:val="21"/>
                      <w:lang w:eastAsia="zh-CN"/>
                    </w:rPr>
                    <w:t>臭气浓度</w:t>
                  </w:r>
                </w:p>
              </w:tc>
              <w:tc>
                <w:tcPr>
                  <w:tcW w:w="810" w:type="pct"/>
                  <w:vAlign w:val="center"/>
                </w:tcPr>
                <w:p w14:paraId="54A7DEEF">
                  <w:pPr>
                    <w:jc w:val="center"/>
                    <w:rPr>
                      <w:rFonts w:hint="default" w:ascii="Times New Roman" w:hAnsi="Times New Roman" w:cs="Times New Roman"/>
                      <w:color w:val="auto"/>
                      <w:szCs w:val="21"/>
                    </w:rPr>
                  </w:pPr>
                  <w:r>
                    <w:rPr>
                      <w:rFonts w:hint="default" w:ascii="Times New Roman" w:hAnsi="Times New Roman" w:cs="Times New Roman"/>
                      <w:color w:val="auto"/>
                    </w:rPr>
                    <w:t>20（无量纲）</w:t>
                  </w:r>
                </w:p>
              </w:tc>
              <w:tc>
                <w:tcPr>
                  <w:tcW w:w="764" w:type="pct"/>
                  <w:vAlign w:val="center"/>
                </w:tcPr>
                <w:p w14:paraId="24942F07">
                  <w:pPr>
                    <w:adjustRightInd w:val="0"/>
                    <w:snapToGrid w:val="0"/>
                    <w:jc w:val="center"/>
                    <w:rPr>
                      <w:color w:val="auto"/>
                      <w:szCs w:val="21"/>
                    </w:rPr>
                  </w:pPr>
                  <w:r>
                    <w:rPr>
                      <w:color w:val="auto"/>
                      <w:szCs w:val="21"/>
                    </w:rPr>
                    <w:t>/</w:t>
                  </w:r>
                </w:p>
              </w:tc>
              <w:tc>
                <w:tcPr>
                  <w:tcW w:w="717" w:type="pct"/>
                  <w:vMerge w:val="continue"/>
                </w:tcPr>
                <w:p w14:paraId="5B5B9D97">
                  <w:pPr>
                    <w:widowControl/>
                    <w:adjustRightInd w:val="0"/>
                    <w:snapToGrid w:val="0"/>
                    <w:spacing w:line="360" w:lineRule="auto"/>
                    <w:jc w:val="center"/>
                    <w:rPr>
                      <w:b/>
                      <w:color w:val="auto"/>
                      <w:sz w:val="32"/>
                      <w:szCs w:val="32"/>
                    </w:rPr>
                  </w:pPr>
                </w:p>
              </w:tc>
              <w:tc>
                <w:tcPr>
                  <w:tcW w:w="1429" w:type="pct"/>
                  <w:vMerge w:val="continue"/>
                  <w:vAlign w:val="center"/>
                </w:tcPr>
                <w:p w14:paraId="3166E64B">
                  <w:pPr>
                    <w:adjustRightInd w:val="0"/>
                    <w:snapToGrid w:val="0"/>
                    <w:jc w:val="center"/>
                    <w:rPr>
                      <w:color w:val="auto"/>
                      <w:szCs w:val="21"/>
                    </w:rPr>
                  </w:pPr>
                </w:p>
              </w:tc>
            </w:tr>
            <w:tr w14:paraId="12D20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7" w:type="pct"/>
                  <w:vMerge w:val="restart"/>
                  <w:vAlign w:val="center"/>
                </w:tcPr>
                <w:p w14:paraId="2CEE4103">
                  <w:pPr>
                    <w:adjustRightInd w:val="0"/>
                    <w:snapToGrid w:val="0"/>
                    <w:jc w:val="center"/>
                    <w:rPr>
                      <w:b/>
                      <w:color w:val="auto"/>
                      <w:sz w:val="32"/>
                      <w:szCs w:val="32"/>
                    </w:rPr>
                  </w:pPr>
                  <w:r>
                    <w:rPr>
                      <w:color w:val="auto"/>
                      <w:szCs w:val="21"/>
                    </w:rPr>
                    <w:t>厂区内</w:t>
                  </w:r>
                </w:p>
              </w:tc>
              <w:tc>
                <w:tcPr>
                  <w:tcW w:w="740" w:type="pct"/>
                  <w:vAlign w:val="center"/>
                </w:tcPr>
                <w:p w14:paraId="198021EC">
                  <w:pPr>
                    <w:adjustRightInd w:val="0"/>
                    <w:snapToGrid w:val="0"/>
                    <w:jc w:val="center"/>
                    <w:rPr>
                      <w:b/>
                      <w:color w:val="auto"/>
                      <w:sz w:val="32"/>
                      <w:szCs w:val="32"/>
                    </w:rPr>
                  </w:pPr>
                  <w:r>
                    <w:rPr>
                      <w:color w:val="auto"/>
                      <w:szCs w:val="21"/>
                    </w:rPr>
                    <w:t>甲醛</w:t>
                  </w:r>
                </w:p>
              </w:tc>
              <w:tc>
                <w:tcPr>
                  <w:tcW w:w="810" w:type="pct"/>
                  <w:vAlign w:val="center"/>
                </w:tcPr>
                <w:p w14:paraId="250A0842">
                  <w:pPr>
                    <w:adjustRightInd w:val="0"/>
                    <w:snapToGrid w:val="0"/>
                    <w:jc w:val="center"/>
                    <w:rPr>
                      <w:b/>
                      <w:color w:val="auto"/>
                      <w:sz w:val="32"/>
                      <w:szCs w:val="32"/>
                    </w:rPr>
                  </w:pPr>
                  <w:r>
                    <w:rPr>
                      <w:color w:val="auto"/>
                      <w:szCs w:val="21"/>
                    </w:rPr>
                    <w:t>0.4</w:t>
                  </w:r>
                </w:p>
              </w:tc>
              <w:tc>
                <w:tcPr>
                  <w:tcW w:w="764" w:type="pct"/>
                  <w:vAlign w:val="center"/>
                </w:tcPr>
                <w:p w14:paraId="411AAC9C">
                  <w:pPr>
                    <w:adjustRightInd w:val="0"/>
                    <w:snapToGrid w:val="0"/>
                    <w:jc w:val="center"/>
                    <w:rPr>
                      <w:b/>
                      <w:color w:val="auto"/>
                      <w:sz w:val="32"/>
                      <w:szCs w:val="32"/>
                    </w:rPr>
                  </w:pPr>
                  <w:r>
                    <w:rPr>
                      <w:color w:val="auto"/>
                      <w:szCs w:val="21"/>
                    </w:rPr>
                    <w:t>监控点处1h平均浓度值</w:t>
                  </w:r>
                </w:p>
              </w:tc>
              <w:tc>
                <w:tcPr>
                  <w:tcW w:w="717" w:type="pct"/>
                  <w:vMerge w:val="restart"/>
                  <w:vAlign w:val="center"/>
                </w:tcPr>
                <w:p w14:paraId="071FAD46">
                  <w:pPr>
                    <w:adjustRightInd w:val="0"/>
                    <w:snapToGrid w:val="0"/>
                    <w:jc w:val="center"/>
                    <w:rPr>
                      <w:b/>
                      <w:color w:val="auto"/>
                      <w:sz w:val="32"/>
                      <w:szCs w:val="32"/>
                    </w:rPr>
                  </w:pPr>
                  <w:r>
                    <w:rPr>
                      <w:color w:val="auto"/>
                      <w:szCs w:val="21"/>
                    </w:rPr>
                    <w:t>在厂房外设置监控点</w:t>
                  </w:r>
                </w:p>
              </w:tc>
              <w:tc>
                <w:tcPr>
                  <w:tcW w:w="1429" w:type="pct"/>
                  <w:vMerge w:val="restart"/>
                  <w:vAlign w:val="center"/>
                </w:tcPr>
                <w:p w14:paraId="456BE107">
                  <w:pPr>
                    <w:adjustRightInd w:val="0"/>
                    <w:snapToGrid w:val="0"/>
                    <w:jc w:val="center"/>
                    <w:rPr>
                      <w:color w:val="auto"/>
                      <w:szCs w:val="21"/>
                    </w:rPr>
                  </w:pPr>
                  <w:r>
                    <w:rPr>
                      <w:color w:val="auto"/>
                      <w:szCs w:val="21"/>
                    </w:rPr>
                    <w:t>江苏省地方标准《木材加工行业大气污染物排放标准》（DB32</w:t>
                  </w:r>
                  <w:r>
                    <w:rPr>
                      <w:rFonts w:hint="eastAsia"/>
                      <w:color w:val="auto"/>
                      <w:szCs w:val="21"/>
                    </w:rPr>
                    <w:t>/</w:t>
                  </w:r>
                  <w:r>
                    <w:rPr>
                      <w:color w:val="auto"/>
                      <w:szCs w:val="21"/>
                    </w:rPr>
                    <w:t>4436-2022）表3</w:t>
                  </w:r>
                </w:p>
              </w:tc>
            </w:tr>
            <w:tr w14:paraId="2C5D9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7" w:type="pct"/>
                  <w:vMerge w:val="continue"/>
                  <w:vAlign w:val="center"/>
                </w:tcPr>
                <w:p w14:paraId="16674FEA">
                  <w:pPr>
                    <w:adjustRightInd w:val="0"/>
                    <w:snapToGrid w:val="0"/>
                    <w:jc w:val="center"/>
                    <w:rPr>
                      <w:b/>
                      <w:color w:val="auto"/>
                      <w:sz w:val="32"/>
                      <w:szCs w:val="32"/>
                    </w:rPr>
                  </w:pPr>
                </w:p>
              </w:tc>
              <w:tc>
                <w:tcPr>
                  <w:tcW w:w="740" w:type="pct"/>
                  <w:vMerge w:val="restart"/>
                  <w:vAlign w:val="center"/>
                </w:tcPr>
                <w:p w14:paraId="5116DFCE">
                  <w:pPr>
                    <w:adjustRightInd w:val="0"/>
                    <w:snapToGrid w:val="0"/>
                    <w:jc w:val="center"/>
                    <w:rPr>
                      <w:b/>
                      <w:color w:val="auto"/>
                      <w:sz w:val="32"/>
                      <w:szCs w:val="32"/>
                    </w:rPr>
                  </w:pPr>
                  <w:r>
                    <w:rPr>
                      <w:color w:val="auto"/>
                      <w:szCs w:val="21"/>
                    </w:rPr>
                    <w:t>非甲烷总烃</w:t>
                  </w:r>
                </w:p>
              </w:tc>
              <w:tc>
                <w:tcPr>
                  <w:tcW w:w="810" w:type="pct"/>
                  <w:vAlign w:val="center"/>
                </w:tcPr>
                <w:p w14:paraId="2F5D1F8C">
                  <w:pPr>
                    <w:adjustRightInd w:val="0"/>
                    <w:snapToGrid w:val="0"/>
                    <w:jc w:val="center"/>
                    <w:rPr>
                      <w:b/>
                      <w:color w:val="auto"/>
                      <w:sz w:val="32"/>
                      <w:szCs w:val="32"/>
                    </w:rPr>
                  </w:pPr>
                  <w:r>
                    <w:rPr>
                      <w:color w:val="auto"/>
                      <w:szCs w:val="21"/>
                    </w:rPr>
                    <w:t>6</w:t>
                  </w:r>
                </w:p>
              </w:tc>
              <w:tc>
                <w:tcPr>
                  <w:tcW w:w="764" w:type="pct"/>
                  <w:vAlign w:val="center"/>
                </w:tcPr>
                <w:p w14:paraId="1FBED880">
                  <w:pPr>
                    <w:adjustRightInd w:val="0"/>
                    <w:snapToGrid w:val="0"/>
                    <w:jc w:val="center"/>
                    <w:rPr>
                      <w:b/>
                      <w:color w:val="auto"/>
                      <w:sz w:val="32"/>
                      <w:szCs w:val="32"/>
                    </w:rPr>
                  </w:pPr>
                  <w:r>
                    <w:rPr>
                      <w:color w:val="auto"/>
                      <w:szCs w:val="21"/>
                    </w:rPr>
                    <w:t>监控点处1h平均浓度值</w:t>
                  </w:r>
                </w:p>
              </w:tc>
              <w:tc>
                <w:tcPr>
                  <w:tcW w:w="717" w:type="pct"/>
                  <w:vMerge w:val="continue"/>
                </w:tcPr>
                <w:p w14:paraId="6A08A18B">
                  <w:pPr>
                    <w:widowControl/>
                    <w:adjustRightInd w:val="0"/>
                    <w:snapToGrid w:val="0"/>
                    <w:spacing w:line="360" w:lineRule="auto"/>
                    <w:jc w:val="center"/>
                    <w:rPr>
                      <w:b/>
                      <w:color w:val="auto"/>
                      <w:sz w:val="32"/>
                      <w:szCs w:val="32"/>
                    </w:rPr>
                  </w:pPr>
                </w:p>
              </w:tc>
              <w:tc>
                <w:tcPr>
                  <w:tcW w:w="1429" w:type="pct"/>
                  <w:vMerge w:val="continue"/>
                </w:tcPr>
                <w:p w14:paraId="46364E5F">
                  <w:pPr>
                    <w:widowControl/>
                    <w:adjustRightInd w:val="0"/>
                    <w:snapToGrid w:val="0"/>
                    <w:spacing w:line="360" w:lineRule="auto"/>
                    <w:jc w:val="center"/>
                    <w:rPr>
                      <w:b/>
                      <w:color w:val="auto"/>
                      <w:sz w:val="32"/>
                      <w:szCs w:val="32"/>
                    </w:rPr>
                  </w:pPr>
                </w:p>
              </w:tc>
            </w:tr>
            <w:tr w14:paraId="4E469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7" w:type="pct"/>
                  <w:vMerge w:val="continue"/>
                  <w:vAlign w:val="center"/>
                </w:tcPr>
                <w:p w14:paraId="5AE59AAF">
                  <w:pPr>
                    <w:adjustRightInd w:val="0"/>
                    <w:snapToGrid w:val="0"/>
                    <w:jc w:val="center"/>
                    <w:rPr>
                      <w:b/>
                      <w:color w:val="auto"/>
                      <w:sz w:val="32"/>
                      <w:szCs w:val="32"/>
                    </w:rPr>
                  </w:pPr>
                </w:p>
              </w:tc>
              <w:tc>
                <w:tcPr>
                  <w:tcW w:w="740" w:type="pct"/>
                  <w:vMerge w:val="continue"/>
                  <w:vAlign w:val="center"/>
                </w:tcPr>
                <w:p w14:paraId="025D74BD">
                  <w:pPr>
                    <w:adjustRightInd w:val="0"/>
                    <w:snapToGrid w:val="0"/>
                    <w:jc w:val="center"/>
                    <w:rPr>
                      <w:b/>
                      <w:color w:val="auto"/>
                      <w:sz w:val="32"/>
                      <w:szCs w:val="32"/>
                    </w:rPr>
                  </w:pPr>
                </w:p>
              </w:tc>
              <w:tc>
                <w:tcPr>
                  <w:tcW w:w="810" w:type="pct"/>
                  <w:vAlign w:val="center"/>
                </w:tcPr>
                <w:p w14:paraId="1772530E">
                  <w:pPr>
                    <w:adjustRightInd w:val="0"/>
                    <w:snapToGrid w:val="0"/>
                    <w:jc w:val="center"/>
                    <w:rPr>
                      <w:b/>
                      <w:color w:val="auto"/>
                      <w:sz w:val="32"/>
                      <w:szCs w:val="32"/>
                    </w:rPr>
                  </w:pPr>
                  <w:r>
                    <w:rPr>
                      <w:color w:val="auto"/>
                      <w:szCs w:val="21"/>
                    </w:rPr>
                    <w:t>20</w:t>
                  </w:r>
                </w:p>
              </w:tc>
              <w:tc>
                <w:tcPr>
                  <w:tcW w:w="764" w:type="pct"/>
                  <w:vAlign w:val="center"/>
                </w:tcPr>
                <w:p w14:paraId="6EE3CD80">
                  <w:pPr>
                    <w:adjustRightInd w:val="0"/>
                    <w:snapToGrid w:val="0"/>
                    <w:jc w:val="center"/>
                    <w:rPr>
                      <w:b/>
                      <w:color w:val="auto"/>
                      <w:sz w:val="32"/>
                      <w:szCs w:val="32"/>
                    </w:rPr>
                  </w:pPr>
                  <w:r>
                    <w:rPr>
                      <w:color w:val="auto"/>
                      <w:szCs w:val="21"/>
                    </w:rPr>
                    <w:t>监控点处任意一次浓度值</w:t>
                  </w:r>
                </w:p>
              </w:tc>
              <w:tc>
                <w:tcPr>
                  <w:tcW w:w="717" w:type="pct"/>
                  <w:vMerge w:val="continue"/>
                </w:tcPr>
                <w:p w14:paraId="2B27826D">
                  <w:pPr>
                    <w:widowControl/>
                    <w:adjustRightInd w:val="0"/>
                    <w:snapToGrid w:val="0"/>
                    <w:spacing w:line="360" w:lineRule="auto"/>
                    <w:jc w:val="center"/>
                    <w:rPr>
                      <w:b/>
                      <w:color w:val="auto"/>
                      <w:sz w:val="32"/>
                      <w:szCs w:val="32"/>
                    </w:rPr>
                  </w:pPr>
                </w:p>
              </w:tc>
              <w:tc>
                <w:tcPr>
                  <w:tcW w:w="1429" w:type="pct"/>
                  <w:vMerge w:val="continue"/>
                </w:tcPr>
                <w:p w14:paraId="5EEBE79D">
                  <w:pPr>
                    <w:widowControl/>
                    <w:adjustRightInd w:val="0"/>
                    <w:snapToGrid w:val="0"/>
                    <w:spacing w:line="360" w:lineRule="auto"/>
                    <w:jc w:val="center"/>
                    <w:rPr>
                      <w:b/>
                      <w:color w:val="auto"/>
                      <w:sz w:val="32"/>
                      <w:szCs w:val="32"/>
                    </w:rPr>
                  </w:pPr>
                </w:p>
              </w:tc>
            </w:tr>
            <w:bookmarkEnd w:id="29"/>
          </w:tbl>
          <w:p w14:paraId="2D0A7DCE">
            <w:pPr>
              <w:pStyle w:val="5"/>
              <w:keepNext w:val="0"/>
              <w:keepLines w:val="0"/>
              <w:spacing w:before="0" w:after="0" w:line="360" w:lineRule="auto"/>
              <w:ind w:firstLine="482" w:firstLineChars="200"/>
              <w:rPr>
                <w:rFonts w:ascii="Times New Roman" w:hAnsi="Times New Roman" w:eastAsia="宋体" w:cs="Times New Roman"/>
                <w:bCs w:val="0"/>
                <w:color w:val="auto"/>
                <w:sz w:val="24"/>
                <w:szCs w:val="24"/>
              </w:rPr>
            </w:pPr>
            <w:r>
              <w:rPr>
                <w:rFonts w:ascii="Times New Roman" w:hAnsi="Times New Roman" w:eastAsia="宋体" w:cs="Times New Roman"/>
                <w:bCs w:val="0"/>
                <w:color w:val="auto"/>
                <w:sz w:val="24"/>
                <w:szCs w:val="24"/>
              </w:rPr>
              <w:t>2、废水排放标准</w:t>
            </w:r>
          </w:p>
          <w:p w14:paraId="06375B11">
            <w:pPr>
              <w:adjustRightInd w:val="0"/>
              <w:snapToGrid w:val="0"/>
              <w:spacing w:line="360" w:lineRule="auto"/>
              <w:ind w:firstLine="480" w:firstLineChars="200"/>
              <w:rPr>
                <w:rFonts w:hint="eastAsia" w:ascii="Times New Roman" w:hAnsi="宋体"/>
                <w:color w:val="auto"/>
                <w:sz w:val="24"/>
                <w:lang w:eastAsia="zh-CN"/>
              </w:rPr>
            </w:pPr>
            <w:r>
              <w:rPr>
                <w:rFonts w:ascii="Times New Roman" w:hAnsi="宋体"/>
                <w:color w:val="auto"/>
                <w:sz w:val="24"/>
                <w:szCs w:val="32"/>
              </w:rPr>
              <w:t>本项目</w:t>
            </w:r>
            <w:r>
              <w:rPr>
                <w:rFonts w:hint="eastAsia" w:ascii="Times New Roman" w:hAnsi="宋体"/>
                <w:color w:val="auto"/>
                <w:sz w:val="24"/>
                <w:szCs w:val="32"/>
                <w:lang w:eastAsia="zh-CN"/>
              </w:rPr>
              <w:t>清洗废水收集后做危废处置</w:t>
            </w:r>
            <w:r>
              <w:rPr>
                <w:rFonts w:ascii="Times New Roman" w:hAnsi="宋体"/>
                <w:color w:val="auto"/>
                <w:sz w:val="24"/>
                <w:szCs w:val="32"/>
              </w:rPr>
              <w:t>，不外排</w:t>
            </w:r>
            <w:r>
              <w:rPr>
                <w:rFonts w:hint="eastAsia" w:ascii="Times New Roman" w:hAnsi="宋体"/>
                <w:color w:val="auto"/>
                <w:sz w:val="24"/>
              </w:rPr>
              <w:t>，外排废水主要为职工生活污水，</w:t>
            </w:r>
            <w:r>
              <w:rPr>
                <w:rFonts w:ascii="Times New Roman" w:hAnsi="宋体"/>
                <w:color w:val="auto"/>
                <w:sz w:val="24"/>
                <w:szCs w:val="32"/>
              </w:rPr>
              <w:t>经化粪池处理</w:t>
            </w:r>
            <w:r>
              <w:rPr>
                <w:rFonts w:hint="eastAsia" w:ascii="Times New Roman" w:hAnsi="宋体"/>
                <w:color w:val="auto"/>
                <w:sz w:val="24"/>
                <w:szCs w:val="32"/>
              </w:rPr>
              <w:t>达到</w:t>
            </w:r>
            <w:r>
              <w:rPr>
                <w:rStyle w:val="50"/>
                <w:rFonts w:hint="eastAsia" w:ascii="Times New Roman" w:hAnsi="Times New Roman"/>
                <w:color w:val="auto"/>
                <w:kern w:val="0"/>
                <w:sz w:val="24"/>
                <w:szCs w:val="24"/>
              </w:rPr>
              <w:t>高沟镇污水处理厂接管标准</w:t>
            </w:r>
            <w:r>
              <w:rPr>
                <w:rFonts w:ascii="Times New Roman" w:hAnsi="宋体"/>
                <w:color w:val="auto"/>
                <w:sz w:val="24"/>
                <w:szCs w:val="32"/>
              </w:rPr>
              <w:t>后</w:t>
            </w:r>
            <w:r>
              <w:rPr>
                <w:rFonts w:hint="eastAsia" w:ascii="Times New Roman" w:hAnsi="宋体"/>
                <w:color w:val="auto"/>
                <w:sz w:val="24"/>
                <w:szCs w:val="32"/>
              </w:rPr>
              <w:t>，</w:t>
            </w:r>
            <w:r>
              <w:rPr>
                <w:rFonts w:ascii="Times New Roman" w:hAnsi="宋体"/>
                <w:color w:val="auto"/>
                <w:sz w:val="24"/>
                <w:szCs w:val="32"/>
              </w:rPr>
              <w:t>排入高沟镇污水处理厂，经污水处理厂处理</w:t>
            </w:r>
            <w:r>
              <w:rPr>
                <w:rFonts w:hint="eastAsia" w:hAnsi="宋体"/>
                <w:color w:val="auto"/>
                <w:sz w:val="24"/>
                <w:szCs w:val="32"/>
                <w:lang w:eastAsia="zh-CN"/>
              </w:rPr>
              <w:t>达到</w:t>
            </w:r>
            <w:r>
              <w:rPr>
                <w:rFonts w:ascii="Times New Roman" w:hAnsi="宋体"/>
                <w:color w:val="auto"/>
                <w:sz w:val="24"/>
                <w:szCs w:val="32"/>
              </w:rPr>
              <w:t>《城镇污水处理厂污染物排放标准》（</w:t>
            </w:r>
            <w:r>
              <w:rPr>
                <w:rFonts w:ascii="Times New Roman" w:hAnsi="Times New Roman"/>
                <w:color w:val="auto"/>
                <w:sz w:val="24"/>
                <w:szCs w:val="32"/>
              </w:rPr>
              <w:t>GB18918-2002</w:t>
            </w:r>
            <w:r>
              <w:rPr>
                <w:rFonts w:ascii="Times New Roman" w:hAnsi="宋体"/>
                <w:color w:val="auto"/>
                <w:sz w:val="24"/>
                <w:szCs w:val="32"/>
              </w:rPr>
              <w:t>）表</w:t>
            </w:r>
            <w:r>
              <w:rPr>
                <w:rFonts w:ascii="Times New Roman" w:hAnsi="Times New Roman"/>
                <w:color w:val="auto"/>
                <w:sz w:val="24"/>
                <w:szCs w:val="32"/>
              </w:rPr>
              <w:t>1</w:t>
            </w:r>
            <w:r>
              <w:rPr>
                <w:rFonts w:ascii="Times New Roman" w:hAnsi="宋体"/>
                <w:color w:val="auto"/>
                <w:sz w:val="24"/>
                <w:szCs w:val="32"/>
              </w:rPr>
              <w:t>中一级</w:t>
            </w:r>
            <w:r>
              <w:rPr>
                <w:rFonts w:ascii="Times New Roman" w:hAnsi="Times New Roman"/>
                <w:color w:val="auto"/>
                <w:sz w:val="24"/>
                <w:szCs w:val="32"/>
              </w:rPr>
              <w:t>A</w:t>
            </w:r>
            <w:r>
              <w:rPr>
                <w:rFonts w:ascii="Times New Roman" w:hAnsi="宋体"/>
                <w:color w:val="auto"/>
                <w:sz w:val="24"/>
                <w:szCs w:val="32"/>
              </w:rPr>
              <w:t>标准</w:t>
            </w:r>
            <w:r>
              <w:rPr>
                <w:rFonts w:hint="eastAsia" w:ascii="Times New Roman" w:hAnsi="宋体"/>
                <w:color w:val="auto"/>
                <w:sz w:val="24"/>
                <w:szCs w:val="32"/>
              </w:rPr>
              <w:t>后尾水排入南六塘河。</w:t>
            </w:r>
            <w:r>
              <w:rPr>
                <w:rFonts w:hint="eastAsia" w:hAnsi="宋体"/>
                <w:color w:val="auto"/>
                <w:sz w:val="24"/>
                <w:szCs w:val="32"/>
                <w:lang w:eastAsia="zh-CN"/>
              </w:rPr>
              <w:t>蒸汽冷凝水回用，用于厂区绿化，执行</w:t>
            </w:r>
            <w:r>
              <w:rPr>
                <w:rFonts w:hint="eastAsia" w:ascii="Times New Roman" w:hAnsi="宋体"/>
                <w:color w:val="auto"/>
                <w:sz w:val="24"/>
              </w:rPr>
              <w:t>《城市污水再生利用 城市杂用水水质》（GB/T 18920-2020）</w:t>
            </w:r>
            <w:r>
              <w:rPr>
                <w:rFonts w:hint="eastAsia" w:hAnsi="宋体"/>
                <w:color w:val="auto"/>
                <w:sz w:val="24"/>
                <w:lang w:eastAsia="zh-CN"/>
              </w:rPr>
              <w:t>表</w:t>
            </w:r>
            <w:r>
              <w:rPr>
                <w:rFonts w:hint="eastAsia" w:hAnsi="宋体"/>
                <w:color w:val="auto"/>
                <w:sz w:val="24"/>
                <w:lang w:val="en-US" w:eastAsia="zh-CN"/>
              </w:rPr>
              <w:t>1</w:t>
            </w:r>
            <w:r>
              <w:rPr>
                <w:rFonts w:hint="eastAsia" w:ascii="Times New Roman" w:hAnsi="宋体"/>
                <w:color w:val="auto"/>
                <w:sz w:val="24"/>
                <w:lang w:eastAsia="zh-CN"/>
              </w:rPr>
              <w:t>标准</w:t>
            </w:r>
            <w:r>
              <w:rPr>
                <w:rFonts w:hint="eastAsia" w:hAnsi="宋体"/>
                <w:color w:val="auto"/>
                <w:sz w:val="24"/>
                <w:lang w:eastAsia="zh-CN"/>
              </w:rPr>
              <w:t>。</w:t>
            </w:r>
          </w:p>
          <w:p w14:paraId="618E8FA4">
            <w:pPr>
              <w:wordWrap w:val="0"/>
              <w:adjustRightInd w:val="0"/>
              <w:snapToGrid w:val="0"/>
              <w:jc w:val="center"/>
              <w:rPr>
                <w:rFonts w:ascii="Times New Roman" w:hAnsi="Times New Roman"/>
                <w:b/>
                <w:color w:val="auto"/>
                <w:sz w:val="24"/>
              </w:rPr>
            </w:pPr>
            <w:r>
              <w:rPr>
                <w:rFonts w:ascii="Times New Roman" w:hAnsi="宋体"/>
                <w:b/>
                <w:color w:val="auto"/>
                <w:sz w:val="24"/>
              </w:rPr>
              <w:t>表</w:t>
            </w:r>
            <w:r>
              <w:rPr>
                <w:rFonts w:ascii="Times New Roman" w:hAnsi="Times New Roman"/>
                <w:b/>
                <w:color w:val="auto"/>
                <w:sz w:val="24"/>
              </w:rPr>
              <w:t>3-</w:t>
            </w:r>
            <w:r>
              <w:rPr>
                <w:rFonts w:hint="eastAsia" w:ascii="Times New Roman" w:hAnsi="Times New Roman"/>
                <w:b/>
                <w:color w:val="auto"/>
                <w:sz w:val="24"/>
              </w:rPr>
              <w:t>6</w:t>
            </w:r>
            <w:r>
              <w:rPr>
                <w:rFonts w:ascii="Times New Roman" w:hAnsi="Times New Roman"/>
                <w:b/>
                <w:color w:val="auto"/>
                <w:sz w:val="24"/>
              </w:rPr>
              <w:t xml:space="preserve">  </w:t>
            </w:r>
            <w:r>
              <w:rPr>
                <w:rFonts w:hint="eastAsia" w:ascii="Times New Roman" w:hAnsi="Times New Roman"/>
                <w:b/>
                <w:color w:val="auto"/>
                <w:sz w:val="24"/>
              </w:rPr>
              <w:t>《城镇污水处理厂污染物排放标准》（GB18918-2002）</w:t>
            </w:r>
            <w:r>
              <w:rPr>
                <w:rFonts w:ascii="Times New Roman" w:hAnsi="宋体"/>
                <w:color w:val="auto"/>
                <w:szCs w:val="21"/>
              </w:rPr>
              <w:t>单位：</w:t>
            </w:r>
            <w:r>
              <w:rPr>
                <w:rFonts w:ascii="Times New Roman" w:hAnsi="Times New Roman"/>
                <w:color w:val="auto"/>
                <w:szCs w:val="21"/>
              </w:rPr>
              <w:t>mg/L</w:t>
            </w:r>
          </w:p>
          <w:tbl>
            <w:tblPr>
              <w:tblStyle w:val="4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5485"/>
            </w:tblGrid>
            <w:tr w14:paraId="136B0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tcBorders>
                    <w:top w:val="single" w:color="auto" w:sz="12" w:space="0"/>
                    <w:bottom w:val="single" w:color="auto" w:sz="4" w:space="0"/>
                  </w:tcBorders>
                  <w:noWrap/>
                  <w:vAlign w:val="center"/>
                </w:tcPr>
                <w:p w14:paraId="755A10ED">
                  <w:pPr>
                    <w:pStyle w:val="99"/>
                    <w:rPr>
                      <w:rFonts w:ascii="Times New Roman" w:hAnsi="Times New Roman" w:eastAsia="宋体"/>
                      <w:b/>
                      <w:bCs/>
                      <w:color w:val="auto"/>
                      <w:sz w:val="21"/>
                      <w:szCs w:val="21"/>
                      <w:lang w:val="en-US" w:eastAsia="zh-CN"/>
                    </w:rPr>
                  </w:pPr>
                  <w:r>
                    <w:rPr>
                      <w:rFonts w:ascii="Times New Roman" w:hAnsi="宋体" w:eastAsia="宋体"/>
                      <w:b/>
                      <w:bCs/>
                      <w:color w:val="auto"/>
                      <w:sz w:val="21"/>
                      <w:szCs w:val="21"/>
                      <w:lang w:val="en-US" w:eastAsia="zh-CN"/>
                    </w:rPr>
                    <w:t>水质参数</w:t>
                  </w:r>
                </w:p>
              </w:tc>
              <w:tc>
                <w:tcPr>
                  <w:tcW w:w="3296" w:type="pct"/>
                  <w:tcBorders>
                    <w:top w:val="single" w:color="auto" w:sz="12" w:space="0"/>
                    <w:bottom w:val="single" w:color="auto" w:sz="4" w:space="0"/>
                  </w:tcBorders>
                  <w:noWrap/>
                  <w:vAlign w:val="center"/>
                </w:tcPr>
                <w:p w14:paraId="352A78C8">
                  <w:pPr>
                    <w:pStyle w:val="99"/>
                    <w:rPr>
                      <w:rFonts w:ascii="Times New Roman" w:hAnsi="Times New Roman" w:eastAsia="宋体"/>
                      <w:b/>
                      <w:bCs/>
                      <w:color w:val="auto"/>
                      <w:sz w:val="21"/>
                      <w:szCs w:val="21"/>
                      <w:lang w:val="en-US" w:eastAsia="zh-CN"/>
                    </w:rPr>
                  </w:pPr>
                  <w:r>
                    <w:rPr>
                      <w:rFonts w:ascii="Times New Roman" w:hAnsi="宋体" w:eastAsia="宋体"/>
                      <w:b/>
                      <w:bCs/>
                      <w:color w:val="auto"/>
                      <w:sz w:val="21"/>
                      <w:szCs w:val="21"/>
                      <w:lang w:val="en-US" w:eastAsia="zh-CN"/>
                    </w:rPr>
                    <w:t>排放标准</w:t>
                  </w:r>
                </w:p>
              </w:tc>
            </w:tr>
            <w:tr w14:paraId="367A0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tcBorders>
                    <w:top w:val="single" w:color="auto" w:sz="4" w:space="0"/>
                  </w:tcBorders>
                  <w:noWrap/>
                  <w:vAlign w:val="center"/>
                </w:tcPr>
                <w:p w14:paraId="39D8A293">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pH</w:t>
                  </w:r>
                </w:p>
              </w:tc>
              <w:tc>
                <w:tcPr>
                  <w:tcW w:w="3296" w:type="pct"/>
                  <w:tcBorders>
                    <w:top w:val="single" w:color="auto" w:sz="4" w:space="0"/>
                  </w:tcBorders>
                  <w:noWrap/>
                  <w:vAlign w:val="center"/>
                </w:tcPr>
                <w:p w14:paraId="4E234B1D">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6~9</w:t>
                  </w:r>
                  <w:r>
                    <w:rPr>
                      <w:rFonts w:ascii="Times New Roman" w:hAnsi="宋体" w:eastAsia="宋体"/>
                      <w:color w:val="auto"/>
                      <w:sz w:val="21"/>
                      <w:szCs w:val="21"/>
                      <w:lang w:val="en-US" w:eastAsia="zh-CN"/>
                    </w:rPr>
                    <w:t>（无量纲）</w:t>
                  </w:r>
                </w:p>
              </w:tc>
            </w:tr>
            <w:tr w14:paraId="5DEFE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noWrap/>
                  <w:vAlign w:val="center"/>
                </w:tcPr>
                <w:p w14:paraId="138A753E">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COD</w:t>
                  </w:r>
                </w:p>
              </w:tc>
              <w:tc>
                <w:tcPr>
                  <w:tcW w:w="3296" w:type="pct"/>
                  <w:noWrap/>
                  <w:vAlign w:val="center"/>
                </w:tcPr>
                <w:p w14:paraId="2EE01CC0">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50</w:t>
                  </w:r>
                </w:p>
              </w:tc>
            </w:tr>
            <w:tr w14:paraId="6F62C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noWrap/>
                  <w:vAlign w:val="center"/>
                </w:tcPr>
                <w:p w14:paraId="7D8CEAFA">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SS</w:t>
                  </w:r>
                </w:p>
              </w:tc>
              <w:tc>
                <w:tcPr>
                  <w:tcW w:w="3296" w:type="pct"/>
                  <w:noWrap/>
                  <w:vAlign w:val="center"/>
                </w:tcPr>
                <w:p w14:paraId="7625C623">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10</w:t>
                  </w:r>
                </w:p>
              </w:tc>
            </w:tr>
            <w:tr w14:paraId="491CA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noWrap/>
                  <w:vAlign w:val="center"/>
                </w:tcPr>
                <w:p w14:paraId="422595E8">
                  <w:pPr>
                    <w:pStyle w:val="99"/>
                    <w:rPr>
                      <w:rFonts w:ascii="Times New Roman" w:hAnsi="Times New Roman" w:eastAsia="宋体"/>
                      <w:color w:val="auto"/>
                      <w:sz w:val="21"/>
                      <w:szCs w:val="21"/>
                      <w:lang w:val="en-US" w:eastAsia="zh-CN"/>
                    </w:rPr>
                  </w:pPr>
                  <w:r>
                    <w:rPr>
                      <w:rFonts w:ascii="Times New Roman" w:hAnsi="宋体" w:eastAsia="宋体"/>
                      <w:color w:val="auto"/>
                      <w:sz w:val="21"/>
                      <w:szCs w:val="21"/>
                      <w:lang w:val="en-US" w:eastAsia="zh-CN"/>
                    </w:rPr>
                    <w:t>氨氮</w:t>
                  </w:r>
                </w:p>
              </w:tc>
              <w:tc>
                <w:tcPr>
                  <w:tcW w:w="3296" w:type="pct"/>
                  <w:noWrap/>
                  <w:vAlign w:val="center"/>
                </w:tcPr>
                <w:p w14:paraId="4550DFEF">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5</w:t>
                  </w:r>
                </w:p>
              </w:tc>
            </w:tr>
            <w:tr w14:paraId="3C15F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noWrap/>
                  <w:vAlign w:val="center"/>
                </w:tcPr>
                <w:p w14:paraId="52C576DC">
                  <w:pPr>
                    <w:pStyle w:val="99"/>
                    <w:rPr>
                      <w:rFonts w:ascii="Times New Roman" w:hAnsi="Times New Roman" w:eastAsia="宋体"/>
                      <w:color w:val="auto"/>
                      <w:sz w:val="21"/>
                      <w:szCs w:val="21"/>
                      <w:lang w:val="en-US" w:eastAsia="zh-CN"/>
                    </w:rPr>
                  </w:pPr>
                  <w:r>
                    <w:rPr>
                      <w:rFonts w:ascii="Times New Roman" w:hAnsi="宋体" w:eastAsia="宋体"/>
                      <w:color w:val="auto"/>
                      <w:sz w:val="21"/>
                      <w:szCs w:val="21"/>
                      <w:lang w:val="en-US" w:eastAsia="zh-CN"/>
                    </w:rPr>
                    <w:t>总氮</w:t>
                  </w:r>
                </w:p>
              </w:tc>
              <w:tc>
                <w:tcPr>
                  <w:tcW w:w="3296" w:type="pct"/>
                  <w:noWrap/>
                  <w:vAlign w:val="center"/>
                </w:tcPr>
                <w:p w14:paraId="10017F1C">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15</w:t>
                  </w:r>
                </w:p>
              </w:tc>
            </w:tr>
            <w:tr w14:paraId="56863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3" w:type="pct"/>
                  <w:tcBorders>
                    <w:bottom w:val="single" w:color="auto" w:sz="12" w:space="0"/>
                  </w:tcBorders>
                  <w:noWrap/>
                  <w:vAlign w:val="center"/>
                </w:tcPr>
                <w:p w14:paraId="1A8796D8">
                  <w:pPr>
                    <w:pStyle w:val="99"/>
                    <w:rPr>
                      <w:rFonts w:ascii="Times New Roman" w:hAnsi="Times New Roman" w:eastAsia="宋体"/>
                      <w:color w:val="auto"/>
                      <w:sz w:val="21"/>
                      <w:szCs w:val="21"/>
                      <w:lang w:val="en-US" w:eastAsia="zh-CN"/>
                    </w:rPr>
                  </w:pPr>
                  <w:r>
                    <w:rPr>
                      <w:rFonts w:ascii="Times New Roman" w:hAnsi="宋体" w:eastAsia="宋体"/>
                      <w:color w:val="auto"/>
                      <w:sz w:val="21"/>
                      <w:szCs w:val="21"/>
                      <w:lang w:val="en-US" w:eastAsia="zh-CN"/>
                    </w:rPr>
                    <w:t>总磷</w:t>
                  </w:r>
                </w:p>
              </w:tc>
              <w:tc>
                <w:tcPr>
                  <w:tcW w:w="3296" w:type="pct"/>
                  <w:tcBorders>
                    <w:bottom w:val="single" w:color="auto" w:sz="12" w:space="0"/>
                  </w:tcBorders>
                  <w:noWrap/>
                  <w:vAlign w:val="center"/>
                </w:tcPr>
                <w:p w14:paraId="6F992B70">
                  <w:pPr>
                    <w:pStyle w:val="99"/>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0.5</w:t>
                  </w:r>
                </w:p>
              </w:tc>
            </w:tr>
            <w:tr w14:paraId="1D395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2"/>
                  <w:tcBorders>
                    <w:top w:val="single" w:color="auto" w:sz="12" w:space="0"/>
                  </w:tcBorders>
                  <w:noWrap/>
                  <w:vAlign w:val="center"/>
                </w:tcPr>
                <w:p w14:paraId="5BEF6FC5">
                  <w:pPr>
                    <w:adjustRightInd w:val="0"/>
                    <w:snapToGrid w:val="0"/>
                    <w:rPr>
                      <w:rFonts w:ascii="Times New Roman" w:hAnsi="Times New Roman"/>
                      <w:color w:val="auto"/>
                      <w:szCs w:val="21"/>
                    </w:rPr>
                  </w:pPr>
                </w:p>
              </w:tc>
            </w:tr>
          </w:tbl>
          <w:p w14:paraId="0CC42647">
            <w:pPr>
              <w:wordWrap w:val="0"/>
              <w:adjustRightInd w:val="0"/>
              <w:snapToGrid w:val="0"/>
              <w:spacing w:before="120" w:beforeLines="50"/>
              <w:jc w:val="center"/>
              <w:rPr>
                <w:rFonts w:hint="eastAsia" w:ascii="Times New Roman" w:hAnsi="宋体"/>
                <w:b/>
                <w:color w:val="auto"/>
                <w:sz w:val="24"/>
              </w:rPr>
            </w:pPr>
            <w:r>
              <w:rPr>
                <w:rFonts w:ascii="Times New Roman" w:hAnsi="宋体"/>
                <w:b/>
                <w:color w:val="auto"/>
                <w:sz w:val="24"/>
              </w:rPr>
              <w:t>表</w:t>
            </w:r>
            <w:r>
              <w:rPr>
                <w:rFonts w:ascii="Times New Roman" w:hAnsi="Times New Roman"/>
                <w:b/>
                <w:color w:val="auto"/>
                <w:sz w:val="24"/>
              </w:rPr>
              <w:t>3-</w:t>
            </w:r>
            <w:r>
              <w:rPr>
                <w:rFonts w:hint="eastAsia" w:ascii="Times New Roman" w:hAnsi="Times New Roman"/>
                <w:b/>
                <w:color w:val="auto"/>
                <w:sz w:val="24"/>
              </w:rPr>
              <w:t xml:space="preserve">7 </w:t>
            </w:r>
            <w:r>
              <w:rPr>
                <w:rFonts w:ascii="Times New Roman" w:hAnsi="Times New Roman"/>
                <w:b/>
                <w:color w:val="auto"/>
                <w:sz w:val="24"/>
              </w:rPr>
              <w:t xml:space="preserve"> </w:t>
            </w:r>
            <w:r>
              <w:rPr>
                <w:rFonts w:hint="eastAsia" w:hAnsi="宋体"/>
                <w:b/>
                <w:color w:val="auto"/>
                <w:sz w:val="24"/>
                <w:lang w:eastAsia="zh-CN"/>
              </w:rPr>
              <w:t>厂区绿化</w:t>
            </w:r>
            <w:r>
              <w:rPr>
                <w:rFonts w:hint="eastAsia" w:ascii="Times New Roman" w:hAnsi="宋体"/>
                <w:b/>
                <w:color w:val="auto"/>
                <w:sz w:val="24"/>
              </w:rPr>
              <w:t xml:space="preserve">标准   </w:t>
            </w:r>
            <w:r>
              <w:rPr>
                <w:rFonts w:hint="eastAsia" w:ascii="Times New Roman" w:hAnsi="宋体"/>
                <w:color w:val="auto"/>
                <w:szCs w:val="21"/>
              </w:rPr>
              <w:t xml:space="preserve"> </w:t>
            </w:r>
            <w:r>
              <w:rPr>
                <w:rFonts w:ascii="Times New Roman" w:hAnsi="宋体"/>
                <w:color w:val="auto"/>
                <w:szCs w:val="21"/>
              </w:rPr>
              <w:t>单位：</w:t>
            </w:r>
            <w:r>
              <w:rPr>
                <w:rFonts w:ascii="Times New Roman" w:hAnsi="Times New Roman"/>
                <w:color w:val="auto"/>
                <w:szCs w:val="21"/>
              </w:rPr>
              <w:t>mg/L</w:t>
            </w:r>
          </w:p>
          <w:tbl>
            <w:tblPr>
              <w:tblStyle w:val="4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67"/>
              <w:gridCol w:w="3573"/>
              <w:gridCol w:w="3382"/>
            </w:tblGrid>
            <w:tr w14:paraId="1DE877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5858B713">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序号</w:t>
                  </w:r>
                </w:p>
              </w:tc>
              <w:tc>
                <w:tcPr>
                  <w:tcW w:w="2146" w:type="pct"/>
                  <w:noWrap w:val="0"/>
                  <w:vAlign w:val="center"/>
                </w:tcPr>
                <w:p w14:paraId="481B3186">
                  <w:pPr>
                    <w:pStyle w:val="99"/>
                    <w:rPr>
                      <w:rFonts w:ascii="Times New Roman" w:hAnsi="Times New Roman"/>
                      <w:color w:val="auto"/>
                      <w:sz w:val="21"/>
                      <w:szCs w:val="21"/>
                      <w:lang w:val="en-US" w:eastAsia="zh-CN"/>
                    </w:rPr>
                  </w:pPr>
                  <w:r>
                    <w:rPr>
                      <w:rFonts w:ascii="Times New Roman" w:hAnsi="Times New Roman" w:eastAsia="宋体"/>
                      <w:b/>
                      <w:bCs/>
                      <w:color w:val="auto"/>
                      <w:sz w:val="21"/>
                      <w:szCs w:val="21"/>
                      <w:lang w:val="en-US" w:eastAsia="zh-CN"/>
                    </w:rPr>
                    <w:t>水质参数</w:t>
                  </w:r>
                </w:p>
              </w:tc>
              <w:tc>
                <w:tcPr>
                  <w:tcW w:w="2031" w:type="pct"/>
                  <w:noWrap w:val="0"/>
                  <w:vAlign w:val="center"/>
                </w:tcPr>
                <w:p w14:paraId="14F6D515">
                  <w:pPr>
                    <w:pStyle w:val="99"/>
                    <w:rPr>
                      <w:rFonts w:ascii="Times New Roman" w:hAnsi="Times New Roman"/>
                      <w:color w:val="auto"/>
                      <w:sz w:val="21"/>
                      <w:szCs w:val="21"/>
                      <w:lang w:val="en-US" w:eastAsia="zh-CN"/>
                    </w:rPr>
                  </w:pPr>
                  <w:r>
                    <w:rPr>
                      <w:rFonts w:ascii="Times New Roman" w:hAnsi="Times New Roman" w:eastAsia="宋体"/>
                      <w:b/>
                      <w:bCs/>
                      <w:color w:val="auto"/>
                      <w:sz w:val="21"/>
                      <w:szCs w:val="21"/>
                      <w:lang w:val="en-US" w:eastAsia="zh-CN"/>
                    </w:rPr>
                    <w:t>废水接管标准</w:t>
                  </w:r>
                </w:p>
              </w:tc>
            </w:tr>
            <w:tr w14:paraId="3164D1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129D8FB1">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1</w:t>
                  </w:r>
                </w:p>
              </w:tc>
              <w:tc>
                <w:tcPr>
                  <w:tcW w:w="2146" w:type="pct"/>
                  <w:noWrap w:val="0"/>
                  <w:vAlign w:val="center"/>
                </w:tcPr>
                <w:p w14:paraId="4E86A048">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pH（无量纲）</w:t>
                  </w:r>
                </w:p>
              </w:tc>
              <w:tc>
                <w:tcPr>
                  <w:tcW w:w="2031" w:type="pct"/>
                  <w:noWrap w:val="0"/>
                  <w:vAlign w:val="center"/>
                </w:tcPr>
                <w:p w14:paraId="2AA8146A">
                  <w:pPr>
                    <w:widowControl/>
                    <w:adjustRightInd w:val="0"/>
                    <w:snapToGrid w:val="0"/>
                    <w:jc w:val="center"/>
                    <w:rPr>
                      <w:rFonts w:ascii="Times New Roman" w:hAnsi="Times New Roman"/>
                      <w:color w:val="auto"/>
                      <w:szCs w:val="21"/>
                    </w:rPr>
                  </w:pPr>
                  <w:r>
                    <w:rPr>
                      <w:rFonts w:ascii="Times New Roman" w:hAnsi="Times New Roman"/>
                      <w:color w:val="auto"/>
                      <w:szCs w:val="21"/>
                    </w:rPr>
                    <w:t>6-9</w:t>
                  </w:r>
                </w:p>
              </w:tc>
            </w:tr>
            <w:tr w14:paraId="5D09EF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7F0DC851">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2</w:t>
                  </w:r>
                </w:p>
              </w:tc>
              <w:tc>
                <w:tcPr>
                  <w:tcW w:w="2146" w:type="pct"/>
                  <w:noWrap w:val="0"/>
                  <w:vAlign w:val="center"/>
                </w:tcPr>
                <w:p w14:paraId="1D0CA149">
                  <w:pPr>
                    <w:pStyle w:val="289"/>
                    <w:adjustRightInd w:val="0"/>
                    <w:snapToGrid w:val="0"/>
                    <w:spacing w:after="0"/>
                    <w:rPr>
                      <w:rFonts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BOD</w:t>
                  </w:r>
                  <w:r>
                    <w:rPr>
                      <w:rFonts w:hint="eastAsia" w:ascii="Times New Roman" w:hAnsi="Times New Roman" w:cs="Times New Roman"/>
                      <w:color w:val="auto"/>
                      <w:sz w:val="21"/>
                      <w:vertAlign w:val="subscript"/>
                      <w:lang w:val="en-US" w:eastAsia="zh-CN"/>
                    </w:rPr>
                    <w:t>5</w:t>
                  </w:r>
                  <w:r>
                    <w:rPr>
                      <w:rFonts w:ascii="Times New Roman" w:hAnsi="Times New Roman" w:cs="Times New Roman"/>
                      <w:color w:val="auto"/>
                      <w:sz w:val="21"/>
                      <w:lang w:val="en-US" w:eastAsia="zh-CN"/>
                    </w:rPr>
                    <w:t>（mg/L）</w:t>
                  </w:r>
                </w:p>
              </w:tc>
              <w:tc>
                <w:tcPr>
                  <w:tcW w:w="2031" w:type="pct"/>
                  <w:noWrap w:val="0"/>
                  <w:vAlign w:val="center"/>
                </w:tcPr>
                <w:p w14:paraId="0EA7E8DC">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10</w:t>
                  </w:r>
                </w:p>
              </w:tc>
            </w:tr>
            <w:tr w14:paraId="749204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20AB24C5">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3</w:t>
                  </w:r>
                </w:p>
              </w:tc>
              <w:tc>
                <w:tcPr>
                  <w:tcW w:w="2146" w:type="pct"/>
                  <w:noWrap w:val="0"/>
                  <w:vAlign w:val="center"/>
                </w:tcPr>
                <w:p w14:paraId="2EF3F30E">
                  <w:pPr>
                    <w:pStyle w:val="289"/>
                    <w:adjustRightInd w:val="0"/>
                    <w:snapToGrid w:val="0"/>
                    <w:spacing w:after="0"/>
                    <w:rPr>
                      <w:rFonts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浊度</w:t>
                  </w:r>
                  <w:r>
                    <w:rPr>
                      <w:rFonts w:ascii="Times New Roman" w:hAnsi="Times New Roman" w:cs="Times New Roman"/>
                      <w:color w:val="auto"/>
                      <w:sz w:val="21"/>
                      <w:lang w:val="en-US" w:eastAsia="zh-CN"/>
                    </w:rPr>
                    <w:t>（</w:t>
                  </w:r>
                  <w:r>
                    <w:rPr>
                      <w:rFonts w:hint="eastAsia" w:ascii="Times New Roman" w:hAnsi="Times New Roman" w:cs="Times New Roman"/>
                      <w:color w:val="auto"/>
                      <w:sz w:val="21"/>
                      <w:lang w:val="en-US" w:eastAsia="zh-CN"/>
                    </w:rPr>
                    <w:t>NTU</w:t>
                  </w:r>
                  <w:r>
                    <w:rPr>
                      <w:rFonts w:ascii="Times New Roman" w:hAnsi="Times New Roman" w:cs="Times New Roman"/>
                      <w:color w:val="auto"/>
                      <w:sz w:val="21"/>
                      <w:lang w:val="en-US" w:eastAsia="zh-CN"/>
                    </w:rPr>
                    <w:t>）</w:t>
                  </w:r>
                </w:p>
              </w:tc>
              <w:tc>
                <w:tcPr>
                  <w:tcW w:w="2031" w:type="pct"/>
                  <w:noWrap w:val="0"/>
                  <w:vAlign w:val="center"/>
                </w:tcPr>
                <w:p w14:paraId="17E42F0E">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10</w:t>
                  </w:r>
                </w:p>
              </w:tc>
            </w:tr>
            <w:tr w14:paraId="46BB1C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277B0894">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4</w:t>
                  </w:r>
                </w:p>
              </w:tc>
              <w:tc>
                <w:tcPr>
                  <w:tcW w:w="2146" w:type="pct"/>
                  <w:noWrap w:val="0"/>
                  <w:vAlign w:val="center"/>
                </w:tcPr>
                <w:p w14:paraId="6FB1730D">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氨氮（mg/L）</w:t>
                  </w:r>
                </w:p>
              </w:tc>
              <w:tc>
                <w:tcPr>
                  <w:tcW w:w="2031" w:type="pct"/>
                  <w:noWrap w:val="0"/>
                  <w:vAlign w:val="center"/>
                </w:tcPr>
                <w:p w14:paraId="0D24EBA2">
                  <w:pPr>
                    <w:pStyle w:val="289"/>
                    <w:adjustRightInd w:val="0"/>
                    <w:snapToGrid w:val="0"/>
                    <w:spacing w:after="0"/>
                    <w:rPr>
                      <w:rFonts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8</w:t>
                  </w:r>
                </w:p>
              </w:tc>
            </w:tr>
            <w:tr w14:paraId="7B0AF5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214BBA24">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5</w:t>
                  </w:r>
                </w:p>
              </w:tc>
              <w:tc>
                <w:tcPr>
                  <w:tcW w:w="2146" w:type="pct"/>
                  <w:noWrap w:val="0"/>
                  <w:vAlign w:val="center"/>
                </w:tcPr>
                <w:p w14:paraId="12B4B2EE">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COD</w:t>
                  </w:r>
                </w:p>
              </w:tc>
              <w:tc>
                <w:tcPr>
                  <w:tcW w:w="2031" w:type="pct"/>
                  <w:noWrap w:val="0"/>
                  <w:vAlign w:val="center"/>
                </w:tcPr>
                <w:p w14:paraId="394654A8">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r>
            <w:tr w14:paraId="4E0191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332EC876">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w:t>
                  </w:r>
                </w:p>
              </w:tc>
              <w:tc>
                <w:tcPr>
                  <w:tcW w:w="2146" w:type="pct"/>
                  <w:noWrap w:val="0"/>
                  <w:vAlign w:val="center"/>
                </w:tcPr>
                <w:p w14:paraId="39C00CD8">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SS</w:t>
                  </w:r>
                </w:p>
              </w:tc>
              <w:tc>
                <w:tcPr>
                  <w:tcW w:w="2031" w:type="pct"/>
                  <w:noWrap w:val="0"/>
                  <w:vAlign w:val="center"/>
                </w:tcPr>
                <w:p w14:paraId="19DDCA24">
                  <w:pPr>
                    <w:pStyle w:val="289"/>
                    <w:adjustRightInd w:val="0"/>
                    <w:snapToGrid w:val="0"/>
                    <w:spacing w:after="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r>
          </w:tbl>
          <w:p w14:paraId="30A51763">
            <w:pPr>
              <w:wordWrap w:val="0"/>
              <w:adjustRightInd w:val="0"/>
              <w:snapToGrid w:val="0"/>
              <w:spacing w:before="120" w:beforeLines="50"/>
              <w:jc w:val="center"/>
              <w:rPr>
                <w:rFonts w:hint="eastAsia" w:ascii="Times New Roman" w:hAnsi="宋体"/>
                <w:b/>
                <w:color w:val="auto"/>
                <w:sz w:val="24"/>
              </w:rPr>
            </w:pPr>
            <w:r>
              <w:rPr>
                <w:rFonts w:ascii="Times New Roman" w:hAnsi="宋体"/>
                <w:b/>
                <w:color w:val="auto"/>
                <w:sz w:val="24"/>
              </w:rPr>
              <w:t>表</w:t>
            </w:r>
            <w:r>
              <w:rPr>
                <w:rFonts w:ascii="Times New Roman" w:hAnsi="Times New Roman"/>
                <w:b/>
                <w:color w:val="auto"/>
                <w:sz w:val="24"/>
              </w:rPr>
              <w:t>3-</w:t>
            </w:r>
            <w:r>
              <w:rPr>
                <w:rFonts w:hint="eastAsia"/>
                <w:b/>
                <w:color w:val="auto"/>
                <w:sz w:val="24"/>
                <w:lang w:val="en-US" w:eastAsia="zh-CN"/>
              </w:rPr>
              <w:t>8</w:t>
            </w:r>
            <w:r>
              <w:rPr>
                <w:rFonts w:hint="eastAsia" w:ascii="Times New Roman" w:hAnsi="Times New Roman"/>
                <w:b/>
                <w:color w:val="auto"/>
                <w:sz w:val="24"/>
              </w:rPr>
              <w:t xml:space="preserve"> </w:t>
            </w:r>
            <w:r>
              <w:rPr>
                <w:rFonts w:ascii="Times New Roman" w:hAnsi="Times New Roman"/>
                <w:b/>
                <w:color w:val="auto"/>
                <w:sz w:val="24"/>
              </w:rPr>
              <w:t xml:space="preserve"> </w:t>
            </w:r>
            <w:r>
              <w:rPr>
                <w:rFonts w:hint="eastAsia" w:ascii="Times New Roman" w:hAnsi="宋体"/>
                <w:b/>
                <w:color w:val="auto"/>
                <w:sz w:val="24"/>
              </w:rPr>
              <w:t xml:space="preserve">高沟镇污水处理厂接管标准   </w:t>
            </w:r>
            <w:r>
              <w:rPr>
                <w:rFonts w:hint="eastAsia" w:ascii="Times New Roman" w:hAnsi="宋体"/>
                <w:color w:val="auto"/>
                <w:szCs w:val="21"/>
              </w:rPr>
              <w:t xml:space="preserve"> </w:t>
            </w:r>
            <w:r>
              <w:rPr>
                <w:rFonts w:ascii="Times New Roman" w:hAnsi="宋体"/>
                <w:color w:val="auto"/>
                <w:szCs w:val="21"/>
              </w:rPr>
              <w:t>单位：</w:t>
            </w:r>
            <w:r>
              <w:rPr>
                <w:rFonts w:ascii="Times New Roman" w:hAnsi="Times New Roman"/>
                <w:color w:val="auto"/>
                <w:szCs w:val="21"/>
              </w:rPr>
              <w:t>mg/L</w:t>
            </w:r>
          </w:p>
          <w:tbl>
            <w:tblPr>
              <w:tblStyle w:val="4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67"/>
              <w:gridCol w:w="3573"/>
              <w:gridCol w:w="3382"/>
            </w:tblGrid>
            <w:tr w14:paraId="174643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31DAA480">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序号</w:t>
                  </w:r>
                </w:p>
              </w:tc>
              <w:tc>
                <w:tcPr>
                  <w:tcW w:w="2146" w:type="pct"/>
                  <w:noWrap w:val="0"/>
                  <w:vAlign w:val="center"/>
                </w:tcPr>
                <w:p w14:paraId="0CA0E3AF">
                  <w:pPr>
                    <w:pStyle w:val="99"/>
                    <w:rPr>
                      <w:rFonts w:ascii="Times New Roman" w:hAnsi="Times New Roman"/>
                      <w:color w:val="auto"/>
                      <w:sz w:val="21"/>
                      <w:szCs w:val="21"/>
                      <w:lang w:val="en-US" w:eastAsia="zh-CN"/>
                    </w:rPr>
                  </w:pPr>
                  <w:r>
                    <w:rPr>
                      <w:rFonts w:ascii="Times New Roman" w:hAnsi="Times New Roman" w:eastAsia="宋体"/>
                      <w:b/>
                      <w:bCs/>
                      <w:color w:val="auto"/>
                      <w:sz w:val="21"/>
                      <w:szCs w:val="21"/>
                      <w:lang w:val="en-US" w:eastAsia="zh-CN"/>
                    </w:rPr>
                    <w:t>水质参数</w:t>
                  </w:r>
                </w:p>
              </w:tc>
              <w:tc>
                <w:tcPr>
                  <w:tcW w:w="2031" w:type="pct"/>
                  <w:noWrap w:val="0"/>
                  <w:vAlign w:val="center"/>
                </w:tcPr>
                <w:p w14:paraId="4CCC2AF0">
                  <w:pPr>
                    <w:pStyle w:val="99"/>
                    <w:rPr>
                      <w:rFonts w:ascii="Times New Roman" w:hAnsi="Times New Roman"/>
                      <w:color w:val="auto"/>
                      <w:sz w:val="21"/>
                      <w:szCs w:val="21"/>
                      <w:lang w:val="en-US" w:eastAsia="zh-CN"/>
                    </w:rPr>
                  </w:pPr>
                  <w:r>
                    <w:rPr>
                      <w:rFonts w:ascii="Times New Roman" w:hAnsi="Times New Roman" w:eastAsia="宋体"/>
                      <w:b/>
                      <w:bCs/>
                      <w:color w:val="auto"/>
                      <w:sz w:val="21"/>
                      <w:szCs w:val="21"/>
                      <w:lang w:val="en-US" w:eastAsia="zh-CN"/>
                    </w:rPr>
                    <w:t>废水接管标准</w:t>
                  </w:r>
                </w:p>
              </w:tc>
            </w:tr>
            <w:tr w14:paraId="053FFB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32E48C2B">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1</w:t>
                  </w:r>
                </w:p>
              </w:tc>
              <w:tc>
                <w:tcPr>
                  <w:tcW w:w="2146" w:type="pct"/>
                  <w:noWrap w:val="0"/>
                  <w:vAlign w:val="center"/>
                </w:tcPr>
                <w:p w14:paraId="5C383597">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pH（无量纲）</w:t>
                  </w:r>
                </w:p>
              </w:tc>
              <w:tc>
                <w:tcPr>
                  <w:tcW w:w="2031" w:type="pct"/>
                  <w:noWrap w:val="0"/>
                  <w:vAlign w:val="center"/>
                </w:tcPr>
                <w:p w14:paraId="684FCFFC">
                  <w:pPr>
                    <w:widowControl/>
                    <w:adjustRightInd w:val="0"/>
                    <w:snapToGrid w:val="0"/>
                    <w:jc w:val="center"/>
                    <w:rPr>
                      <w:rFonts w:ascii="Times New Roman" w:hAnsi="Times New Roman"/>
                      <w:color w:val="auto"/>
                      <w:szCs w:val="21"/>
                    </w:rPr>
                  </w:pPr>
                  <w:r>
                    <w:rPr>
                      <w:rFonts w:ascii="Times New Roman" w:hAnsi="Times New Roman"/>
                      <w:color w:val="auto"/>
                      <w:szCs w:val="21"/>
                    </w:rPr>
                    <w:t>6-9</w:t>
                  </w:r>
                </w:p>
              </w:tc>
            </w:tr>
            <w:tr w14:paraId="02F746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25DCD304">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2</w:t>
                  </w:r>
                </w:p>
              </w:tc>
              <w:tc>
                <w:tcPr>
                  <w:tcW w:w="2146" w:type="pct"/>
                  <w:noWrap w:val="0"/>
                  <w:vAlign w:val="center"/>
                </w:tcPr>
                <w:p w14:paraId="2D6EEFB0">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COD（mg/L）</w:t>
                  </w:r>
                </w:p>
              </w:tc>
              <w:tc>
                <w:tcPr>
                  <w:tcW w:w="2031" w:type="pct"/>
                  <w:noWrap w:val="0"/>
                  <w:vAlign w:val="center"/>
                </w:tcPr>
                <w:p w14:paraId="6B230295">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350</w:t>
                  </w:r>
                </w:p>
              </w:tc>
            </w:tr>
            <w:tr w14:paraId="5F76B4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66A9692F">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3</w:t>
                  </w:r>
                </w:p>
              </w:tc>
              <w:tc>
                <w:tcPr>
                  <w:tcW w:w="2146" w:type="pct"/>
                  <w:noWrap w:val="0"/>
                  <w:vAlign w:val="center"/>
                </w:tcPr>
                <w:p w14:paraId="448C7F51">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SS（mg/L）</w:t>
                  </w:r>
                </w:p>
              </w:tc>
              <w:tc>
                <w:tcPr>
                  <w:tcW w:w="2031" w:type="pct"/>
                  <w:noWrap w:val="0"/>
                  <w:vAlign w:val="center"/>
                </w:tcPr>
                <w:p w14:paraId="767681CD">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200</w:t>
                  </w:r>
                </w:p>
              </w:tc>
            </w:tr>
            <w:tr w14:paraId="7F02E5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6E8C04D7">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4</w:t>
                  </w:r>
                </w:p>
              </w:tc>
              <w:tc>
                <w:tcPr>
                  <w:tcW w:w="2146" w:type="pct"/>
                  <w:noWrap w:val="0"/>
                  <w:vAlign w:val="center"/>
                </w:tcPr>
                <w:p w14:paraId="5910171E">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氨氮（mg/L）</w:t>
                  </w:r>
                </w:p>
              </w:tc>
              <w:tc>
                <w:tcPr>
                  <w:tcW w:w="2031" w:type="pct"/>
                  <w:noWrap w:val="0"/>
                  <w:vAlign w:val="center"/>
                </w:tcPr>
                <w:p w14:paraId="694C83CF">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35</w:t>
                  </w:r>
                </w:p>
              </w:tc>
            </w:tr>
            <w:tr w14:paraId="0CDC46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3D350C12">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5</w:t>
                  </w:r>
                </w:p>
              </w:tc>
              <w:tc>
                <w:tcPr>
                  <w:tcW w:w="2146" w:type="pct"/>
                  <w:noWrap w:val="0"/>
                  <w:vAlign w:val="center"/>
                </w:tcPr>
                <w:p w14:paraId="2332E427">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总磷（mg/L）</w:t>
                  </w:r>
                </w:p>
              </w:tc>
              <w:tc>
                <w:tcPr>
                  <w:tcW w:w="2031" w:type="pct"/>
                  <w:noWrap w:val="0"/>
                  <w:vAlign w:val="center"/>
                </w:tcPr>
                <w:p w14:paraId="745D5A3F">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4</w:t>
                  </w:r>
                </w:p>
              </w:tc>
            </w:tr>
            <w:tr w14:paraId="3923C8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821" w:type="pct"/>
                  <w:noWrap w:val="0"/>
                  <w:vAlign w:val="center"/>
                </w:tcPr>
                <w:p w14:paraId="32567612">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6</w:t>
                  </w:r>
                </w:p>
              </w:tc>
              <w:tc>
                <w:tcPr>
                  <w:tcW w:w="2146" w:type="pct"/>
                  <w:noWrap w:val="0"/>
                  <w:vAlign w:val="center"/>
                </w:tcPr>
                <w:p w14:paraId="5EB4240B">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总氮（mg/L）</w:t>
                  </w:r>
                </w:p>
              </w:tc>
              <w:tc>
                <w:tcPr>
                  <w:tcW w:w="2031" w:type="pct"/>
                  <w:noWrap w:val="0"/>
                  <w:vAlign w:val="center"/>
                </w:tcPr>
                <w:p w14:paraId="4F0FDAFD">
                  <w:pPr>
                    <w:pStyle w:val="289"/>
                    <w:adjustRightInd w:val="0"/>
                    <w:snapToGrid w:val="0"/>
                    <w:spacing w:after="0"/>
                    <w:rPr>
                      <w:rFonts w:ascii="Times New Roman" w:hAnsi="Times New Roman" w:cs="Times New Roman"/>
                      <w:color w:val="auto"/>
                      <w:sz w:val="21"/>
                      <w:lang w:val="en-US" w:eastAsia="zh-CN"/>
                    </w:rPr>
                  </w:pPr>
                  <w:r>
                    <w:rPr>
                      <w:rFonts w:ascii="Times New Roman" w:hAnsi="Times New Roman" w:cs="Times New Roman"/>
                      <w:color w:val="auto"/>
                      <w:sz w:val="21"/>
                      <w:lang w:val="en-US" w:eastAsia="zh-CN"/>
                    </w:rPr>
                    <w:t>40</w:t>
                  </w:r>
                </w:p>
              </w:tc>
            </w:tr>
          </w:tbl>
          <w:p w14:paraId="77E943E9">
            <w:pPr>
              <w:spacing w:line="360" w:lineRule="auto"/>
              <w:ind w:firstLine="482" w:firstLineChars="200"/>
              <w:contextualSpacing/>
              <w:rPr>
                <w:b/>
                <w:bCs/>
                <w:color w:val="auto"/>
                <w:sz w:val="24"/>
              </w:rPr>
            </w:pPr>
            <w:r>
              <w:rPr>
                <w:b/>
                <w:bCs/>
                <w:color w:val="auto"/>
                <w:sz w:val="24"/>
              </w:rPr>
              <w:t>3、噪声排放标准</w:t>
            </w:r>
          </w:p>
          <w:p w14:paraId="1A3C6EAC">
            <w:pPr>
              <w:snapToGrid w:val="0"/>
              <w:spacing w:line="360" w:lineRule="auto"/>
              <w:ind w:firstLine="480" w:firstLineChars="200"/>
              <w:rPr>
                <w:color w:val="auto"/>
                <w:sz w:val="24"/>
              </w:rPr>
            </w:pPr>
            <w:r>
              <w:rPr>
                <w:rStyle w:val="86"/>
                <w:color w:val="auto"/>
              </w:rPr>
              <w:t>建设项目施工期厂界噪声执行《建筑施工场界环境噪声排放标准》(GB12523-2011)中的噪声限值标准，运营期厂界</w:t>
            </w:r>
            <w:r>
              <w:rPr>
                <w:rStyle w:val="86"/>
                <w:rFonts w:hint="eastAsia"/>
                <w:color w:val="auto"/>
              </w:rPr>
              <w:t>西侧、南侧</w:t>
            </w:r>
            <w:r>
              <w:rPr>
                <w:rStyle w:val="86"/>
                <w:rFonts w:hint="eastAsia"/>
                <w:color w:val="auto"/>
                <w:lang w:eastAsia="zh-CN"/>
              </w:rPr>
              <w:t>、北侧</w:t>
            </w:r>
            <w:r>
              <w:rPr>
                <w:rStyle w:val="86"/>
                <w:color w:val="auto"/>
              </w:rPr>
              <w:t>噪声标准执行《工业企业厂界环境噪声排放标准》（GB12348-2008）中</w:t>
            </w:r>
            <w:r>
              <w:rPr>
                <w:rStyle w:val="86"/>
                <w:rFonts w:hint="eastAsia"/>
                <w:color w:val="auto"/>
                <w:lang w:val="en-US" w:eastAsia="zh-CN"/>
              </w:rPr>
              <w:t>2</w:t>
            </w:r>
            <w:r>
              <w:rPr>
                <w:rStyle w:val="86"/>
                <w:rFonts w:hint="eastAsia"/>
                <w:color w:val="auto"/>
              </w:rPr>
              <w:t>类</w:t>
            </w:r>
            <w:r>
              <w:rPr>
                <w:rStyle w:val="86"/>
                <w:color w:val="auto"/>
              </w:rPr>
              <w:t>标准</w:t>
            </w:r>
            <w:r>
              <w:rPr>
                <w:rStyle w:val="86"/>
                <w:rFonts w:hint="eastAsia"/>
                <w:color w:val="auto"/>
                <w:lang w:eastAsia="zh-CN"/>
              </w:rPr>
              <w:t>，厂界东侧噪声标准执行</w:t>
            </w:r>
            <w:r>
              <w:rPr>
                <w:rStyle w:val="86"/>
                <w:color w:val="auto"/>
              </w:rPr>
              <w:t>《工业企业厂界环境噪声排放标准》（GB12348-2008）中</w:t>
            </w:r>
            <w:r>
              <w:rPr>
                <w:rStyle w:val="86"/>
                <w:rFonts w:hint="eastAsia"/>
                <w:color w:val="auto"/>
                <w:lang w:val="en-US" w:eastAsia="zh-CN"/>
              </w:rPr>
              <w:t>4</w:t>
            </w:r>
            <w:r>
              <w:rPr>
                <w:rStyle w:val="86"/>
                <w:rFonts w:hint="eastAsia"/>
                <w:color w:val="auto"/>
              </w:rPr>
              <w:t>类</w:t>
            </w:r>
            <w:r>
              <w:rPr>
                <w:rStyle w:val="86"/>
                <w:color w:val="auto"/>
              </w:rPr>
              <w:t>标准</w:t>
            </w:r>
            <w:r>
              <w:rPr>
                <w:rStyle w:val="86"/>
                <w:rFonts w:hint="eastAsia"/>
                <w:color w:val="auto"/>
                <w:lang w:eastAsia="zh-CN"/>
              </w:rPr>
              <w:t>。</w:t>
            </w:r>
            <w:r>
              <w:rPr>
                <w:rStyle w:val="86"/>
                <w:color w:val="auto"/>
              </w:rPr>
              <w:t>具体排放限值见下表</w:t>
            </w:r>
            <w:r>
              <w:rPr>
                <w:color w:val="auto"/>
                <w:sz w:val="24"/>
              </w:rPr>
              <w:t>。</w:t>
            </w:r>
          </w:p>
          <w:p w14:paraId="5920EC13">
            <w:pPr>
              <w:pStyle w:val="103"/>
              <w:spacing w:line="240" w:lineRule="auto"/>
              <w:rPr>
                <w:snapToGrid w:val="0"/>
                <w:color w:val="auto"/>
              </w:rPr>
            </w:pPr>
            <w:r>
              <w:rPr>
                <w:snapToGrid w:val="0"/>
                <w:color w:val="auto"/>
              </w:rPr>
              <w:t>表3-</w:t>
            </w:r>
            <w:r>
              <w:rPr>
                <w:rFonts w:hint="eastAsia"/>
                <w:snapToGrid w:val="0"/>
                <w:color w:val="auto"/>
                <w:lang w:val="en-US" w:eastAsia="zh-CN"/>
              </w:rPr>
              <w:t>8</w:t>
            </w:r>
            <w:r>
              <w:rPr>
                <w:snapToGrid w:val="0"/>
                <w:color w:val="auto"/>
              </w:rPr>
              <w:t xml:space="preserve">  建筑施工场界环境噪声排放标准</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3212"/>
              <w:gridCol w:w="2870"/>
            </w:tblGrid>
            <w:tr w14:paraId="38E31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9" w:type="dxa"/>
                  <w:gridSpan w:val="2"/>
                  <w:vAlign w:val="center"/>
                </w:tcPr>
                <w:p w14:paraId="7E8CF2C3">
                  <w:pPr>
                    <w:jc w:val="center"/>
                    <w:rPr>
                      <w:b/>
                      <w:snapToGrid w:val="0"/>
                      <w:color w:val="auto"/>
                      <w:kern w:val="0"/>
                      <w:szCs w:val="21"/>
                    </w:rPr>
                  </w:pPr>
                  <w:r>
                    <w:rPr>
                      <w:b/>
                      <w:snapToGrid w:val="0"/>
                      <w:color w:val="auto"/>
                      <w:kern w:val="0"/>
                      <w:szCs w:val="21"/>
                    </w:rPr>
                    <w:t>标准限值（dB(A)）</w:t>
                  </w:r>
                </w:p>
              </w:tc>
              <w:tc>
                <w:tcPr>
                  <w:tcW w:w="2882" w:type="dxa"/>
                  <w:vMerge w:val="restart"/>
                  <w:vAlign w:val="center"/>
                </w:tcPr>
                <w:p w14:paraId="47F24BBA">
                  <w:pPr>
                    <w:jc w:val="center"/>
                    <w:rPr>
                      <w:b/>
                      <w:snapToGrid w:val="0"/>
                      <w:color w:val="auto"/>
                      <w:kern w:val="0"/>
                      <w:szCs w:val="21"/>
                    </w:rPr>
                  </w:pPr>
                  <w:r>
                    <w:rPr>
                      <w:b/>
                      <w:snapToGrid w:val="0"/>
                      <w:color w:val="auto"/>
                      <w:kern w:val="0"/>
                      <w:szCs w:val="21"/>
                    </w:rPr>
                    <w:t>标准来源</w:t>
                  </w:r>
                </w:p>
              </w:tc>
            </w:tr>
            <w:tr w14:paraId="6BB9C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4" w:type="dxa"/>
                  <w:vAlign w:val="center"/>
                </w:tcPr>
                <w:p w14:paraId="29F6AA86">
                  <w:pPr>
                    <w:jc w:val="center"/>
                    <w:rPr>
                      <w:b/>
                      <w:snapToGrid w:val="0"/>
                      <w:color w:val="auto"/>
                      <w:kern w:val="0"/>
                      <w:szCs w:val="21"/>
                    </w:rPr>
                  </w:pPr>
                  <w:r>
                    <w:rPr>
                      <w:b/>
                      <w:snapToGrid w:val="0"/>
                      <w:color w:val="auto"/>
                      <w:kern w:val="0"/>
                      <w:szCs w:val="21"/>
                    </w:rPr>
                    <w:t>昼间</w:t>
                  </w:r>
                </w:p>
              </w:tc>
              <w:tc>
                <w:tcPr>
                  <w:tcW w:w="3245" w:type="dxa"/>
                  <w:vAlign w:val="center"/>
                </w:tcPr>
                <w:p w14:paraId="0EFECBFB">
                  <w:pPr>
                    <w:jc w:val="center"/>
                    <w:rPr>
                      <w:b/>
                      <w:snapToGrid w:val="0"/>
                      <w:color w:val="auto"/>
                      <w:kern w:val="0"/>
                      <w:szCs w:val="21"/>
                    </w:rPr>
                  </w:pPr>
                  <w:r>
                    <w:rPr>
                      <w:b/>
                      <w:snapToGrid w:val="0"/>
                      <w:color w:val="auto"/>
                      <w:kern w:val="0"/>
                      <w:szCs w:val="21"/>
                    </w:rPr>
                    <w:t>夜间</w:t>
                  </w:r>
                </w:p>
              </w:tc>
              <w:tc>
                <w:tcPr>
                  <w:tcW w:w="2882" w:type="dxa"/>
                  <w:vMerge w:val="continue"/>
                  <w:vAlign w:val="center"/>
                </w:tcPr>
                <w:p w14:paraId="291319D5">
                  <w:pPr>
                    <w:jc w:val="center"/>
                    <w:rPr>
                      <w:b/>
                      <w:snapToGrid w:val="0"/>
                      <w:color w:val="auto"/>
                      <w:kern w:val="0"/>
                      <w:szCs w:val="21"/>
                    </w:rPr>
                  </w:pPr>
                </w:p>
              </w:tc>
            </w:tr>
            <w:tr w14:paraId="1F251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4" w:type="dxa"/>
                  <w:vAlign w:val="center"/>
                </w:tcPr>
                <w:p w14:paraId="3DCC7991">
                  <w:pPr>
                    <w:jc w:val="center"/>
                    <w:rPr>
                      <w:snapToGrid w:val="0"/>
                      <w:color w:val="auto"/>
                      <w:kern w:val="0"/>
                      <w:szCs w:val="21"/>
                    </w:rPr>
                  </w:pPr>
                  <w:r>
                    <w:rPr>
                      <w:snapToGrid w:val="0"/>
                      <w:color w:val="auto"/>
                      <w:kern w:val="0"/>
                      <w:szCs w:val="21"/>
                    </w:rPr>
                    <w:t>70</w:t>
                  </w:r>
                </w:p>
              </w:tc>
              <w:tc>
                <w:tcPr>
                  <w:tcW w:w="3245" w:type="dxa"/>
                  <w:vAlign w:val="center"/>
                </w:tcPr>
                <w:p w14:paraId="6D62FA5F">
                  <w:pPr>
                    <w:jc w:val="center"/>
                    <w:rPr>
                      <w:snapToGrid w:val="0"/>
                      <w:color w:val="auto"/>
                      <w:kern w:val="0"/>
                      <w:szCs w:val="21"/>
                    </w:rPr>
                  </w:pPr>
                  <w:r>
                    <w:rPr>
                      <w:snapToGrid w:val="0"/>
                      <w:color w:val="auto"/>
                      <w:kern w:val="0"/>
                      <w:szCs w:val="21"/>
                    </w:rPr>
                    <w:t>55</w:t>
                  </w:r>
                </w:p>
              </w:tc>
              <w:tc>
                <w:tcPr>
                  <w:tcW w:w="2882" w:type="dxa"/>
                  <w:vMerge w:val="restart"/>
                  <w:vAlign w:val="center"/>
                </w:tcPr>
                <w:p w14:paraId="343EDA52">
                  <w:pPr>
                    <w:jc w:val="center"/>
                    <w:rPr>
                      <w:snapToGrid w:val="0"/>
                      <w:color w:val="auto"/>
                      <w:kern w:val="0"/>
                      <w:szCs w:val="21"/>
                    </w:rPr>
                  </w:pPr>
                  <w:r>
                    <w:rPr>
                      <w:snapToGrid w:val="0"/>
                      <w:color w:val="auto"/>
                      <w:kern w:val="0"/>
                      <w:szCs w:val="21"/>
                    </w:rPr>
                    <w:t>《建筑施工场界环境噪声排放标准》（GB12523-2011）</w:t>
                  </w:r>
                </w:p>
              </w:tc>
            </w:tr>
            <w:tr w14:paraId="2FD01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9" w:type="dxa"/>
                  <w:gridSpan w:val="2"/>
                  <w:vAlign w:val="center"/>
                </w:tcPr>
                <w:p w14:paraId="2FF90DD1">
                  <w:pPr>
                    <w:jc w:val="center"/>
                    <w:rPr>
                      <w:snapToGrid w:val="0"/>
                      <w:color w:val="auto"/>
                      <w:kern w:val="0"/>
                      <w:szCs w:val="21"/>
                    </w:rPr>
                  </w:pPr>
                  <w:r>
                    <w:rPr>
                      <w:color w:val="auto"/>
                      <w:kern w:val="0"/>
                      <w:szCs w:val="21"/>
                    </w:rPr>
                    <w:t>夜间噪声最大声级超过限值的幅度不得高于15dB（A）</w:t>
                  </w:r>
                </w:p>
              </w:tc>
              <w:tc>
                <w:tcPr>
                  <w:tcW w:w="2882" w:type="dxa"/>
                  <w:vMerge w:val="continue"/>
                  <w:vAlign w:val="center"/>
                </w:tcPr>
                <w:p w14:paraId="30404A90">
                  <w:pPr>
                    <w:jc w:val="center"/>
                    <w:rPr>
                      <w:snapToGrid w:val="0"/>
                      <w:color w:val="auto"/>
                      <w:kern w:val="0"/>
                      <w:szCs w:val="21"/>
                    </w:rPr>
                  </w:pPr>
                </w:p>
              </w:tc>
            </w:tr>
          </w:tbl>
          <w:p w14:paraId="30CCA63B">
            <w:pPr>
              <w:pStyle w:val="103"/>
              <w:spacing w:line="240" w:lineRule="auto"/>
              <w:rPr>
                <w:snapToGrid w:val="0"/>
                <w:color w:val="auto"/>
              </w:rPr>
            </w:pPr>
            <w:r>
              <w:rPr>
                <w:snapToGrid w:val="0"/>
                <w:color w:val="auto"/>
              </w:rPr>
              <w:t>表3-</w:t>
            </w:r>
            <w:r>
              <w:rPr>
                <w:rFonts w:hint="eastAsia"/>
                <w:snapToGrid w:val="0"/>
                <w:color w:val="auto"/>
                <w:lang w:val="en-US" w:eastAsia="zh-CN"/>
              </w:rPr>
              <w:t>9</w:t>
            </w:r>
            <w:r>
              <w:rPr>
                <w:snapToGrid w:val="0"/>
                <w:color w:val="auto"/>
              </w:rPr>
              <w:t xml:space="preserve">  工业企业厂界环境噪声排放标准单位：dB(A)</w:t>
            </w:r>
          </w:p>
          <w:tbl>
            <w:tblPr>
              <w:tblStyle w:val="4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051"/>
              <w:gridCol w:w="1067"/>
              <w:gridCol w:w="2416"/>
              <w:gridCol w:w="2859"/>
            </w:tblGrid>
            <w:tr w14:paraId="1A601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pct"/>
                  <w:vAlign w:val="center"/>
                </w:tcPr>
                <w:p w14:paraId="6796E03D">
                  <w:pPr>
                    <w:adjustRightInd w:val="0"/>
                    <w:snapToGrid w:val="0"/>
                    <w:jc w:val="center"/>
                    <w:rPr>
                      <w:b/>
                      <w:color w:val="auto"/>
                      <w:szCs w:val="21"/>
                    </w:rPr>
                  </w:pPr>
                  <w:r>
                    <w:rPr>
                      <w:b/>
                      <w:color w:val="auto"/>
                      <w:szCs w:val="21"/>
                    </w:rPr>
                    <w:t>类别</w:t>
                  </w:r>
                </w:p>
              </w:tc>
              <w:tc>
                <w:tcPr>
                  <w:tcW w:w="631" w:type="pct"/>
                  <w:vAlign w:val="center"/>
                </w:tcPr>
                <w:p w14:paraId="721A9BEF">
                  <w:pPr>
                    <w:adjustRightInd w:val="0"/>
                    <w:snapToGrid w:val="0"/>
                    <w:jc w:val="center"/>
                    <w:rPr>
                      <w:b/>
                      <w:color w:val="auto"/>
                      <w:szCs w:val="21"/>
                    </w:rPr>
                  </w:pPr>
                  <w:r>
                    <w:rPr>
                      <w:b/>
                      <w:color w:val="auto"/>
                      <w:szCs w:val="21"/>
                    </w:rPr>
                    <w:t>昼间</w:t>
                  </w:r>
                </w:p>
              </w:tc>
              <w:tc>
                <w:tcPr>
                  <w:tcW w:w="641" w:type="pct"/>
                  <w:vAlign w:val="center"/>
                </w:tcPr>
                <w:p w14:paraId="40FA6162">
                  <w:pPr>
                    <w:adjustRightInd w:val="0"/>
                    <w:snapToGrid w:val="0"/>
                    <w:jc w:val="center"/>
                    <w:rPr>
                      <w:rFonts w:hint="eastAsia" w:eastAsia="宋体"/>
                      <w:b/>
                      <w:color w:val="auto"/>
                      <w:szCs w:val="21"/>
                      <w:lang w:eastAsia="zh-CN"/>
                    </w:rPr>
                  </w:pPr>
                  <w:r>
                    <w:rPr>
                      <w:rFonts w:hint="eastAsia"/>
                      <w:b/>
                      <w:color w:val="auto"/>
                      <w:szCs w:val="21"/>
                      <w:lang w:eastAsia="zh-CN"/>
                    </w:rPr>
                    <w:t>夜间</w:t>
                  </w:r>
                </w:p>
              </w:tc>
              <w:tc>
                <w:tcPr>
                  <w:tcW w:w="1451" w:type="pct"/>
                  <w:vAlign w:val="center"/>
                </w:tcPr>
                <w:p w14:paraId="600EF49D">
                  <w:pPr>
                    <w:adjustRightInd w:val="0"/>
                    <w:snapToGrid w:val="0"/>
                    <w:jc w:val="center"/>
                    <w:rPr>
                      <w:b/>
                      <w:color w:val="auto"/>
                      <w:szCs w:val="21"/>
                    </w:rPr>
                  </w:pPr>
                  <w:r>
                    <w:rPr>
                      <w:rFonts w:hint="eastAsia"/>
                      <w:b/>
                      <w:color w:val="auto"/>
                      <w:szCs w:val="21"/>
                    </w:rPr>
                    <w:t>备注</w:t>
                  </w:r>
                </w:p>
              </w:tc>
              <w:tc>
                <w:tcPr>
                  <w:tcW w:w="1717" w:type="pct"/>
                  <w:vAlign w:val="center"/>
                </w:tcPr>
                <w:p w14:paraId="7AA75B96">
                  <w:pPr>
                    <w:adjustRightInd w:val="0"/>
                    <w:snapToGrid w:val="0"/>
                    <w:jc w:val="center"/>
                    <w:rPr>
                      <w:b/>
                      <w:color w:val="auto"/>
                      <w:szCs w:val="21"/>
                    </w:rPr>
                  </w:pPr>
                  <w:r>
                    <w:rPr>
                      <w:b/>
                      <w:snapToGrid w:val="0"/>
                      <w:color w:val="auto"/>
                      <w:kern w:val="0"/>
                      <w:szCs w:val="21"/>
                    </w:rPr>
                    <w:t>标准来源</w:t>
                  </w:r>
                </w:p>
              </w:tc>
            </w:tr>
            <w:tr w14:paraId="10A96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pct"/>
                  <w:vAlign w:val="center"/>
                </w:tcPr>
                <w:p w14:paraId="7FDB6FA4">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r>
                    <w:rPr>
                      <w:rFonts w:hint="eastAsia"/>
                      <w:color w:val="auto"/>
                      <w:szCs w:val="21"/>
                    </w:rPr>
                    <w:t>类</w:t>
                  </w:r>
                  <w:r>
                    <w:rPr>
                      <w:rFonts w:hint="eastAsia" w:ascii="宋体" w:hAnsi="宋体" w:eastAsia="宋体" w:cs="宋体"/>
                      <w:color w:val="auto"/>
                      <w:szCs w:val="21"/>
                      <w:vertAlign w:val="superscript"/>
                    </w:rPr>
                    <w:t>*</w:t>
                  </w:r>
                </w:p>
              </w:tc>
              <w:tc>
                <w:tcPr>
                  <w:tcW w:w="631" w:type="pct"/>
                  <w:vAlign w:val="center"/>
                </w:tcPr>
                <w:p w14:paraId="5A7481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641" w:type="pct"/>
                  <w:vAlign w:val="center"/>
                </w:tcPr>
                <w:p w14:paraId="594200B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w:t>
                  </w:r>
                </w:p>
              </w:tc>
              <w:tc>
                <w:tcPr>
                  <w:tcW w:w="1451" w:type="pct"/>
                  <w:vAlign w:val="center"/>
                </w:tcPr>
                <w:p w14:paraId="292F639B">
                  <w:pPr>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86"/>
                      <w:color w:val="auto"/>
                      <w:sz w:val="21"/>
                      <w:szCs w:val="21"/>
                    </w:rPr>
                    <w:t>厂界</w:t>
                  </w:r>
                  <w:r>
                    <w:rPr>
                      <w:rStyle w:val="86"/>
                      <w:rFonts w:hint="eastAsia"/>
                      <w:color w:val="auto"/>
                      <w:sz w:val="21"/>
                      <w:szCs w:val="21"/>
                    </w:rPr>
                    <w:t>西侧、南侧</w:t>
                  </w:r>
                  <w:r>
                    <w:rPr>
                      <w:rStyle w:val="86"/>
                      <w:rFonts w:hint="eastAsia"/>
                      <w:color w:val="auto"/>
                      <w:sz w:val="21"/>
                      <w:szCs w:val="21"/>
                      <w:lang w:eastAsia="zh-CN"/>
                    </w:rPr>
                    <w:t>、北侧</w:t>
                  </w:r>
                </w:p>
              </w:tc>
              <w:tc>
                <w:tcPr>
                  <w:tcW w:w="1717" w:type="pct"/>
                  <w:vMerge w:val="restart"/>
                  <w:vAlign w:val="center"/>
                </w:tcPr>
                <w:p w14:paraId="0D3D518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《工业企业厂界环境噪声排放标准》（GB12348-2008）</w:t>
                  </w:r>
                </w:p>
              </w:tc>
            </w:tr>
            <w:tr w14:paraId="66072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8" w:type="pct"/>
                  <w:vAlign w:val="center"/>
                </w:tcPr>
                <w:p w14:paraId="4586B7C5">
                  <w:pPr>
                    <w:adjustRightInd w:val="0"/>
                    <w:snapToGrid w:val="0"/>
                    <w:jc w:val="center"/>
                    <w:rPr>
                      <w:rFonts w:hint="eastAsia" w:eastAsia="宋体"/>
                      <w:color w:val="auto"/>
                      <w:szCs w:val="21"/>
                      <w:lang w:val="en-US" w:eastAsia="zh-CN"/>
                    </w:rPr>
                  </w:pPr>
                  <w:r>
                    <w:rPr>
                      <w:rFonts w:hint="eastAsia"/>
                      <w:color w:val="auto"/>
                      <w:szCs w:val="21"/>
                      <w:lang w:val="en-US" w:eastAsia="zh-CN"/>
                    </w:rPr>
                    <w:t>4类</w:t>
                  </w:r>
                </w:p>
              </w:tc>
              <w:tc>
                <w:tcPr>
                  <w:tcW w:w="631" w:type="pct"/>
                  <w:vAlign w:val="center"/>
                </w:tcPr>
                <w:p w14:paraId="4A7A710F">
                  <w:pPr>
                    <w:adjustRightInd w:val="0"/>
                    <w:snapToGrid w:val="0"/>
                    <w:jc w:val="center"/>
                    <w:rPr>
                      <w:rFonts w:hint="default" w:eastAsia="宋体"/>
                      <w:color w:val="auto"/>
                      <w:szCs w:val="21"/>
                      <w:lang w:val="en-US" w:eastAsia="zh-CN"/>
                    </w:rPr>
                  </w:pPr>
                  <w:r>
                    <w:rPr>
                      <w:rFonts w:hint="eastAsia"/>
                      <w:color w:val="auto"/>
                      <w:szCs w:val="21"/>
                      <w:lang w:val="en-US" w:eastAsia="zh-CN"/>
                    </w:rPr>
                    <w:t>70</w:t>
                  </w:r>
                </w:p>
              </w:tc>
              <w:tc>
                <w:tcPr>
                  <w:tcW w:w="641" w:type="pct"/>
                  <w:vAlign w:val="center"/>
                </w:tcPr>
                <w:p w14:paraId="7334F16B">
                  <w:pPr>
                    <w:adjustRightInd w:val="0"/>
                    <w:snapToGrid w:val="0"/>
                    <w:jc w:val="center"/>
                    <w:rPr>
                      <w:rFonts w:hint="default"/>
                      <w:color w:val="auto"/>
                      <w:szCs w:val="21"/>
                      <w:lang w:val="en-US" w:eastAsia="zh-CN"/>
                    </w:rPr>
                  </w:pPr>
                  <w:r>
                    <w:rPr>
                      <w:rFonts w:hint="eastAsia"/>
                      <w:color w:val="auto"/>
                      <w:szCs w:val="21"/>
                      <w:lang w:val="en-US" w:eastAsia="zh-CN"/>
                    </w:rPr>
                    <w:t>55</w:t>
                  </w:r>
                </w:p>
              </w:tc>
              <w:tc>
                <w:tcPr>
                  <w:tcW w:w="1451" w:type="pct"/>
                  <w:vAlign w:val="center"/>
                </w:tcPr>
                <w:p w14:paraId="1C54EAC7">
                  <w:pPr>
                    <w:adjustRightInd w:val="0"/>
                    <w:snapToGrid w:val="0"/>
                    <w:jc w:val="center"/>
                    <w:rPr>
                      <w:color w:val="auto"/>
                      <w:szCs w:val="21"/>
                    </w:rPr>
                  </w:pPr>
                  <w:r>
                    <w:rPr>
                      <w:rStyle w:val="86"/>
                      <w:color w:val="auto"/>
                      <w:sz w:val="21"/>
                      <w:szCs w:val="21"/>
                    </w:rPr>
                    <w:t>厂界</w:t>
                  </w:r>
                  <w:r>
                    <w:rPr>
                      <w:rStyle w:val="86"/>
                      <w:rFonts w:hint="eastAsia"/>
                      <w:color w:val="auto"/>
                      <w:sz w:val="21"/>
                      <w:szCs w:val="21"/>
                      <w:lang w:eastAsia="zh-CN"/>
                    </w:rPr>
                    <w:t>东</w:t>
                  </w:r>
                  <w:r>
                    <w:rPr>
                      <w:rStyle w:val="86"/>
                      <w:rFonts w:hint="eastAsia"/>
                      <w:color w:val="auto"/>
                      <w:sz w:val="21"/>
                      <w:szCs w:val="21"/>
                    </w:rPr>
                    <w:t>侧</w:t>
                  </w:r>
                </w:p>
              </w:tc>
              <w:tc>
                <w:tcPr>
                  <w:tcW w:w="1717" w:type="pct"/>
                  <w:vMerge w:val="continue"/>
                  <w:vAlign w:val="center"/>
                </w:tcPr>
                <w:p w14:paraId="56E52CF1">
                  <w:pPr>
                    <w:adjustRightInd w:val="0"/>
                    <w:snapToGrid w:val="0"/>
                    <w:jc w:val="center"/>
                    <w:rPr>
                      <w:rFonts w:hint="eastAsia" w:eastAsia="宋体"/>
                      <w:color w:val="auto"/>
                      <w:szCs w:val="21"/>
                      <w:lang w:val="en-US" w:eastAsia="zh-CN"/>
                    </w:rPr>
                  </w:pPr>
                </w:p>
              </w:tc>
            </w:tr>
          </w:tbl>
          <w:p w14:paraId="05BF32B2">
            <w:pPr>
              <w:keepNext w:val="0"/>
              <w:keepLines w:val="0"/>
              <w:widowControl/>
              <w:suppressLineNumbers w:val="0"/>
              <w:jc w:val="left"/>
              <w:rPr>
                <w:rFonts w:hint="eastAsia" w:eastAsia="宋体"/>
                <w:b/>
                <w:bCs/>
                <w:color w:val="auto"/>
                <w:sz w:val="22"/>
                <w:szCs w:val="22"/>
                <w:lang w:eastAsia="zh-CN"/>
              </w:rPr>
            </w:pPr>
            <w:r>
              <w:rPr>
                <w:rFonts w:hint="eastAsia"/>
                <w:b/>
                <w:bCs/>
                <w:color w:val="auto"/>
                <w:sz w:val="24"/>
                <w:lang w:eastAsia="zh-CN"/>
              </w:rPr>
              <w:t>注：</w:t>
            </w:r>
            <w:r>
              <w:rPr>
                <w:rFonts w:ascii="Times New Roman" w:hAnsi="Times New Roman" w:eastAsia="宋体" w:cs="Times New Roman"/>
                <w:color w:val="auto"/>
                <w:kern w:val="0"/>
                <w:sz w:val="22"/>
                <w:szCs w:val="18"/>
                <w:lang w:val="en-US" w:eastAsia="zh-CN" w:bidi="ar-SA"/>
              </w:rPr>
              <w:t>项目所在区域属于工业和住</w:t>
            </w:r>
            <w:r>
              <w:rPr>
                <w:rFonts w:hint="eastAsia" w:ascii="Times New Roman" w:hAnsi="Times New Roman" w:eastAsia="宋体" w:cs="Times New Roman"/>
                <w:color w:val="auto"/>
                <w:kern w:val="0"/>
                <w:sz w:val="22"/>
                <w:szCs w:val="18"/>
                <w:lang w:val="en-US" w:eastAsia="zh-CN" w:bidi="ar-SA"/>
              </w:rPr>
              <w:t>宅混杂区域，应执行</w:t>
            </w:r>
            <w:r>
              <w:rPr>
                <w:rFonts w:hint="default" w:ascii="Times New Roman" w:hAnsi="Times New Roman" w:eastAsia="宋体" w:cs="Times New Roman"/>
                <w:color w:val="auto"/>
                <w:kern w:val="0"/>
                <w:sz w:val="22"/>
                <w:szCs w:val="18"/>
                <w:lang w:val="en-US" w:eastAsia="zh-CN" w:bidi="ar-SA"/>
              </w:rPr>
              <w:t>2</w:t>
            </w:r>
            <w:r>
              <w:rPr>
                <w:rFonts w:hint="eastAsia" w:ascii="Times New Roman" w:hAnsi="Times New Roman" w:eastAsia="宋体" w:cs="Times New Roman"/>
                <w:color w:val="auto"/>
                <w:kern w:val="0"/>
                <w:sz w:val="22"/>
                <w:szCs w:val="18"/>
                <w:lang w:val="en-US" w:eastAsia="zh-CN" w:bidi="ar-SA"/>
              </w:rPr>
              <w:t>类标准。</w:t>
            </w:r>
          </w:p>
          <w:p w14:paraId="3EDB0C77">
            <w:pPr>
              <w:spacing w:line="360" w:lineRule="auto"/>
              <w:ind w:firstLine="482" w:firstLineChars="200"/>
              <w:contextualSpacing/>
              <w:rPr>
                <w:b/>
                <w:bCs/>
                <w:color w:val="auto"/>
                <w:sz w:val="24"/>
              </w:rPr>
            </w:pPr>
            <w:r>
              <w:rPr>
                <w:b/>
                <w:bCs/>
                <w:color w:val="auto"/>
                <w:sz w:val="24"/>
              </w:rPr>
              <w:t>4、固体废物存储、处置标准</w:t>
            </w:r>
          </w:p>
          <w:p w14:paraId="018A1A84">
            <w:pPr>
              <w:pStyle w:val="16"/>
              <w:spacing w:line="360" w:lineRule="auto"/>
              <w:ind w:firstLine="480" w:firstLineChars="200"/>
              <w:rPr>
                <w:color w:val="auto"/>
              </w:rPr>
            </w:pPr>
            <w:r>
              <w:rPr>
                <w:color w:val="auto"/>
              </w:rPr>
              <w:t>生活垃圾执行存放应执行《城市生活垃圾分类标志》（GB/T 19095-2019），一般工业固废厂区存放应执行《一般工业固体废物贮存和填埋污染控制标准》（GB18599-2020）、《</w:t>
            </w:r>
            <w:r>
              <w:rPr>
                <w:color w:val="auto"/>
              </w:rPr>
              <w:fldChar w:fldCharType="begin"/>
            </w:r>
            <w:r>
              <w:rPr>
                <w:color w:val="auto"/>
              </w:rPr>
              <w:instrText xml:space="preserve"> HYPERLINK "https://huanbao.bjx.com.cn/topics/gutifeiwujianbie/" \t "https://huanbao.bjx.com.cn/news/20170911/_blank" \o "固体废物鉴别新闻专题" </w:instrText>
            </w:r>
            <w:r>
              <w:rPr>
                <w:color w:val="auto"/>
              </w:rPr>
              <w:fldChar w:fldCharType="separate"/>
            </w:r>
            <w:r>
              <w:rPr>
                <w:color w:val="auto"/>
              </w:rPr>
              <w:t>固体废物鉴别</w:t>
            </w:r>
            <w:r>
              <w:rPr>
                <w:color w:val="auto"/>
              </w:rPr>
              <w:fldChar w:fldCharType="end"/>
            </w:r>
            <w:r>
              <w:rPr>
                <w:color w:val="auto"/>
              </w:rPr>
              <w:t>标准 通则》(GB 34330-2017)中有关规定；危险废物执行《危险废物贮存污染控制标准》（GB18597-20</w:t>
            </w:r>
            <w:r>
              <w:rPr>
                <w:rFonts w:hint="eastAsia"/>
                <w:color w:val="auto"/>
              </w:rPr>
              <w:t>23</w:t>
            </w:r>
            <w:r>
              <w:rPr>
                <w:color w:val="auto"/>
              </w:rPr>
              <w:t>）、</w:t>
            </w:r>
            <w:r>
              <w:rPr>
                <w:rFonts w:hint="eastAsia"/>
                <w:color w:val="auto"/>
              </w:rPr>
              <w:t>《江苏省固体废物全过程环境监管工作意见》的通知(苏环办</w:t>
            </w:r>
            <w:r>
              <w:rPr>
                <w:rFonts w:hint="eastAsia"/>
                <w:color w:val="auto"/>
                <w:lang w:eastAsia="zh-CN"/>
              </w:rPr>
              <w:t>〔2024〕16号</w:t>
            </w:r>
            <w:r>
              <w:rPr>
                <w:rFonts w:hint="eastAsia"/>
                <w:color w:val="auto"/>
              </w:rPr>
              <w:t>)</w:t>
            </w:r>
            <w:r>
              <w:rPr>
                <w:color w:val="auto"/>
              </w:rPr>
              <w:t>、关于印发江苏省《危险废物贮存规范化管理专项整治行动方案的通知》（苏环办</w:t>
            </w:r>
            <w:r>
              <w:rPr>
                <w:rFonts w:hint="eastAsia"/>
                <w:color w:val="auto"/>
                <w:lang w:eastAsia="zh-CN"/>
              </w:rPr>
              <w:t>〔2019〕149号</w:t>
            </w:r>
            <w:r>
              <w:rPr>
                <w:color w:val="auto"/>
              </w:rPr>
              <w:t>）、《危险废物鉴别标准》（GB5085-2019）、《危险废物鉴别技术规范》（HJ/T298-2019）、《危险废物收集贮存运输技术规范》（HJ2025-2012中相关规定）；固废贮存场所标志执行《环境保护图形标志固体废物贮存（处置）场》（GB15562.2-1995）</w:t>
            </w:r>
            <w:r>
              <w:rPr>
                <w:rFonts w:hint="eastAsia"/>
                <w:color w:val="auto"/>
              </w:rPr>
              <w:t>及修改单</w:t>
            </w:r>
            <w:r>
              <w:rPr>
                <w:color w:val="auto"/>
              </w:rPr>
              <w:t>等相关要求。</w:t>
            </w:r>
          </w:p>
        </w:tc>
      </w:tr>
      <w:tr w14:paraId="0FF6B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7" w:hRule="atLeast"/>
          <w:jc w:val="center"/>
        </w:trPr>
        <w:tc>
          <w:tcPr>
            <w:tcW w:w="520" w:type="dxa"/>
            <w:vAlign w:val="center"/>
          </w:tcPr>
          <w:p w14:paraId="0AD8097B">
            <w:pPr>
              <w:adjustRightInd w:val="0"/>
              <w:snapToGrid w:val="0"/>
              <w:jc w:val="center"/>
              <w:rPr>
                <w:color w:val="auto"/>
                <w:kern w:val="0"/>
                <w:sz w:val="24"/>
              </w:rPr>
            </w:pPr>
            <w:r>
              <w:rPr>
                <w:color w:val="auto"/>
                <w:kern w:val="0"/>
                <w:sz w:val="24"/>
              </w:rPr>
              <w:t>总量</w:t>
            </w:r>
          </w:p>
          <w:p w14:paraId="33675FEC">
            <w:pPr>
              <w:adjustRightInd w:val="0"/>
              <w:snapToGrid w:val="0"/>
              <w:jc w:val="center"/>
              <w:rPr>
                <w:color w:val="auto"/>
                <w:kern w:val="0"/>
                <w:sz w:val="24"/>
              </w:rPr>
            </w:pPr>
            <w:r>
              <w:rPr>
                <w:color w:val="auto"/>
                <w:kern w:val="0"/>
                <w:sz w:val="24"/>
              </w:rPr>
              <w:t>控制</w:t>
            </w:r>
          </w:p>
          <w:p w14:paraId="7AA73C28">
            <w:pPr>
              <w:adjustRightInd w:val="0"/>
              <w:snapToGrid w:val="0"/>
              <w:jc w:val="center"/>
              <w:rPr>
                <w:color w:val="auto"/>
                <w:kern w:val="0"/>
                <w:szCs w:val="21"/>
              </w:rPr>
            </w:pPr>
            <w:r>
              <w:rPr>
                <w:color w:val="auto"/>
                <w:kern w:val="0"/>
                <w:sz w:val="24"/>
              </w:rPr>
              <w:t>指标</w:t>
            </w:r>
          </w:p>
        </w:tc>
        <w:tc>
          <w:tcPr>
            <w:tcW w:w="8541" w:type="dxa"/>
            <w:vAlign w:val="center"/>
          </w:tcPr>
          <w:p w14:paraId="5178D9FE">
            <w:pPr>
              <w:adjustRightInd w:val="0"/>
              <w:snapToGrid w:val="0"/>
              <w:spacing w:line="360" w:lineRule="auto"/>
              <w:ind w:firstLine="482" w:firstLineChars="200"/>
              <w:rPr>
                <w:b/>
                <w:color w:val="auto"/>
                <w:sz w:val="24"/>
              </w:rPr>
            </w:pPr>
            <w:r>
              <w:rPr>
                <w:b/>
                <w:color w:val="auto"/>
                <w:sz w:val="24"/>
              </w:rPr>
              <w:t>本项目总量控制指标：</w:t>
            </w:r>
          </w:p>
          <w:p w14:paraId="652CD4D8">
            <w:pPr>
              <w:widowControl/>
              <w:adjustRightInd w:val="0"/>
              <w:snapToGrid w:val="0"/>
              <w:spacing w:before="120" w:beforeLines="50" w:line="360" w:lineRule="auto"/>
              <w:ind w:firstLine="480" w:firstLineChars="200"/>
              <w:jc w:val="left"/>
              <w:rPr>
                <w:color w:val="auto"/>
                <w:kern w:val="0"/>
                <w:sz w:val="24"/>
              </w:rPr>
            </w:pPr>
            <w:r>
              <w:rPr>
                <w:color w:val="auto"/>
                <w:kern w:val="0"/>
                <w:sz w:val="24"/>
              </w:rPr>
              <w:t>根据废气、废水、固体废物源强核算结果，建设项目污染物排放情况见表3.</w:t>
            </w:r>
            <w:r>
              <w:rPr>
                <w:rFonts w:hint="eastAsia"/>
                <w:color w:val="auto"/>
                <w:kern w:val="0"/>
                <w:sz w:val="24"/>
              </w:rPr>
              <w:t>3</w:t>
            </w:r>
            <w:r>
              <w:rPr>
                <w:color w:val="auto"/>
                <w:kern w:val="0"/>
                <w:sz w:val="24"/>
              </w:rPr>
              <w:t>-1。</w:t>
            </w:r>
          </w:p>
          <w:p w14:paraId="0C7E7E2F">
            <w:pPr>
              <w:widowControl/>
              <w:adjustRightInd w:val="0"/>
              <w:snapToGrid w:val="0"/>
              <w:jc w:val="center"/>
              <w:rPr>
                <w:color w:val="auto"/>
                <w:kern w:val="0"/>
                <w:szCs w:val="21"/>
              </w:rPr>
            </w:pPr>
            <w:r>
              <w:rPr>
                <w:b/>
                <w:color w:val="auto"/>
                <w:kern w:val="0"/>
                <w:sz w:val="24"/>
              </w:rPr>
              <w:t>表3.</w:t>
            </w:r>
            <w:r>
              <w:rPr>
                <w:rFonts w:hint="eastAsia"/>
                <w:b/>
                <w:color w:val="auto"/>
                <w:kern w:val="0"/>
                <w:sz w:val="24"/>
              </w:rPr>
              <w:t>3</w:t>
            </w:r>
            <w:r>
              <w:rPr>
                <w:b/>
                <w:color w:val="auto"/>
                <w:kern w:val="0"/>
                <w:sz w:val="24"/>
              </w:rPr>
              <w:t>-1  建设项目污染物排放情况一览表</w:t>
            </w:r>
            <w:r>
              <w:rPr>
                <w:rFonts w:hint="eastAsia"/>
                <w:b/>
                <w:color w:val="auto"/>
                <w:kern w:val="0"/>
                <w:sz w:val="24"/>
              </w:rPr>
              <w:t xml:space="preserve"> </w:t>
            </w:r>
            <w:r>
              <w:rPr>
                <w:b/>
                <w:color w:val="auto"/>
                <w:kern w:val="0"/>
                <w:sz w:val="24"/>
              </w:rPr>
              <w:t xml:space="preserve"> </w:t>
            </w:r>
            <w:r>
              <w:rPr>
                <w:color w:val="auto"/>
                <w:kern w:val="0"/>
                <w:szCs w:val="21"/>
              </w:rPr>
              <w:t>单位：t/a</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3"/>
              <w:gridCol w:w="934"/>
              <w:gridCol w:w="1562"/>
              <w:gridCol w:w="1187"/>
              <w:gridCol w:w="1257"/>
              <w:gridCol w:w="1244"/>
              <w:gridCol w:w="1405"/>
            </w:tblGrid>
            <w:tr w14:paraId="649FF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tcBorders>
                    <w:top w:val="single" w:color="auto" w:sz="12" w:space="0"/>
                    <w:bottom w:val="single" w:color="auto" w:sz="4" w:space="0"/>
                    <w:right w:val="single" w:color="auto" w:sz="4" w:space="0"/>
                  </w:tcBorders>
                  <w:vAlign w:val="center"/>
                </w:tcPr>
                <w:p w14:paraId="1736772B">
                  <w:pPr>
                    <w:adjustRightInd w:val="0"/>
                    <w:snapToGrid w:val="0"/>
                    <w:jc w:val="center"/>
                    <w:rPr>
                      <w:b/>
                      <w:color w:val="auto"/>
                      <w:szCs w:val="21"/>
                    </w:rPr>
                  </w:pPr>
                  <w:r>
                    <w:rPr>
                      <w:b/>
                      <w:color w:val="auto"/>
                      <w:szCs w:val="21"/>
                    </w:rPr>
                    <w:t>种类</w:t>
                  </w:r>
                </w:p>
              </w:tc>
              <w:tc>
                <w:tcPr>
                  <w:tcW w:w="1499" w:type="pct"/>
                  <w:gridSpan w:val="2"/>
                  <w:tcBorders>
                    <w:top w:val="single" w:color="auto" w:sz="12" w:space="0"/>
                    <w:left w:val="single" w:color="auto" w:sz="4" w:space="0"/>
                    <w:bottom w:val="single" w:color="auto" w:sz="4" w:space="0"/>
                    <w:right w:val="single" w:color="auto" w:sz="4" w:space="0"/>
                  </w:tcBorders>
                  <w:vAlign w:val="center"/>
                </w:tcPr>
                <w:p w14:paraId="0D6DF449">
                  <w:pPr>
                    <w:adjustRightInd w:val="0"/>
                    <w:snapToGrid w:val="0"/>
                    <w:jc w:val="center"/>
                    <w:rPr>
                      <w:b/>
                      <w:color w:val="auto"/>
                      <w:szCs w:val="21"/>
                    </w:rPr>
                  </w:pPr>
                  <w:r>
                    <w:rPr>
                      <w:b/>
                      <w:color w:val="auto"/>
                      <w:szCs w:val="21"/>
                    </w:rPr>
                    <w:t>污染物名称</w:t>
                  </w:r>
                </w:p>
              </w:tc>
              <w:tc>
                <w:tcPr>
                  <w:tcW w:w="713" w:type="pct"/>
                  <w:tcBorders>
                    <w:top w:val="single" w:color="auto" w:sz="12" w:space="0"/>
                    <w:left w:val="single" w:color="auto" w:sz="4" w:space="0"/>
                    <w:bottom w:val="single" w:color="auto" w:sz="4" w:space="0"/>
                    <w:right w:val="single" w:color="auto" w:sz="4" w:space="0"/>
                  </w:tcBorders>
                  <w:vAlign w:val="center"/>
                </w:tcPr>
                <w:p w14:paraId="3401179B">
                  <w:pPr>
                    <w:adjustRightInd w:val="0"/>
                    <w:snapToGrid w:val="0"/>
                    <w:jc w:val="center"/>
                    <w:rPr>
                      <w:b/>
                      <w:color w:val="auto"/>
                      <w:szCs w:val="21"/>
                    </w:rPr>
                  </w:pPr>
                  <w:r>
                    <w:rPr>
                      <w:b/>
                      <w:color w:val="auto"/>
                      <w:szCs w:val="21"/>
                    </w:rPr>
                    <w:t>项目</w:t>
                  </w:r>
                  <w:r>
                    <w:rPr>
                      <w:rFonts w:hint="eastAsia"/>
                      <w:b/>
                      <w:color w:val="auto"/>
                      <w:szCs w:val="21"/>
                      <w:lang w:eastAsia="zh-CN"/>
                    </w:rPr>
                    <w:t>生产</w:t>
                  </w:r>
                  <w:r>
                    <w:rPr>
                      <w:b/>
                      <w:color w:val="auto"/>
                      <w:szCs w:val="21"/>
                    </w:rPr>
                    <w:t>量</w:t>
                  </w:r>
                </w:p>
              </w:tc>
              <w:tc>
                <w:tcPr>
                  <w:tcW w:w="755" w:type="pct"/>
                  <w:tcBorders>
                    <w:top w:val="single" w:color="auto" w:sz="12" w:space="0"/>
                    <w:left w:val="single" w:color="auto" w:sz="4" w:space="0"/>
                    <w:bottom w:val="single" w:color="auto" w:sz="4" w:space="0"/>
                    <w:right w:val="single" w:color="auto" w:sz="4" w:space="0"/>
                  </w:tcBorders>
                  <w:vAlign w:val="center"/>
                </w:tcPr>
                <w:p w14:paraId="43D8EC8E">
                  <w:pPr>
                    <w:adjustRightInd w:val="0"/>
                    <w:snapToGrid w:val="0"/>
                    <w:jc w:val="center"/>
                    <w:rPr>
                      <w:b/>
                      <w:color w:val="auto"/>
                      <w:szCs w:val="21"/>
                    </w:rPr>
                  </w:pPr>
                  <w:r>
                    <w:rPr>
                      <w:b/>
                      <w:color w:val="auto"/>
                      <w:szCs w:val="21"/>
                    </w:rPr>
                    <w:t>项目削减量</w:t>
                  </w:r>
                </w:p>
              </w:tc>
              <w:tc>
                <w:tcPr>
                  <w:tcW w:w="747" w:type="pct"/>
                  <w:tcBorders>
                    <w:top w:val="single" w:color="auto" w:sz="12" w:space="0"/>
                    <w:left w:val="single" w:color="auto" w:sz="4" w:space="0"/>
                    <w:bottom w:val="single" w:color="auto" w:sz="4" w:space="0"/>
                    <w:right w:val="single" w:color="auto" w:sz="4" w:space="0"/>
                  </w:tcBorders>
                  <w:vAlign w:val="center"/>
                </w:tcPr>
                <w:p w14:paraId="1E37F5E6">
                  <w:pPr>
                    <w:adjustRightInd w:val="0"/>
                    <w:snapToGrid w:val="0"/>
                    <w:jc w:val="center"/>
                    <w:rPr>
                      <w:b/>
                      <w:color w:val="auto"/>
                      <w:szCs w:val="21"/>
                    </w:rPr>
                  </w:pPr>
                  <w:r>
                    <w:rPr>
                      <w:b/>
                      <w:color w:val="auto"/>
                      <w:szCs w:val="21"/>
                    </w:rPr>
                    <w:t>项目接管量</w:t>
                  </w:r>
                </w:p>
              </w:tc>
              <w:tc>
                <w:tcPr>
                  <w:tcW w:w="844" w:type="pct"/>
                  <w:tcBorders>
                    <w:top w:val="single" w:color="auto" w:sz="12" w:space="0"/>
                    <w:left w:val="single" w:color="auto" w:sz="4" w:space="0"/>
                    <w:bottom w:val="single" w:color="auto" w:sz="4" w:space="0"/>
                  </w:tcBorders>
                  <w:vAlign w:val="center"/>
                </w:tcPr>
                <w:p w14:paraId="5A8E7331">
                  <w:pPr>
                    <w:adjustRightInd w:val="0"/>
                    <w:snapToGrid w:val="0"/>
                    <w:jc w:val="center"/>
                    <w:rPr>
                      <w:b/>
                      <w:color w:val="auto"/>
                      <w:szCs w:val="21"/>
                    </w:rPr>
                  </w:pPr>
                  <w:r>
                    <w:rPr>
                      <w:b/>
                      <w:color w:val="auto"/>
                      <w:szCs w:val="21"/>
                    </w:rPr>
                    <w:t>环境排放量</w:t>
                  </w:r>
                </w:p>
              </w:tc>
            </w:tr>
            <w:tr w14:paraId="2AE47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restart"/>
                  <w:tcBorders>
                    <w:right w:val="single" w:color="auto" w:sz="4" w:space="0"/>
                  </w:tcBorders>
                  <w:vAlign w:val="center"/>
                </w:tcPr>
                <w:p w14:paraId="35DC73B9">
                  <w:pPr>
                    <w:adjustRightInd w:val="0"/>
                    <w:snapToGrid w:val="0"/>
                    <w:jc w:val="center"/>
                    <w:rPr>
                      <w:rFonts w:hint="eastAsia"/>
                      <w:color w:val="auto"/>
                      <w:lang w:eastAsia="zh-CN"/>
                    </w:rPr>
                  </w:pPr>
                  <w:r>
                    <w:rPr>
                      <w:rFonts w:hint="eastAsia"/>
                      <w:color w:val="auto"/>
                      <w:szCs w:val="21"/>
                    </w:rPr>
                    <w:t>废气</w:t>
                  </w:r>
                </w:p>
              </w:tc>
              <w:tc>
                <w:tcPr>
                  <w:tcW w:w="561" w:type="pct"/>
                  <w:vMerge w:val="restart"/>
                  <w:tcBorders>
                    <w:left w:val="single" w:color="auto" w:sz="4" w:space="0"/>
                    <w:right w:val="single" w:color="auto" w:sz="4" w:space="0"/>
                  </w:tcBorders>
                  <w:vAlign w:val="center"/>
                </w:tcPr>
                <w:p w14:paraId="2B737DA6">
                  <w:pPr>
                    <w:adjustRightInd w:val="0"/>
                    <w:snapToGrid w:val="0"/>
                    <w:jc w:val="center"/>
                    <w:rPr>
                      <w:color w:val="auto"/>
                      <w:szCs w:val="21"/>
                    </w:rPr>
                  </w:pPr>
                  <w:r>
                    <w:rPr>
                      <w:rFonts w:hint="eastAsia"/>
                      <w:color w:val="auto"/>
                      <w:szCs w:val="21"/>
                    </w:rPr>
                    <w:t>有组织</w:t>
                  </w:r>
                </w:p>
              </w:tc>
              <w:tc>
                <w:tcPr>
                  <w:tcW w:w="938" w:type="pct"/>
                  <w:tcBorders>
                    <w:top w:val="single" w:color="auto" w:sz="4" w:space="0"/>
                    <w:left w:val="single" w:color="auto" w:sz="4" w:space="0"/>
                    <w:bottom w:val="single" w:color="auto" w:sz="4" w:space="0"/>
                    <w:right w:val="single" w:color="auto" w:sz="4" w:space="0"/>
                  </w:tcBorders>
                  <w:vAlign w:val="center"/>
                </w:tcPr>
                <w:p w14:paraId="1AFF2525">
                  <w:pPr>
                    <w:adjustRightInd w:val="0"/>
                    <w:snapToGrid w:val="0"/>
                    <w:jc w:val="center"/>
                    <w:rPr>
                      <w:color w:val="auto"/>
                      <w:szCs w:val="21"/>
                    </w:rPr>
                  </w:pPr>
                  <w:r>
                    <w:rPr>
                      <w:color w:val="auto"/>
                      <w:szCs w:val="21"/>
                    </w:rPr>
                    <w:t>颗粒物</w:t>
                  </w:r>
                </w:p>
              </w:tc>
              <w:tc>
                <w:tcPr>
                  <w:tcW w:w="713" w:type="pct"/>
                  <w:tcBorders>
                    <w:top w:val="single" w:color="auto" w:sz="4" w:space="0"/>
                    <w:left w:val="single" w:color="auto" w:sz="4" w:space="0"/>
                    <w:bottom w:val="single" w:color="auto" w:sz="4" w:space="0"/>
                    <w:right w:val="single" w:color="auto" w:sz="4" w:space="0"/>
                  </w:tcBorders>
                  <w:vAlign w:val="center"/>
                </w:tcPr>
                <w:p w14:paraId="3582858E">
                  <w:pPr>
                    <w:jc w:val="center"/>
                    <w:rPr>
                      <w:color w:val="auto"/>
                      <w:sz w:val="22"/>
                      <w:szCs w:val="22"/>
                    </w:rPr>
                  </w:pPr>
                  <w:r>
                    <w:rPr>
                      <w:rFonts w:hint="eastAsia"/>
                      <w:color w:val="auto"/>
                      <w:kern w:val="0"/>
                      <w:szCs w:val="21"/>
                    </w:rPr>
                    <w:t>36.</w:t>
                  </w:r>
                  <w:r>
                    <w:rPr>
                      <w:rFonts w:hint="eastAsia"/>
                      <w:color w:val="auto"/>
                      <w:kern w:val="0"/>
                      <w:szCs w:val="21"/>
                      <w:lang w:val="en-US" w:eastAsia="zh-CN"/>
                    </w:rPr>
                    <w:t>28</w:t>
                  </w:r>
                  <w:r>
                    <w:rPr>
                      <w:rFonts w:hint="eastAsia"/>
                      <w:color w:val="auto"/>
                      <w:kern w:val="0"/>
                      <w:szCs w:val="21"/>
                    </w:rPr>
                    <w:t>17</w:t>
                  </w:r>
                </w:p>
              </w:tc>
              <w:tc>
                <w:tcPr>
                  <w:tcW w:w="755" w:type="pct"/>
                  <w:tcBorders>
                    <w:top w:val="single" w:color="auto" w:sz="4" w:space="0"/>
                    <w:left w:val="single" w:color="auto" w:sz="4" w:space="0"/>
                    <w:bottom w:val="single" w:color="auto" w:sz="4" w:space="0"/>
                    <w:right w:val="single" w:color="auto" w:sz="4" w:space="0"/>
                  </w:tcBorders>
                  <w:vAlign w:val="center"/>
                </w:tcPr>
                <w:p w14:paraId="0A72E5FC">
                  <w:pPr>
                    <w:jc w:val="center"/>
                    <w:rPr>
                      <w:rFonts w:hint="default" w:eastAsia="宋体"/>
                      <w:color w:val="auto"/>
                      <w:sz w:val="22"/>
                      <w:szCs w:val="22"/>
                      <w:lang w:val="en-US" w:eastAsia="zh-CN"/>
                    </w:rPr>
                  </w:pPr>
                  <w:r>
                    <w:rPr>
                      <w:rFonts w:hint="eastAsia"/>
                      <w:color w:val="auto"/>
                      <w:sz w:val="22"/>
                      <w:szCs w:val="22"/>
                    </w:rPr>
                    <w:t>3</w:t>
                  </w:r>
                  <w:r>
                    <w:rPr>
                      <w:rFonts w:hint="eastAsia"/>
                      <w:color w:val="auto"/>
                      <w:sz w:val="22"/>
                      <w:szCs w:val="22"/>
                      <w:lang w:val="en-US" w:eastAsia="zh-CN"/>
                    </w:rPr>
                    <w:t>5.9189</w:t>
                  </w:r>
                </w:p>
              </w:tc>
              <w:tc>
                <w:tcPr>
                  <w:tcW w:w="747" w:type="pct"/>
                  <w:tcBorders>
                    <w:top w:val="single" w:color="auto" w:sz="4" w:space="0"/>
                    <w:left w:val="single" w:color="auto" w:sz="4" w:space="0"/>
                    <w:bottom w:val="single" w:color="auto" w:sz="4" w:space="0"/>
                    <w:right w:val="single" w:color="auto" w:sz="4" w:space="0"/>
                  </w:tcBorders>
                  <w:vAlign w:val="center"/>
                </w:tcPr>
                <w:p w14:paraId="438FAEC4">
                  <w:pPr>
                    <w:jc w:val="center"/>
                    <w:rPr>
                      <w:color w:val="auto"/>
                      <w:sz w:val="22"/>
                      <w:szCs w:val="22"/>
                    </w:rPr>
                  </w:pPr>
                  <w:r>
                    <w:rPr>
                      <w:rFonts w:hint="eastAsia"/>
                      <w:color w:val="auto"/>
                      <w:sz w:val="22"/>
                      <w:szCs w:val="22"/>
                    </w:rPr>
                    <w:t>/</w:t>
                  </w:r>
                </w:p>
              </w:tc>
              <w:tc>
                <w:tcPr>
                  <w:tcW w:w="844" w:type="pct"/>
                  <w:tcBorders>
                    <w:top w:val="single" w:color="auto" w:sz="4" w:space="0"/>
                    <w:left w:val="single" w:color="auto" w:sz="4" w:space="0"/>
                    <w:bottom w:val="single" w:color="auto" w:sz="4" w:space="0"/>
                  </w:tcBorders>
                  <w:vAlign w:val="center"/>
                </w:tcPr>
                <w:p w14:paraId="4DC86D47">
                  <w:pPr>
                    <w:jc w:val="center"/>
                    <w:rPr>
                      <w:color w:val="auto"/>
                      <w:sz w:val="22"/>
                      <w:szCs w:val="22"/>
                    </w:rPr>
                  </w:pPr>
                  <w:r>
                    <w:rPr>
                      <w:rFonts w:hint="eastAsia"/>
                      <w:color w:val="auto"/>
                      <w:kern w:val="0"/>
                      <w:szCs w:val="21"/>
                    </w:rPr>
                    <w:t>0.36</w:t>
                  </w:r>
                  <w:r>
                    <w:rPr>
                      <w:rFonts w:hint="eastAsia"/>
                      <w:color w:val="auto"/>
                      <w:kern w:val="0"/>
                      <w:szCs w:val="21"/>
                      <w:lang w:val="en-US" w:eastAsia="zh-CN"/>
                    </w:rPr>
                    <w:t>2</w:t>
                  </w:r>
                  <w:r>
                    <w:rPr>
                      <w:rFonts w:hint="eastAsia"/>
                      <w:color w:val="auto"/>
                      <w:kern w:val="0"/>
                      <w:szCs w:val="21"/>
                    </w:rPr>
                    <w:t>8</w:t>
                  </w:r>
                </w:p>
              </w:tc>
            </w:tr>
            <w:tr w14:paraId="4928E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3C3621FF">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698EA5F9">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619274FE">
                  <w:pPr>
                    <w:adjustRightInd w:val="0"/>
                    <w:snapToGrid w:val="0"/>
                    <w:jc w:val="center"/>
                    <w:rPr>
                      <w:color w:val="auto"/>
                      <w:szCs w:val="21"/>
                    </w:rPr>
                  </w:pPr>
                  <w:r>
                    <w:rPr>
                      <w:rFonts w:hint="eastAsia"/>
                      <w:color w:val="auto"/>
                      <w:szCs w:val="21"/>
                    </w:rPr>
                    <w:t>非甲烷总烃</w:t>
                  </w:r>
                  <w:r>
                    <w:rPr>
                      <w:rFonts w:hint="eastAsia" w:ascii="宋体" w:hAnsi="宋体" w:cs="宋体"/>
                      <w:color w:val="auto"/>
                      <w:szCs w:val="21"/>
                      <w:vertAlign w:val="superscript"/>
                    </w:rPr>
                    <w:t>*</w:t>
                  </w:r>
                </w:p>
              </w:tc>
              <w:tc>
                <w:tcPr>
                  <w:tcW w:w="713" w:type="pct"/>
                  <w:tcBorders>
                    <w:top w:val="single" w:color="auto" w:sz="4" w:space="0"/>
                    <w:left w:val="single" w:color="auto" w:sz="4" w:space="0"/>
                    <w:bottom w:val="single" w:color="auto" w:sz="4" w:space="0"/>
                    <w:right w:val="single" w:color="auto" w:sz="4" w:space="0"/>
                  </w:tcBorders>
                  <w:vAlign w:val="center"/>
                </w:tcPr>
                <w:p w14:paraId="07CD8063">
                  <w:pPr>
                    <w:jc w:val="center"/>
                    <w:rPr>
                      <w:rFonts w:hint="default" w:eastAsia="宋体"/>
                      <w:color w:val="auto"/>
                      <w:sz w:val="22"/>
                      <w:szCs w:val="22"/>
                      <w:lang w:val="en-US" w:eastAsia="zh-CN"/>
                    </w:rPr>
                  </w:pPr>
                  <w:r>
                    <w:rPr>
                      <w:rFonts w:hint="eastAsia"/>
                      <w:color w:val="auto"/>
                      <w:sz w:val="22"/>
                      <w:szCs w:val="22"/>
                    </w:rPr>
                    <w:t>0.18</w:t>
                  </w:r>
                  <w:r>
                    <w:rPr>
                      <w:rFonts w:hint="eastAsia"/>
                      <w:color w:val="auto"/>
                      <w:sz w:val="22"/>
                      <w:szCs w:val="22"/>
                      <w:lang w:val="en-US" w:eastAsia="zh-CN"/>
                    </w:rPr>
                    <w:t>67</w:t>
                  </w:r>
                </w:p>
              </w:tc>
              <w:tc>
                <w:tcPr>
                  <w:tcW w:w="755" w:type="pct"/>
                  <w:tcBorders>
                    <w:top w:val="single" w:color="auto" w:sz="4" w:space="0"/>
                    <w:left w:val="single" w:color="auto" w:sz="4" w:space="0"/>
                    <w:bottom w:val="single" w:color="auto" w:sz="4" w:space="0"/>
                    <w:right w:val="single" w:color="auto" w:sz="4" w:space="0"/>
                  </w:tcBorders>
                  <w:vAlign w:val="center"/>
                </w:tcPr>
                <w:p w14:paraId="71D28AB1">
                  <w:pPr>
                    <w:jc w:val="center"/>
                    <w:rPr>
                      <w:color w:val="auto"/>
                      <w:sz w:val="22"/>
                      <w:szCs w:val="22"/>
                    </w:rPr>
                  </w:pPr>
                  <w:r>
                    <w:rPr>
                      <w:rFonts w:hint="eastAsia"/>
                      <w:color w:val="auto"/>
                      <w:sz w:val="22"/>
                      <w:szCs w:val="22"/>
                    </w:rPr>
                    <w:t>0.16</w:t>
                  </w:r>
                  <w:r>
                    <w:rPr>
                      <w:rFonts w:hint="eastAsia"/>
                      <w:color w:val="auto"/>
                      <w:sz w:val="22"/>
                      <w:szCs w:val="22"/>
                      <w:lang w:val="en-US" w:eastAsia="zh-CN"/>
                    </w:rPr>
                    <w:t>8</w:t>
                  </w:r>
                  <w:r>
                    <w:rPr>
                      <w:rFonts w:hint="eastAsia"/>
                      <w:color w:val="auto"/>
                      <w:sz w:val="22"/>
                      <w:szCs w:val="22"/>
                    </w:rPr>
                    <w:t>1</w:t>
                  </w:r>
                </w:p>
              </w:tc>
              <w:tc>
                <w:tcPr>
                  <w:tcW w:w="747" w:type="pct"/>
                  <w:tcBorders>
                    <w:top w:val="single" w:color="auto" w:sz="4" w:space="0"/>
                    <w:left w:val="single" w:color="auto" w:sz="4" w:space="0"/>
                    <w:bottom w:val="single" w:color="auto" w:sz="4" w:space="0"/>
                    <w:right w:val="single" w:color="auto" w:sz="4" w:space="0"/>
                  </w:tcBorders>
                  <w:vAlign w:val="center"/>
                </w:tcPr>
                <w:p w14:paraId="257AD66E">
                  <w:pPr>
                    <w:jc w:val="center"/>
                    <w:rPr>
                      <w:color w:val="auto"/>
                      <w:sz w:val="22"/>
                      <w:szCs w:val="22"/>
                    </w:rPr>
                  </w:pPr>
                  <w:r>
                    <w:rPr>
                      <w:rFonts w:hint="eastAsia"/>
                      <w:color w:val="auto"/>
                      <w:sz w:val="22"/>
                      <w:szCs w:val="22"/>
                    </w:rPr>
                    <w:t>/</w:t>
                  </w:r>
                </w:p>
              </w:tc>
              <w:tc>
                <w:tcPr>
                  <w:tcW w:w="844" w:type="pct"/>
                  <w:tcBorders>
                    <w:top w:val="single" w:color="auto" w:sz="4" w:space="0"/>
                    <w:left w:val="single" w:color="auto" w:sz="4" w:space="0"/>
                    <w:bottom w:val="single" w:color="auto" w:sz="4" w:space="0"/>
                  </w:tcBorders>
                  <w:vAlign w:val="center"/>
                </w:tcPr>
                <w:p w14:paraId="5B25D553">
                  <w:pPr>
                    <w:jc w:val="center"/>
                    <w:rPr>
                      <w:rFonts w:hint="eastAsia" w:eastAsia="宋体"/>
                      <w:color w:val="auto"/>
                      <w:sz w:val="22"/>
                      <w:szCs w:val="22"/>
                      <w:lang w:val="en-US" w:eastAsia="zh-CN"/>
                    </w:rPr>
                  </w:pPr>
                  <w:r>
                    <w:rPr>
                      <w:rFonts w:hint="eastAsia"/>
                      <w:color w:val="auto"/>
                      <w:szCs w:val="21"/>
                    </w:rPr>
                    <w:t>0.018</w:t>
                  </w:r>
                  <w:r>
                    <w:rPr>
                      <w:rFonts w:hint="eastAsia"/>
                      <w:color w:val="auto"/>
                      <w:szCs w:val="21"/>
                      <w:lang w:val="en-US" w:eastAsia="zh-CN"/>
                    </w:rPr>
                    <w:t>6</w:t>
                  </w:r>
                </w:p>
              </w:tc>
            </w:tr>
            <w:tr w14:paraId="0C41E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4FFF50CC">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376EAECD">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057607B0">
                  <w:pPr>
                    <w:adjustRightInd w:val="0"/>
                    <w:snapToGrid w:val="0"/>
                    <w:jc w:val="center"/>
                    <w:rPr>
                      <w:rFonts w:hint="eastAsia" w:eastAsia="宋体"/>
                      <w:color w:val="auto"/>
                      <w:szCs w:val="21"/>
                      <w:lang w:eastAsia="zh-CN"/>
                    </w:rPr>
                  </w:pPr>
                  <w:r>
                    <w:rPr>
                      <w:rFonts w:hint="eastAsia"/>
                      <w:color w:val="auto"/>
                      <w:szCs w:val="21"/>
                      <w:lang w:eastAsia="zh-CN"/>
                    </w:rPr>
                    <w:t>甲醛</w:t>
                  </w:r>
                </w:p>
              </w:tc>
              <w:tc>
                <w:tcPr>
                  <w:tcW w:w="713" w:type="pct"/>
                  <w:tcBorders>
                    <w:top w:val="single" w:color="auto" w:sz="4" w:space="0"/>
                    <w:left w:val="single" w:color="auto" w:sz="4" w:space="0"/>
                    <w:bottom w:val="single" w:color="auto" w:sz="4" w:space="0"/>
                    <w:right w:val="single" w:color="auto" w:sz="4" w:space="0"/>
                  </w:tcBorders>
                  <w:vAlign w:val="center"/>
                </w:tcPr>
                <w:p w14:paraId="6BC7FF48">
                  <w:pPr>
                    <w:jc w:val="center"/>
                    <w:rPr>
                      <w:rFonts w:hint="default" w:eastAsia="宋体"/>
                      <w:color w:val="auto"/>
                      <w:sz w:val="22"/>
                      <w:szCs w:val="22"/>
                      <w:lang w:val="en-US" w:eastAsia="zh-CN"/>
                    </w:rPr>
                  </w:pPr>
                  <w:r>
                    <w:rPr>
                      <w:rFonts w:hint="eastAsia"/>
                      <w:color w:val="auto"/>
                      <w:sz w:val="22"/>
                      <w:szCs w:val="22"/>
                      <w:lang w:val="en-US" w:eastAsia="zh-CN"/>
                    </w:rPr>
                    <w:t>0.117</w:t>
                  </w:r>
                </w:p>
              </w:tc>
              <w:tc>
                <w:tcPr>
                  <w:tcW w:w="755" w:type="pct"/>
                  <w:tcBorders>
                    <w:top w:val="single" w:color="auto" w:sz="4" w:space="0"/>
                    <w:left w:val="single" w:color="auto" w:sz="4" w:space="0"/>
                    <w:bottom w:val="single" w:color="auto" w:sz="4" w:space="0"/>
                    <w:right w:val="single" w:color="auto" w:sz="4" w:space="0"/>
                  </w:tcBorders>
                  <w:vAlign w:val="center"/>
                </w:tcPr>
                <w:p w14:paraId="1BAFAF94">
                  <w:pPr>
                    <w:jc w:val="center"/>
                    <w:rPr>
                      <w:rFonts w:hint="default" w:eastAsia="宋体"/>
                      <w:color w:val="auto"/>
                      <w:sz w:val="22"/>
                      <w:szCs w:val="22"/>
                      <w:lang w:val="en-US" w:eastAsia="zh-CN"/>
                    </w:rPr>
                  </w:pPr>
                  <w:r>
                    <w:rPr>
                      <w:rFonts w:hint="eastAsia"/>
                      <w:color w:val="auto"/>
                      <w:sz w:val="22"/>
                      <w:szCs w:val="22"/>
                      <w:lang w:val="en-US" w:eastAsia="zh-CN"/>
                    </w:rPr>
                    <w:t>0.1053</w:t>
                  </w:r>
                </w:p>
              </w:tc>
              <w:tc>
                <w:tcPr>
                  <w:tcW w:w="747" w:type="pct"/>
                  <w:tcBorders>
                    <w:top w:val="single" w:color="auto" w:sz="4" w:space="0"/>
                    <w:left w:val="single" w:color="auto" w:sz="4" w:space="0"/>
                    <w:bottom w:val="single" w:color="auto" w:sz="4" w:space="0"/>
                    <w:right w:val="single" w:color="auto" w:sz="4" w:space="0"/>
                  </w:tcBorders>
                  <w:vAlign w:val="center"/>
                </w:tcPr>
                <w:p w14:paraId="61895A6D">
                  <w:pPr>
                    <w:jc w:val="center"/>
                    <w:rPr>
                      <w:rFonts w:hint="eastAsia"/>
                      <w:color w:val="auto"/>
                      <w:sz w:val="22"/>
                      <w:szCs w:val="22"/>
                    </w:rPr>
                  </w:pPr>
                </w:p>
              </w:tc>
              <w:tc>
                <w:tcPr>
                  <w:tcW w:w="844" w:type="pct"/>
                  <w:tcBorders>
                    <w:top w:val="single" w:color="auto" w:sz="4" w:space="0"/>
                    <w:left w:val="single" w:color="auto" w:sz="4" w:space="0"/>
                    <w:bottom w:val="single" w:color="auto" w:sz="4" w:space="0"/>
                  </w:tcBorders>
                  <w:vAlign w:val="center"/>
                </w:tcPr>
                <w:p w14:paraId="3E11CD75">
                  <w:pPr>
                    <w:jc w:val="center"/>
                    <w:rPr>
                      <w:rFonts w:hint="default" w:eastAsia="宋体"/>
                      <w:color w:val="auto"/>
                      <w:szCs w:val="21"/>
                      <w:lang w:val="en-US" w:eastAsia="zh-CN"/>
                    </w:rPr>
                  </w:pPr>
                  <w:r>
                    <w:rPr>
                      <w:rFonts w:hint="eastAsia"/>
                      <w:color w:val="auto"/>
                      <w:szCs w:val="21"/>
                      <w:lang w:val="en-US" w:eastAsia="zh-CN"/>
                    </w:rPr>
                    <w:t>0.0117</w:t>
                  </w:r>
                </w:p>
              </w:tc>
            </w:tr>
            <w:tr w14:paraId="5A169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5DF588FF">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08FA0DD0">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54FD9E47">
                  <w:pPr>
                    <w:adjustRightInd w:val="0"/>
                    <w:snapToGrid w:val="0"/>
                    <w:jc w:val="center"/>
                    <w:rPr>
                      <w:rFonts w:hint="eastAsia" w:eastAsia="宋体"/>
                      <w:color w:val="auto"/>
                      <w:szCs w:val="21"/>
                      <w:lang w:eastAsia="zh-CN"/>
                    </w:rPr>
                  </w:pPr>
                  <w:r>
                    <w:rPr>
                      <w:rFonts w:hint="eastAsia"/>
                      <w:color w:val="auto"/>
                      <w:szCs w:val="21"/>
                      <w:lang w:eastAsia="zh-CN"/>
                    </w:rPr>
                    <w:t>氨</w:t>
                  </w:r>
                </w:p>
              </w:tc>
              <w:tc>
                <w:tcPr>
                  <w:tcW w:w="713" w:type="pct"/>
                  <w:tcBorders>
                    <w:top w:val="single" w:color="auto" w:sz="4" w:space="0"/>
                    <w:left w:val="single" w:color="auto" w:sz="4" w:space="0"/>
                    <w:bottom w:val="single" w:color="auto" w:sz="4" w:space="0"/>
                    <w:right w:val="single" w:color="auto" w:sz="4" w:space="0"/>
                  </w:tcBorders>
                  <w:vAlign w:val="center"/>
                </w:tcPr>
                <w:p w14:paraId="3F053C8D">
                  <w:pPr>
                    <w:jc w:val="center"/>
                    <w:rPr>
                      <w:rFonts w:hint="default" w:eastAsia="宋体"/>
                      <w:color w:val="auto"/>
                      <w:sz w:val="22"/>
                      <w:szCs w:val="22"/>
                      <w:lang w:val="en-US" w:eastAsia="zh-CN"/>
                    </w:rPr>
                  </w:pPr>
                  <w:r>
                    <w:rPr>
                      <w:rFonts w:hint="eastAsia"/>
                      <w:color w:val="auto"/>
                      <w:sz w:val="22"/>
                      <w:szCs w:val="22"/>
                      <w:lang w:val="en-US" w:eastAsia="zh-CN"/>
                    </w:rPr>
                    <w:t>0.1404</w:t>
                  </w:r>
                </w:p>
              </w:tc>
              <w:tc>
                <w:tcPr>
                  <w:tcW w:w="755" w:type="pct"/>
                  <w:tcBorders>
                    <w:top w:val="single" w:color="auto" w:sz="4" w:space="0"/>
                    <w:left w:val="single" w:color="auto" w:sz="4" w:space="0"/>
                    <w:bottom w:val="single" w:color="auto" w:sz="4" w:space="0"/>
                    <w:right w:val="single" w:color="auto" w:sz="4" w:space="0"/>
                  </w:tcBorders>
                  <w:vAlign w:val="center"/>
                </w:tcPr>
                <w:p w14:paraId="5F6CE3A1">
                  <w:pPr>
                    <w:jc w:val="center"/>
                    <w:rPr>
                      <w:rFonts w:hint="default" w:eastAsia="宋体"/>
                      <w:color w:val="auto"/>
                      <w:sz w:val="22"/>
                      <w:szCs w:val="22"/>
                      <w:lang w:val="en-US" w:eastAsia="zh-CN"/>
                    </w:rPr>
                  </w:pPr>
                  <w:r>
                    <w:rPr>
                      <w:rFonts w:hint="eastAsia"/>
                      <w:color w:val="auto"/>
                      <w:sz w:val="22"/>
                      <w:szCs w:val="22"/>
                      <w:lang w:val="en-US" w:eastAsia="zh-CN"/>
                    </w:rPr>
                    <w:t>0.1334</w:t>
                  </w:r>
                </w:p>
              </w:tc>
              <w:tc>
                <w:tcPr>
                  <w:tcW w:w="747" w:type="pct"/>
                  <w:tcBorders>
                    <w:top w:val="single" w:color="auto" w:sz="4" w:space="0"/>
                    <w:left w:val="single" w:color="auto" w:sz="4" w:space="0"/>
                    <w:bottom w:val="single" w:color="auto" w:sz="4" w:space="0"/>
                    <w:right w:val="single" w:color="auto" w:sz="4" w:space="0"/>
                  </w:tcBorders>
                  <w:vAlign w:val="center"/>
                </w:tcPr>
                <w:p w14:paraId="0AD4C75F">
                  <w:pPr>
                    <w:jc w:val="center"/>
                    <w:rPr>
                      <w:rFonts w:hint="eastAsia"/>
                      <w:color w:val="auto"/>
                      <w:sz w:val="22"/>
                      <w:szCs w:val="22"/>
                    </w:rPr>
                  </w:pPr>
                </w:p>
              </w:tc>
              <w:tc>
                <w:tcPr>
                  <w:tcW w:w="844" w:type="pct"/>
                  <w:tcBorders>
                    <w:top w:val="single" w:color="auto" w:sz="4" w:space="0"/>
                    <w:left w:val="single" w:color="auto" w:sz="4" w:space="0"/>
                    <w:bottom w:val="single" w:color="auto" w:sz="4" w:space="0"/>
                  </w:tcBorders>
                  <w:vAlign w:val="center"/>
                </w:tcPr>
                <w:p w14:paraId="5E34F068">
                  <w:pPr>
                    <w:jc w:val="center"/>
                    <w:rPr>
                      <w:rFonts w:hint="default" w:eastAsia="宋体"/>
                      <w:color w:val="auto"/>
                      <w:szCs w:val="21"/>
                      <w:lang w:val="en-US" w:eastAsia="zh-CN"/>
                    </w:rPr>
                  </w:pPr>
                  <w:r>
                    <w:rPr>
                      <w:rFonts w:hint="eastAsia"/>
                      <w:color w:val="auto"/>
                      <w:szCs w:val="21"/>
                      <w:lang w:val="en-US" w:eastAsia="zh-CN"/>
                    </w:rPr>
                    <w:t>0.007</w:t>
                  </w:r>
                </w:p>
              </w:tc>
            </w:tr>
            <w:tr w14:paraId="4110A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462665A5">
                  <w:pPr>
                    <w:pStyle w:val="31"/>
                    <w:rPr>
                      <w:rFonts w:hint="eastAsia"/>
                      <w:color w:val="auto"/>
                      <w:lang w:eastAsia="zh-CN"/>
                    </w:rPr>
                  </w:pPr>
                </w:p>
              </w:tc>
              <w:tc>
                <w:tcPr>
                  <w:tcW w:w="561" w:type="pct"/>
                  <w:vMerge w:val="restart"/>
                  <w:tcBorders>
                    <w:top w:val="single" w:color="auto" w:sz="4" w:space="0"/>
                    <w:left w:val="single" w:color="auto" w:sz="4" w:space="0"/>
                    <w:right w:val="single" w:color="auto" w:sz="4" w:space="0"/>
                  </w:tcBorders>
                  <w:vAlign w:val="center"/>
                </w:tcPr>
                <w:p w14:paraId="762A7AA9">
                  <w:pPr>
                    <w:adjustRightInd w:val="0"/>
                    <w:snapToGrid w:val="0"/>
                    <w:jc w:val="center"/>
                    <w:rPr>
                      <w:color w:val="auto"/>
                      <w:szCs w:val="21"/>
                    </w:rPr>
                  </w:pPr>
                  <w:r>
                    <w:rPr>
                      <w:rFonts w:hint="eastAsia"/>
                      <w:color w:val="auto"/>
                      <w:szCs w:val="21"/>
                    </w:rPr>
                    <w:t>无组织</w:t>
                  </w:r>
                </w:p>
              </w:tc>
              <w:tc>
                <w:tcPr>
                  <w:tcW w:w="938" w:type="pct"/>
                  <w:tcBorders>
                    <w:top w:val="single" w:color="auto" w:sz="4" w:space="0"/>
                    <w:left w:val="single" w:color="auto" w:sz="4" w:space="0"/>
                    <w:bottom w:val="single" w:color="auto" w:sz="4" w:space="0"/>
                    <w:right w:val="single" w:color="auto" w:sz="4" w:space="0"/>
                  </w:tcBorders>
                  <w:vAlign w:val="center"/>
                </w:tcPr>
                <w:p w14:paraId="63EE8043">
                  <w:pPr>
                    <w:adjustRightInd w:val="0"/>
                    <w:snapToGrid w:val="0"/>
                    <w:jc w:val="center"/>
                    <w:rPr>
                      <w:color w:val="auto"/>
                      <w:szCs w:val="21"/>
                    </w:rPr>
                  </w:pPr>
                  <w:r>
                    <w:rPr>
                      <w:rFonts w:hint="eastAsia"/>
                      <w:color w:val="auto"/>
                      <w:szCs w:val="21"/>
                    </w:rPr>
                    <w:t>颗粒物</w:t>
                  </w:r>
                </w:p>
              </w:tc>
              <w:tc>
                <w:tcPr>
                  <w:tcW w:w="713" w:type="pct"/>
                  <w:tcBorders>
                    <w:top w:val="single" w:color="auto" w:sz="4" w:space="0"/>
                    <w:left w:val="single" w:color="auto" w:sz="4" w:space="0"/>
                    <w:bottom w:val="single" w:color="auto" w:sz="4" w:space="0"/>
                    <w:right w:val="single" w:color="auto" w:sz="4" w:space="0"/>
                  </w:tcBorders>
                  <w:vAlign w:val="center"/>
                </w:tcPr>
                <w:p w14:paraId="19B3E8B9">
                  <w:pPr>
                    <w:jc w:val="center"/>
                    <w:rPr>
                      <w:rFonts w:hint="default" w:eastAsia="宋体"/>
                      <w:color w:val="auto"/>
                      <w:sz w:val="22"/>
                      <w:szCs w:val="22"/>
                      <w:lang w:val="en-US" w:eastAsia="zh-CN"/>
                    </w:rPr>
                  </w:pPr>
                  <w:r>
                    <w:rPr>
                      <w:rFonts w:hint="eastAsia"/>
                      <w:color w:val="auto"/>
                      <w:sz w:val="22"/>
                      <w:szCs w:val="22"/>
                    </w:rPr>
                    <w:t>0.6</w:t>
                  </w:r>
                  <w:r>
                    <w:rPr>
                      <w:rFonts w:hint="eastAsia"/>
                      <w:color w:val="auto"/>
                      <w:sz w:val="22"/>
                      <w:szCs w:val="22"/>
                      <w:lang w:val="en-US" w:eastAsia="zh-CN"/>
                    </w:rPr>
                    <w:t>455</w:t>
                  </w:r>
                </w:p>
              </w:tc>
              <w:tc>
                <w:tcPr>
                  <w:tcW w:w="755" w:type="pct"/>
                  <w:tcBorders>
                    <w:top w:val="single" w:color="auto" w:sz="4" w:space="0"/>
                    <w:left w:val="single" w:color="auto" w:sz="4" w:space="0"/>
                    <w:bottom w:val="single" w:color="auto" w:sz="4" w:space="0"/>
                    <w:right w:val="single" w:color="auto" w:sz="4" w:space="0"/>
                  </w:tcBorders>
                  <w:vAlign w:val="center"/>
                </w:tcPr>
                <w:p w14:paraId="30A0E1D4">
                  <w:pPr>
                    <w:jc w:val="center"/>
                    <w:rPr>
                      <w:color w:val="auto"/>
                      <w:sz w:val="22"/>
                      <w:szCs w:val="22"/>
                    </w:rPr>
                  </w:pPr>
                  <w:r>
                    <w:rPr>
                      <w:rFonts w:hint="eastAsia"/>
                      <w:color w:val="auto"/>
                      <w:sz w:val="22"/>
                      <w:szCs w:val="22"/>
                    </w:rPr>
                    <w:t>0</w:t>
                  </w:r>
                </w:p>
              </w:tc>
              <w:tc>
                <w:tcPr>
                  <w:tcW w:w="747" w:type="pct"/>
                  <w:tcBorders>
                    <w:top w:val="single" w:color="auto" w:sz="4" w:space="0"/>
                    <w:left w:val="single" w:color="auto" w:sz="4" w:space="0"/>
                    <w:bottom w:val="single" w:color="auto" w:sz="4" w:space="0"/>
                    <w:right w:val="single" w:color="auto" w:sz="4" w:space="0"/>
                  </w:tcBorders>
                  <w:vAlign w:val="center"/>
                </w:tcPr>
                <w:p w14:paraId="3409F70B">
                  <w:pPr>
                    <w:jc w:val="center"/>
                    <w:rPr>
                      <w:color w:val="auto"/>
                      <w:sz w:val="22"/>
                      <w:szCs w:val="22"/>
                    </w:rPr>
                  </w:pPr>
                  <w:r>
                    <w:rPr>
                      <w:rFonts w:hint="eastAsia"/>
                      <w:color w:val="auto"/>
                      <w:sz w:val="22"/>
                      <w:szCs w:val="22"/>
                    </w:rPr>
                    <w:t>/</w:t>
                  </w:r>
                </w:p>
              </w:tc>
              <w:tc>
                <w:tcPr>
                  <w:tcW w:w="844" w:type="pct"/>
                  <w:tcBorders>
                    <w:top w:val="single" w:color="auto" w:sz="4" w:space="0"/>
                    <w:left w:val="single" w:color="auto" w:sz="4" w:space="0"/>
                    <w:bottom w:val="single" w:color="auto" w:sz="4" w:space="0"/>
                  </w:tcBorders>
                  <w:vAlign w:val="center"/>
                </w:tcPr>
                <w:p w14:paraId="36881BDF">
                  <w:pPr>
                    <w:jc w:val="center"/>
                    <w:rPr>
                      <w:rFonts w:hint="default" w:eastAsia="宋体"/>
                      <w:color w:val="auto"/>
                      <w:sz w:val="22"/>
                      <w:szCs w:val="22"/>
                      <w:lang w:val="en-US" w:eastAsia="zh-CN"/>
                    </w:rPr>
                  </w:pPr>
                  <w:r>
                    <w:rPr>
                      <w:rFonts w:hint="eastAsia"/>
                      <w:color w:val="auto"/>
                      <w:sz w:val="22"/>
                      <w:szCs w:val="22"/>
                    </w:rPr>
                    <w:t>0.6</w:t>
                  </w:r>
                  <w:r>
                    <w:rPr>
                      <w:rFonts w:hint="eastAsia"/>
                      <w:color w:val="auto"/>
                      <w:sz w:val="22"/>
                      <w:szCs w:val="22"/>
                      <w:lang w:val="en-US" w:eastAsia="zh-CN"/>
                    </w:rPr>
                    <w:t>455</w:t>
                  </w:r>
                </w:p>
              </w:tc>
            </w:tr>
            <w:tr w14:paraId="645BB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685697BB">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6C6D17EB">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344336DD">
                  <w:pPr>
                    <w:adjustRightInd w:val="0"/>
                    <w:snapToGrid w:val="0"/>
                    <w:jc w:val="center"/>
                    <w:rPr>
                      <w:color w:val="auto"/>
                      <w:szCs w:val="21"/>
                    </w:rPr>
                  </w:pPr>
                  <w:r>
                    <w:rPr>
                      <w:rFonts w:hint="eastAsia"/>
                      <w:color w:val="auto"/>
                      <w:szCs w:val="21"/>
                    </w:rPr>
                    <w:t>非甲烷总烃</w:t>
                  </w:r>
                  <w:r>
                    <w:rPr>
                      <w:rFonts w:hint="eastAsia" w:ascii="宋体" w:hAnsi="宋体" w:cs="宋体"/>
                      <w:color w:val="auto"/>
                      <w:szCs w:val="21"/>
                      <w:vertAlign w:val="superscript"/>
                    </w:rPr>
                    <w:t>*</w:t>
                  </w:r>
                </w:p>
              </w:tc>
              <w:tc>
                <w:tcPr>
                  <w:tcW w:w="713" w:type="pct"/>
                  <w:tcBorders>
                    <w:top w:val="single" w:color="auto" w:sz="4" w:space="0"/>
                    <w:left w:val="single" w:color="auto" w:sz="4" w:space="0"/>
                    <w:bottom w:val="single" w:color="auto" w:sz="4" w:space="0"/>
                    <w:right w:val="single" w:color="auto" w:sz="4" w:space="0"/>
                  </w:tcBorders>
                  <w:vAlign w:val="center"/>
                </w:tcPr>
                <w:p w14:paraId="3D66C5DA">
                  <w:pPr>
                    <w:jc w:val="center"/>
                    <w:rPr>
                      <w:rFonts w:hint="eastAsia" w:eastAsia="宋体"/>
                      <w:color w:val="auto"/>
                      <w:sz w:val="22"/>
                      <w:szCs w:val="22"/>
                      <w:lang w:eastAsia="zh-CN"/>
                    </w:rPr>
                  </w:pPr>
                  <w:r>
                    <w:rPr>
                      <w:rFonts w:hint="eastAsia"/>
                      <w:color w:val="auto"/>
                      <w:szCs w:val="21"/>
                    </w:rPr>
                    <w:t>0.020</w:t>
                  </w:r>
                  <w:r>
                    <w:rPr>
                      <w:rFonts w:hint="eastAsia"/>
                      <w:color w:val="auto"/>
                      <w:szCs w:val="21"/>
                      <w:lang w:val="en-US" w:eastAsia="zh-CN"/>
                    </w:rPr>
                    <w:t>6</w:t>
                  </w:r>
                </w:p>
              </w:tc>
              <w:tc>
                <w:tcPr>
                  <w:tcW w:w="755" w:type="pct"/>
                  <w:tcBorders>
                    <w:top w:val="single" w:color="auto" w:sz="4" w:space="0"/>
                    <w:left w:val="single" w:color="auto" w:sz="4" w:space="0"/>
                    <w:bottom w:val="single" w:color="auto" w:sz="4" w:space="0"/>
                    <w:right w:val="single" w:color="auto" w:sz="4" w:space="0"/>
                  </w:tcBorders>
                  <w:vAlign w:val="center"/>
                </w:tcPr>
                <w:p w14:paraId="2A3D0D64">
                  <w:pPr>
                    <w:jc w:val="center"/>
                    <w:rPr>
                      <w:color w:val="auto"/>
                      <w:sz w:val="22"/>
                      <w:szCs w:val="22"/>
                    </w:rPr>
                  </w:pPr>
                  <w:r>
                    <w:rPr>
                      <w:rFonts w:hint="eastAsia"/>
                      <w:color w:val="auto"/>
                      <w:sz w:val="22"/>
                      <w:szCs w:val="22"/>
                    </w:rPr>
                    <w:t>0</w:t>
                  </w:r>
                </w:p>
              </w:tc>
              <w:tc>
                <w:tcPr>
                  <w:tcW w:w="747" w:type="pct"/>
                  <w:tcBorders>
                    <w:top w:val="single" w:color="auto" w:sz="4" w:space="0"/>
                    <w:left w:val="single" w:color="auto" w:sz="4" w:space="0"/>
                    <w:bottom w:val="single" w:color="auto" w:sz="4" w:space="0"/>
                    <w:right w:val="single" w:color="auto" w:sz="4" w:space="0"/>
                  </w:tcBorders>
                  <w:vAlign w:val="center"/>
                </w:tcPr>
                <w:p w14:paraId="13C9E46D">
                  <w:pPr>
                    <w:jc w:val="center"/>
                    <w:rPr>
                      <w:color w:val="auto"/>
                      <w:sz w:val="22"/>
                      <w:szCs w:val="22"/>
                    </w:rPr>
                  </w:pPr>
                  <w:r>
                    <w:rPr>
                      <w:rFonts w:hint="eastAsia"/>
                      <w:color w:val="auto"/>
                      <w:sz w:val="22"/>
                      <w:szCs w:val="22"/>
                    </w:rPr>
                    <w:t>/</w:t>
                  </w:r>
                </w:p>
              </w:tc>
              <w:tc>
                <w:tcPr>
                  <w:tcW w:w="844" w:type="pct"/>
                  <w:tcBorders>
                    <w:top w:val="single" w:color="auto" w:sz="4" w:space="0"/>
                    <w:left w:val="single" w:color="auto" w:sz="4" w:space="0"/>
                    <w:bottom w:val="single" w:color="auto" w:sz="4" w:space="0"/>
                  </w:tcBorders>
                  <w:vAlign w:val="center"/>
                </w:tcPr>
                <w:p w14:paraId="5906B8F8">
                  <w:pPr>
                    <w:jc w:val="center"/>
                    <w:rPr>
                      <w:rFonts w:hint="eastAsia" w:eastAsia="宋体"/>
                      <w:color w:val="auto"/>
                      <w:sz w:val="22"/>
                      <w:szCs w:val="22"/>
                      <w:lang w:val="en-US" w:eastAsia="zh-CN"/>
                    </w:rPr>
                  </w:pPr>
                  <w:r>
                    <w:rPr>
                      <w:rFonts w:hint="eastAsia"/>
                      <w:color w:val="auto"/>
                      <w:szCs w:val="21"/>
                    </w:rPr>
                    <w:t>0.020</w:t>
                  </w:r>
                  <w:r>
                    <w:rPr>
                      <w:rFonts w:hint="eastAsia"/>
                      <w:color w:val="auto"/>
                      <w:szCs w:val="21"/>
                      <w:lang w:val="en-US" w:eastAsia="zh-CN"/>
                    </w:rPr>
                    <w:t>6</w:t>
                  </w:r>
                </w:p>
              </w:tc>
            </w:tr>
            <w:tr w14:paraId="2D7BC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6E92A09F">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280CD7FD">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6C45A63A">
                  <w:pPr>
                    <w:adjustRightInd w:val="0"/>
                    <w:snapToGrid w:val="0"/>
                    <w:jc w:val="center"/>
                    <w:rPr>
                      <w:rFonts w:hint="eastAsia"/>
                      <w:color w:val="auto"/>
                      <w:szCs w:val="21"/>
                    </w:rPr>
                  </w:pPr>
                  <w:r>
                    <w:rPr>
                      <w:rFonts w:hint="eastAsia"/>
                      <w:color w:val="auto"/>
                      <w:szCs w:val="21"/>
                      <w:lang w:eastAsia="zh-CN"/>
                    </w:rPr>
                    <w:t>甲醛</w:t>
                  </w:r>
                </w:p>
              </w:tc>
              <w:tc>
                <w:tcPr>
                  <w:tcW w:w="713" w:type="pct"/>
                  <w:tcBorders>
                    <w:top w:val="single" w:color="auto" w:sz="4" w:space="0"/>
                    <w:left w:val="single" w:color="auto" w:sz="4" w:space="0"/>
                    <w:bottom w:val="single" w:color="auto" w:sz="4" w:space="0"/>
                    <w:right w:val="single" w:color="auto" w:sz="4" w:space="0"/>
                  </w:tcBorders>
                  <w:vAlign w:val="center"/>
                </w:tcPr>
                <w:p w14:paraId="1CB59037">
                  <w:pPr>
                    <w:jc w:val="center"/>
                    <w:rPr>
                      <w:rFonts w:hint="default" w:eastAsia="宋体"/>
                      <w:color w:val="auto"/>
                      <w:szCs w:val="21"/>
                      <w:lang w:val="en-US" w:eastAsia="zh-CN"/>
                    </w:rPr>
                  </w:pPr>
                  <w:r>
                    <w:rPr>
                      <w:rFonts w:hint="eastAsia"/>
                      <w:color w:val="auto"/>
                      <w:szCs w:val="21"/>
                      <w:lang w:val="en-US" w:eastAsia="zh-CN"/>
                    </w:rPr>
                    <w:t>0.013</w:t>
                  </w:r>
                </w:p>
              </w:tc>
              <w:tc>
                <w:tcPr>
                  <w:tcW w:w="755" w:type="pct"/>
                  <w:tcBorders>
                    <w:top w:val="single" w:color="auto" w:sz="4" w:space="0"/>
                    <w:left w:val="single" w:color="auto" w:sz="4" w:space="0"/>
                    <w:bottom w:val="single" w:color="auto" w:sz="4" w:space="0"/>
                    <w:right w:val="single" w:color="auto" w:sz="4" w:space="0"/>
                  </w:tcBorders>
                  <w:vAlign w:val="center"/>
                </w:tcPr>
                <w:p w14:paraId="3F86E337">
                  <w:pPr>
                    <w:jc w:val="center"/>
                    <w:rPr>
                      <w:rFonts w:hint="eastAsia" w:eastAsia="宋体"/>
                      <w:color w:val="auto"/>
                      <w:sz w:val="22"/>
                      <w:szCs w:val="22"/>
                      <w:lang w:val="en-US" w:eastAsia="zh-CN"/>
                    </w:rPr>
                  </w:pPr>
                  <w:r>
                    <w:rPr>
                      <w:rFonts w:hint="eastAsia"/>
                      <w:color w:val="auto"/>
                      <w:sz w:val="22"/>
                      <w:szCs w:val="22"/>
                      <w:lang w:val="en-US" w:eastAsia="zh-CN"/>
                    </w:rPr>
                    <w:t>0</w:t>
                  </w:r>
                </w:p>
              </w:tc>
              <w:tc>
                <w:tcPr>
                  <w:tcW w:w="747" w:type="pct"/>
                  <w:tcBorders>
                    <w:top w:val="single" w:color="auto" w:sz="4" w:space="0"/>
                    <w:left w:val="single" w:color="auto" w:sz="4" w:space="0"/>
                    <w:bottom w:val="single" w:color="auto" w:sz="4" w:space="0"/>
                    <w:right w:val="single" w:color="auto" w:sz="4" w:space="0"/>
                  </w:tcBorders>
                  <w:vAlign w:val="center"/>
                </w:tcPr>
                <w:p w14:paraId="20D61E87">
                  <w:pPr>
                    <w:jc w:val="center"/>
                    <w:rPr>
                      <w:rFonts w:hint="eastAsia"/>
                      <w:color w:val="auto"/>
                      <w:sz w:val="22"/>
                      <w:szCs w:val="22"/>
                    </w:rPr>
                  </w:pPr>
                </w:p>
              </w:tc>
              <w:tc>
                <w:tcPr>
                  <w:tcW w:w="844" w:type="pct"/>
                  <w:tcBorders>
                    <w:top w:val="single" w:color="auto" w:sz="4" w:space="0"/>
                    <w:left w:val="single" w:color="auto" w:sz="4" w:space="0"/>
                    <w:bottom w:val="single" w:color="auto" w:sz="4" w:space="0"/>
                  </w:tcBorders>
                  <w:vAlign w:val="center"/>
                </w:tcPr>
                <w:p w14:paraId="353CB174">
                  <w:pPr>
                    <w:jc w:val="center"/>
                    <w:rPr>
                      <w:rFonts w:hint="default" w:eastAsia="宋体"/>
                      <w:color w:val="auto"/>
                      <w:szCs w:val="21"/>
                      <w:lang w:val="en-US" w:eastAsia="zh-CN"/>
                    </w:rPr>
                  </w:pPr>
                  <w:r>
                    <w:rPr>
                      <w:rFonts w:hint="eastAsia"/>
                      <w:color w:val="auto"/>
                      <w:szCs w:val="21"/>
                      <w:lang w:val="en-US" w:eastAsia="zh-CN"/>
                    </w:rPr>
                    <w:t>0.013</w:t>
                  </w:r>
                </w:p>
              </w:tc>
            </w:tr>
            <w:tr w14:paraId="3EE0F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6C7660AB">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1B0FEA9C">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741C2EAA">
                  <w:pPr>
                    <w:adjustRightInd w:val="0"/>
                    <w:snapToGrid w:val="0"/>
                    <w:jc w:val="center"/>
                    <w:rPr>
                      <w:rFonts w:hint="eastAsia"/>
                      <w:color w:val="auto"/>
                      <w:szCs w:val="21"/>
                    </w:rPr>
                  </w:pPr>
                  <w:r>
                    <w:rPr>
                      <w:rFonts w:hint="eastAsia"/>
                      <w:color w:val="auto"/>
                      <w:szCs w:val="21"/>
                      <w:lang w:eastAsia="zh-CN"/>
                    </w:rPr>
                    <w:t>氨</w:t>
                  </w:r>
                </w:p>
              </w:tc>
              <w:tc>
                <w:tcPr>
                  <w:tcW w:w="713" w:type="pct"/>
                  <w:tcBorders>
                    <w:top w:val="single" w:color="auto" w:sz="4" w:space="0"/>
                    <w:left w:val="single" w:color="auto" w:sz="4" w:space="0"/>
                    <w:bottom w:val="single" w:color="auto" w:sz="4" w:space="0"/>
                    <w:right w:val="single" w:color="auto" w:sz="4" w:space="0"/>
                  </w:tcBorders>
                  <w:vAlign w:val="center"/>
                </w:tcPr>
                <w:p w14:paraId="4D6129E4">
                  <w:pPr>
                    <w:jc w:val="center"/>
                    <w:rPr>
                      <w:rFonts w:hint="default" w:eastAsia="宋体"/>
                      <w:color w:val="auto"/>
                      <w:szCs w:val="21"/>
                      <w:lang w:val="en-US" w:eastAsia="zh-CN"/>
                    </w:rPr>
                  </w:pPr>
                  <w:r>
                    <w:rPr>
                      <w:rFonts w:hint="eastAsia"/>
                      <w:color w:val="auto"/>
                      <w:szCs w:val="21"/>
                      <w:lang w:val="en-US" w:eastAsia="zh-CN"/>
                    </w:rPr>
                    <w:t>0.0156</w:t>
                  </w:r>
                </w:p>
              </w:tc>
              <w:tc>
                <w:tcPr>
                  <w:tcW w:w="755" w:type="pct"/>
                  <w:tcBorders>
                    <w:top w:val="single" w:color="auto" w:sz="4" w:space="0"/>
                    <w:left w:val="single" w:color="auto" w:sz="4" w:space="0"/>
                    <w:bottom w:val="single" w:color="auto" w:sz="4" w:space="0"/>
                    <w:right w:val="single" w:color="auto" w:sz="4" w:space="0"/>
                  </w:tcBorders>
                  <w:vAlign w:val="center"/>
                </w:tcPr>
                <w:p w14:paraId="4979C985">
                  <w:pPr>
                    <w:jc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rPr>
                    <w:t>0</w:t>
                  </w:r>
                </w:p>
              </w:tc>
              <w:tc>
                <w:tcPr>
                  <w:tcW w:w="747" w:type="pct"/>
                  <w:tcBorders>
                    <w:top w:val="single" w:color="auto" w:sz="4" w:space="0"/>
                    <w:left w:val="single" w:color="auto" w:sz="4" w:space="0"/>
                    <w:bottom w:val="single" w:color="auto" w:sz="4" w:space="0"/>
                    <w:right w:val="single" w:color="auto" w:sz="4" w:space="0"/>
                  </w:tcBorders>
                  <w:vAlign w:val="center"/>
                </w:tcPr>
                <w:p w14:paraId="5F1EA33A">
                  <w:pPr>
                    <w:jc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rPr>
                    <w:t>/</w:t>
                  </w:r>
                </w:p>
              </w:tc>
              <w:tc>
                <w:tcPr>
                  <w:tcW w:w="844" w:type="pct"/>
                  <w:tcBorders>
                    <w:top w:val="single" w:color="auto" w:sz="4" w:space="0"/>
                    <w:left w:val="single" w:color="auto" w:sz="4" w:space="0"/>
                    <w:bottom w:val="single" w:color="auto" w:sz="4" w:space="0"/>
                  </w:tcBorders>
                  <w:vAlign w:val="center"/>
                </w:tcPr>
                <w:p w14:paraId="2BC4F51F">
                  <w:pPr>
                    <w:jc w:val="center"/>
                    <w:rPr>
                      <w:rFonts w:hint="eastAsia"/>
                      <w:color w:val="auto"/>
                      <w:szCs w:val="21"/>
                    </w:rPr>
                  </w:pPr>
                  <w:r>
                    <w:rPr>
                      <w:rFonts w:hint="eastAsia"/>
                      <w:color w:val="auto"/>
                      <w:szCs w:val="21"/>
                      <w:lang w:val="en-US" w:eastAsia="zh-CN"/>
                    </w:rPr>
                    <w:t>0.0156</w:t>
                  </w:r>
                </w:p>
              </w:tc>
            </w:tr>
            <w:tr w14:paraId="58802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restart"/>
                  <w:tcBorders>
                    <w:right w:val="single" w:color="auto" w:sz="4" w:space="0"/>
                  </w:tcBorders>
                  <w:vAlign w:val="center"/>
                </w:tcPr>
                <w:p w14:paraId="205E2246">
                  <w:pPr>
                    <w:adjustRightInd w:val="0"/>
                    <w:snapToGrid w:val="0"/>
                    <w:jc w:val="center"/>
                    <w:rPr>
                      <w:color w:val="auto"/>
                      <w:szCs w:val="21"/>
                    </w:rPr>
                  </w:pPr>
                  <w:r>
                    <w:rPr>
                      <w:color w:val="auto"/>
                      <w:szCs w:val="21"/>
                    </w:rPr>
                    <w:t>废水</w:t>
                  </w:r>
                </w:p>
              </w:tc>
              <w:tc>
                <w:tcPr>
                  <w:tcW w:w="561" w:type="pct"/>
                  <w:vMerge w:val="restart"/>
                  <w:tcBorders>
                    <w:left w:val="single" w:color="auto" w:sz="4" w:space="0"/>
                    <w:right w:val="single" w:color="auto" w:sz="4" w:space="0"/>
                  </w:tcBorders>
                  <w:vAlign w:val="center"/>
                </w:tcPr>
                <w:p w14:paraId="764A935A">
                  <w:pPr>
                    <w:adjustRightInd w:val="0"/>
                    <w:snapToGrid w:val="0"/>
                    <w:jc w:val="center"/>
                    <w:rPr>
                      <w:color w:val="auto"/>
                      <w:szCs w:val="21"/>
                    </w:rPr>
                  </w:pPr>
                  <w:r>
                    <w:rPr>
                      <w:color w:val="auto"/>
                      <w:szCs w:val="21"/>
                    </w:rPr>
                    <w:t>生活</w:t>
                  </w:r>
                  <w:r>
                    <w:rPr>
                      <w:rFonts w:hint="eastAsia"/>
                      <w:color w:val="auto"/>
                      <w:szCs w:val="21"/>
                    </w:rPr>
                    <w:t>污</w:t>
                  </w:r>
                  <w:r>
                    <w:rPr>
                      <w:color w:val="auto"/>
                      <w:szCs w:val="21"/>
                    </w:rPr>
                    <w:t>水</w:t>
                  </w:r>
                </w:p>
              </w:tc>
              <w:tc>
                <w:tcPr>
                  <w:tcW w:w="938" w:type="pct"/>
                  <w:tcBorders>
                    <w:top w:val="single" w:color="auto" w:sz="4" w:space="0"/>
                    <w:left w:val="single" w:color="auto" w:sz="4" w:space="0"/>
                    <w:bottom w:val="single" w:color="auto" w:sz="4" w:space="0"/>
                    <w:right w:val="single" w:color="auto" w:sz="4" w:space="0"/>
                  </w:tcBorders>
                  <w:vAlign w:val="center"/>
                </w:tcPr>
                <w:p w14:paraId="02E171AA">
                  <w:pPr>
                    <w:adjustRightInd w:val="0"/>
                    <w:snapToGrid w:val="0"/>
                    <w:jc w:val="center"/>
                    <w:rPr>
                      <w:color w:val="auto"/>
                      <w:szCs w:val="21"/>
                    </w:rPr>
                  </w:pPr>
                  <w:r>
                    <w:rPr>
                      <w:color w:val="auto"/>
                      <w:szCs w:val="21"/>
                    </w:rPr>
                    <w:t>废水量（m</w:t>
                  </w:r>
                  <w:r>
                    <w:rPr>
                      <w:color w:val="auto"/>
                      <w:szCs w:val="21"/>
                      <w:vertAlign w:val="superscript"/>
                    </w:rPr>
                    <w:t>3</w:t>
                  </w:r>
                  <w:r>
                    <w:rPr>
                      <w:color w:val="auto"/>
                      <w:szCs w:val="21"/>
                    </w:rPr>
                    <w:t>/a）</w:t>
                  </w:r>
                </w:p>
              </w:tc>
              <w:tc>
                <w:tcPr>
                  <w:tcW w:w="713" w:type="pct"/>
                  <w:tcBorders>
                    <w:top w:val="single" w:color="auto" w:sz="4" w:space="0"/>
                    <w:left w:val="single" w:color="auto" w:sz="4" w:space="0"/>
                    <w:bottom w:val="single" w:color="auto" w:sz="4" w:space="0"/>
                    <w:right w:val="single" w:color="auto" w:sz="4" w:space="0"/>
                  </w:tcBorders>
                  <w:vAlign w:val="center"/>
                </w:tcPr>
                <w:p w14:paraId="68DCCD70">
                  <w:pPr>
                    <w:adjustRightInd w:val="0"/>
                    <w:snapToGrid w:val="0"/>
                    <w:jc w:val="center"/>
                    <w:rPr>
                      <w:rFonts w:hint="default" w:eastAsia="宋体"/>
                      <w:color w:val="auto"/>
                      <w:szCs w:val="21"/>
                      <w:lang w:val="en-US" w:eastAsia="zh-CN"/>
                    </w:rPr>
                  </w:pPr>
                  <w:r>
                    <w:rPr>
                      <w:rFonts w:hint="eastAsia"/>
                      <w:color w:val="auto"/>
                      <w:szCs w:val="21"/>
                      <w:lang w:val="en-US" w:eastAsia="zh-CN"/>
                    </w:rPr>
                    <w:t>472.5</w:t>
                  </w:r>
                </w:p>
              </w:tc>
              <w:tc>
                <w:tcPr>
                  <w:tcW w:w="755" w:type="pct"/>
                  <w:tcBorders>
                    <w:top w:val="single" w:color="auto" w:sz="4" w:space="0"/>
                    <w:left w:val="single" w:color="auto" w:sz="4" w:space="0"/>
                    <w:bottom w:val="single" w:color="auto" w:sz="4" w:space="0"/>
                    <w:right w:val="single" w:color="auto" w:sz="4" w:space="0"/>
                  </w:tcBorders>
                  <w:vAlign w:val="center"/>
                </w:tcPr>
                <w:p w14:paraId="7E0728FC">
                  <w:pPr>
                    <w:adjustRightInd w:val="0"/>
                    <w:snapToGrid w:val="0"/>
                    <w:jc w:val="center"/>
                    <w:rPr>
                      <w:rFonts w:hint="default" w:eastAsia="宋体"/>
                      <w:color w:val="auto"/>
                      <w:szCs w:val="21"/>
                      <w:lang w:val="en-US" w:eastAsia="zh-CN"/>
                    </w:rPr>
                  </w:pPr>
                  <w:r>
                    <w:rPr>
                      <w:rFonts w:hint="eastAsia"/>
                      <w:color w:val="auto"/>
                      <w:szCs w:val="21"/>
                      <w:lang w:val="en-US" w:eastAsia="zh-CN"/>
                    </w:rPr>
                    <w:t>0</w:t>
                  </w:r>
                </w:p>
              </w:tc>
              <w:tc>
                <w:tcPr>
                  <w:tcW w:w="747" w:type="pct"/>
                  <w:tcBorders>
                    <w:top w:val="single" w:color="auto" w:sz="4" w:space="0"/>
                    <w:left w:val="single" w:color="auto" w:sz="4" w:space="0"/>
                    <w:bottom w:val="single" w:color="auto" w:sz="4" w:space="0"/>
                    <w:right w:val="single" w:color="auto" w:sz="4" w:space="0"/>
                  </w:tcBorders>
                  <w:vAlign w:val="center"/>
                </w:tcPr>
                <w:p w14:paraId="6CD58993">
                  <w:pPr>
                    <w:jc w:val="center"/>
                    <w:rPr>
                      <w:color w:val="auto"/>
                      <w:szCs w:val="21"/>
                    </w:rPr>
                  </w:pPr>
                  <w:r>
                    <w:rPr>
                      <w:rFonts w:hint="eastAsia"/>
                      <w:color w:val="auto"/>
                      <w:szCs w:val="21"/>
                      <w:lang w:val="en-US" w:eastAsia="zh-CN"/>
                    </w:rPr>
                    <w:t>472.5</w:t>
                  </w:r>
                </w:p>
              </w:tc>
              <w:tc>
                <w:tcPr>
                  <w:tcW w:w="844" w:type="pct"/>
                  <w:tcBorders>
                    <w:top w:val="single" w:color="auto" w:sz="4" w:space="0"/>
                    <w:left w:val="single" w:color="auto" w:sz="4" w:space="0"/>
                    <w:bottom w:val="single" w:color="auto" w:sz="4" w:space="0"/>
                  </w:tcBorders>
                  <w:vAlign w:val="center"/>
                </w:tcPr>
                <w:p w14:paraId="4EE282A8">
                  <w:pPr>
                    <w:jc w:val="center"/>
                    <w:rPr>
                      <w:color w:val="auto"/>
                      <w:szCs w:val="21"/>
                    </w:rPr>
                  </w:pPr>
                  <w:r>
                    <w:rPr>
                      <w:color w:val="auto"/>
                      <w:szCs w:val="21"/>
                    </w:rPr>
                    <w:t>0</w:t>
                  </w:r>
                </w:p>
              </w:tc>
            </w:tr>
            <w:tr w14:paraId="38217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2F3BDDD9">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66EF4A29">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2E409229">
                  <w:pPr>
                    <w:adjustRightInd w:val="0"/>
                    <w:snapToGrid w:val="0"/>
                    <w:jc w:val="center"/>
                    <w:rPr>
                      <w:color w:val="auto"/>
                      <w:szCs w:val="21"/>
                    </w:rPr>
                  </w:pPr>
                  <w:r>
                    <w:rPr>
                      <w:color w:val="auto"/>
                      <w:szCs w:val="21"/>
                    </w:rPr>
                    <w:t>COD</w:t>
                  </w:r>
                </w:p>
              </w:tc>
              <w:tc>
                <w:tcPr>
                  <w:tcW w:w="713" w:type="pct"/>
                  <w:tcBorders>
                    <w:top w:val="single" w:color="auto" w:sz="4" w:space="0"/>
                    <w:left w:val="single" w:color="auto" w:sz="4" w:space="0"/>
                    <w:bottom w:val="single" w:color="auto" w:sz="4" w:space="0"/>
                    <w:right w:val="single" w:color="auto" w:sz="4" w:space="0"/>
                  </w:tcBorders>
                  <w:vAlign w:val="center"/>
                </w:tcPr>
                <w:p w14:paraId="54D418FF">
                  <w:pPr>
                    <w:jc w:val="center"/>
                    <w:rPr>
                      <w:rFonts w:hint="default" w:eastAsia="宋体"/>
                      <w:color w:val="auto"/>
                      <w:szCs w:val="21"/>
                      <w:lang w:val="en-US" w:eastAsia="zh-CN"/>
                    </w:rPr>
                  </w:pPr>
                  <w:r>
                    <w:rPr>
                      <w:rFonts w:hint="eastAsia"/>
                      <w:color w:val="auto"/>
                      <w:szCs w:val="21"/>
                      <w:lang w:val="en-US" w:eastAsia="zh-CN"/>
                    </w:rPr>
                    <w:t>0.1654</w:t>
                  </w:r>
                </w:p>
              </w:tc>
              <w:tc>
                <w:tcPr>
                  <w:tcW w:w="755" w:type="pct"/>
                  <w:tcBorders>
                    <w:top w:val="single" w:color="auto" w:sz="4" w:space="0"/>
                    <w:left w:val="single" w:color="auto" w:sz="4" w:space="0"/>
                    <w:bottom w:val="single" w:color="auto" w:sz="4" w:space="0"/>
                    <w:right w:val="single" w:color="auto" w:sz="4" w:space="0"/>
                  </w:tcBorders>
                  <w:vAlign w:val="center"/>
                </w:tcPr>
                <w:p w14:paraId="023C5A7D">
                  <w:pPr>
                    <w:jc w:val="center"/>
                    <w:rPr>
                      <w:rFonts w:hint="default" w:eastAsia="宋体"/>
                      <w:color w:val="auto"/>
                      <w:szCs w:val="21"/>
                      <w:lang w:val="en-US" w:eastAsia="zh-CN"/>
                    </w:rPr>
                  </w:pPr>
                  <w:r>
                    <w:rPr>
                      <w:rFonts w:hint="eastAsia"/>
                      <w:color w:val="auto"/>
                      <w:szCs w:val="21"/>
                      <w:lang w:val="en-US" w:eastAsia="zh-CN"/>
                    </w:rPr>
                    <w:t>0.0331</w:t>
                  </w:r>
                </w:p>
              </w:tc>
              <w:tc>
                <w:tcPr>
                  <w:tcW w:w="747" w:type="pct"/>
                  <w:tcBorders>
                    <w:top w:val="single" w:color="auto" w:sz="4" w:space="0"/>
                    <w:left w:val="single" w:color="auto" w:sz="4" w:space="0"/>
                    <w:bottom w:val="single" w:color="auto" w:sz="4" w:space="0"/>
                    <w:right w:val="single" w:color="auto" w:sz="4" w:space="0"/>
                  </w:tcBorders>
                  <w:vAlign w:val="center"/>
                </w:tcPr>
                <w:p w14:paraId="15754AF5">
                  <w:pPr>
                    <w:jc w:val="center"/>
                    <w:rPr>
                      <w:rFonts w:hint="default" w:eastAsia="宋体"/>
                      <w:color w:val="auto"/>
                      <w:szCs w:val="21"/>
                      <w:lang w:val="en-US" w:eastAsia="zh-CN"/>
                    </w:rPr>
                  </w:pPr>
                  <w:r>
                    <w:rPr>
                      <w:rFonts w:hint="eastAsia"/>
                      <w:color w:val="auto"/>
                      <w:szCs w:val="21"/>
                      <w:lang w:val="en-US" w:eastAsia="zh-CN"/>
                    </w:rPr>
                    <w:t>0.1323</w:t>
                  </w:r>
                </w:p>
              </w:tc>
              <w:tc>
                <w:tcPr>
                  <w:tcW w:w="844" w:type="pct"/>
                  <w:tcBorders>
                    <w:top w:val="single" w:color="auto" w:sz="4" w:space="0"/>
                    <w:left w:val="single" w:color="auto" w:sz="4" w:space="0"/>
                    <w:bottom w:val="single" w:color="auto" w:sz="4" w:space="0"/>
                  </w:tcBorders>
                  <w:vAlign w:val="center"/>
                </w:tcPr>
                <w:p w14:paraId="3111334E">
                  <w:pPr>
                    <w:adjustRightInd w:val="0"/>
                    <w:snapToGrid w:val="0"/>
                    <w:jc w:val="center"/>
                    <w:rPr>
                      <w:rFonts w:hint="default" w:eastAsia="宋体"/>
                      <w:color w:val="auto"/>
                      <w:szCs w:val="21"/>
                      <w:lang w:val="en-US" w:eastAsia="zh-CN"/>
                    </w:rPr>
                  </w:pPr>
                  <w:r>
                    <w:rPr>
                      <w:rFonts w:hint="eastAsia"/>
                      <w:color w:val="auto"/>
                      <w:szCs w:val="21"/>
                      <w:lang w:val="en-US" w:eastAsia="zh-CN"/>
                    </w:rPr>
                    <w:t>0.0236</w:t>
                  </w:r>
                </w:p>
              </w:tc>
            </w:tr>
            <w:tr w14:paraId="575AF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22E37B3D">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718C0C46">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5FDE4F80">
                  <w:pPr>
                    <w:adjustRightInd w:val="0"/>
                    <w:snapToGrid w:val="0"/>
                    <w:jc w:val="center"/>
                    <w:rPr>
                      <w:color w:val="auto"/>
                      <w:szCs w:val="21"/>
                    </w:rPr>
                  </w:pPr>
                  <w:r>
                    <w:rPr>
                      <w:color w:val="auto"/>
                      <w:szCs w:val="21"/>
                    </w:rPr>
                    <w:t>SS</w:t>
                  </w:r>
                </w:p>
              </w:tc>
              <w:tc>
                <w:tcPr>
                  <w:tcW w:w="713" w:type="pct"/>
                  <w:tcBorders>
                    <w:top w:val="single" w:color="auto" w:sz="4" w:space="0"/>
                    <w:left w:val="single" w:color="auto" w:sz="4" w:space="0"/>
                    <w:bottom w:val="single" w:color="auto" w:sz="4" w:space="0"/>
                    <w:right w:val="single" w:color="auto" w:sz="4" w:space="0"/>
                  </w:tcBorders>
                  <w:vAlign w:val="center"/>
                </w:tcPr>
                <w:p w14:paraId="47DFEACE">
                  <w:pPr>
                    <w:jc w:val="center"/>
                    <w:rPr>
                      <w:rFonts w:hint="default" w:eastAsia="宋体"/>
                      <w:color w:val="auto"/>
                      <w:szCs w:val="21"/>
                      <w:lang w:val="en-US" w:eastAsia="zh-CN"/>
                    </w:rPr>
                  </w:pPr>
                  <w:r>
                    <w:rPr>
                      <w:rFonts w:hint="eastAsia"/>
                      <w:color w:val="auto"/>
                      <w:szCs w:val="21"/>
                      <w:lang w:val="en-US" w:eastAsia="zh-CN"/>
                    </w:rPr>
                    <w:t>0.0945</w:t>
                  </w:r>
                </w:p>
              </w:tc>
              <w:tc>
                <w:tcPr>
                  <w:tcW w:w="755" w:type="pct"/>
                  <w:tcBorders>
                    <w:top w:val="single" w:color="auto" w:sz="4" w:space="0"/>
                    <w:left w:val="single" w:color="auto" w:sz="4" w:space="0"/>
                    <w:bottom w:val="single" w:color="auto" w:sz="4" w:space="0"/>
                    <w:right w:val="single" w:color="auto" w:sz="4" w:space="0"/>
                  </w:tcBorders>
                  <w:vAlign w:val="center"/>
                </w:tcPr>
                <w:p w14:paraId="02E59583">
                  <w:pPr>
                    <w:jc w:val="center"/>
                    <w:rPr>
                      <w:rFonts w:hint="default" w:eastAsia="宋体"/>
                      <w:color w:val="auto"/>
                      <w:szCs w:val="21"/>
                      <w:lang w:val="en-US" w:eastAsia="zh-CN"/>
                    </w:rPr>
                  </w:pPr>
                  <w:r>
                    <w:rPr>
                      <w:rFonts w:hint="eastAsia"/>
                      <w:color w:val="auto"/>
                      <w:szCs w:val="21"/>
                      <w:lang w:val="en-US" w:eastAsia="zh-CN"/>
                    </w:rPr>
                    <w:t>0.0472</w:t>
                  </w:r>
                </w:p>
              </w:tc>
              <w:tc>
                <w:tcPr>
                  <w:tcW w:w="747" w:type="pct"/>
                  <w:tcBorders>
                    <w:top w:val="single" w:color="auto" w:sz="4" w:space="0"/>
                    <w:left w:val="single" w:color="auto" w:sz="4" w:space="0"/>
                    <w:bottom w:val="single" w:color="auto" w:sz="4" w:space="0"/>
                    <w:right w:val="single" w:color="auto" w:sz="4" w:space="0"/>
                  </w:tcBorders>
                  <w:vAlign w:val="center"/>
                </w:tcPr>
                <w:p w14:paraId="3AFCDFA9">
                  <w:pPr>
                    <w:jc w:val="center"/>
                    <w:rPr>
                      <w:rFonts w:hint="default" w:eastAsia="宋体"/>
                      <w:color w:val="auto"/>
                      <w:szCs w:val="21"/>
                      <w:lang w:val="en-US" w:eastAsia="zh-CN"/>
                    </w:rPr>
                  </w:pPr>
                  <w:r>
                    <w:rPr>
                      <w:rFonts w:hint="eastAsia"/>
                      <w:color w:val="auto"/>
                      <w:szCs w:val="21"/>
                      <w:lang w:val="en-US" w:eastAsia="zh-CN"/>
                    </w:rPr>
                    <w:t>0.0473</w:t>
                  </w:r>
                </w:p>
              </w:tc>
              <w:tc>
                <w:tcPr>
                  <w:tcW w:w="844" w:type="pct"/>
                  <w:tcBorders>
                    <w:top w:val="single" w:color="auto" w:sz="4" w:space="0"/>
                    <w:left w:val="single" w:color="auto" w:sz="4" w:space="0"/>
                    <w:bottom w:val="single" w:color="auto" w:sz="4" w:space="0"/>
                  </w:tcBorders>
                  <w:vAlign w:val="center"/>
                </w:tcPr>
                <w:p w14:paraId="3BF5CA7E">
                  <w:pPr>
                    <w:adjustRightInd w:val="0"/>
                    <w:snapToGrid w:val="0"/>
                    <w:jc w:val="center"/>
                    <w:rPr>
                      <w:rFonts w:hint="default" w:eastAsia="宋体"/>
                      <w:color w:val="auto"/>
                      <w:szCs w:val="21"/>
                      <w:lang w:val="en-US" w:eastAsia="zh-CN"/>
                    </w:rPr>
                  </w:pPr>
                  <w:r>
                    <w:rPr>
                      <w:rFonts w:hint="eastAsia"/>
                      <w:color w:val="auto"/>
                      <w:szCs w:val="21"/>
                      <w:lang w:val="en-US" w:eastAsia="zh-CN"/>
                    </w:rPr>
                    <w:t>0.0047</w:t>
                  </w:r>
                </w:p>
              </w:tc>
            </w:tr>
            <w:tr w14:paraId="087F5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444F76B5">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0632D2C0">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4764A8F4">
                  <w:pPr>
                    <w:adjustRightInd w:val="0"/>
                    <w:snapToGrid w:val="0"/>
                    <w:jc w:val="center"/>
                    <w:rPr>
                      <w:color w:val="auto"/>
                      <w:szCs w:val="21"/>
                    </w:rPr>
                  </w:pPr>
                  <w:r>
                    <w:rPr>
                      <w:color w:val="auto"/>
                      <w:szCs w:val="21"/>
                    </w:rPr>
                    <w:t>氨氮</w:t>
                  </w:r>
                </w:p>
              </w:tc>
              <w:tc>
                <w:tcPr>
                  <w:tcW w:w="713" w:type="pct"/>
                  <w:tcBorders>
                    <w:top w:val="single" w:color="auto" w:sz="4" w:space="0"/>
                    <w:left w:val="single" w:color="auto" w:sz="4" w:space="0"/>
                    <w:bottom w:val="single" w:color="auto" w:sz="4" w:space="0"/>
                    <w:right w:val="single" w:color="auto" w:sz="4" w:space="0"/>
                  </w:tcBorders>
                  <w:vAlign w:val="center"/>
                </w:tcPr>
                <w:p w14:paraId="5E86AF77">
                  <w:pPr>
                    <w:jc w:val="center"/>
                    <w:rPr>
                      <w:rFonts w:hint="default" w:eastAsia="宋体"/>
                      <w:color w:val="auto"/>
                      <w:szCs w:val="21"/>
                      <w:lang w:val="en-US" w:eastAsia="zh-CN"/>
                    </w:rPr>
                  </w:pPr>
                  <w:r>
                    <w:rPr>
                      <w:rFonts w:hint="eastAsia"/>
                      <w:color w:val="auto"/>
                      <w:szCs w:val="21"/>
                      <w:lang w:val="en-US" w:eastAsia="zh-CN"/>
                    </w:rPr>
                    <w:t>0.0142</w:t>
                  </w:r>
                </w:p>
              </w:tc>
              <w:tc>
                <w:tcPr>
                  <w:tcW w:w="755" w:type="pct"/>
                  <w:tcBorders>
                    <w:top w:val="single" w:color="auto" w:sz="4" w:space="0"/>
                    <w:left w:val="single" w:color="auto" w:sz="4" w:space="0"/>
                    <w:bottom w:val="single" w:color="auto" w:sz="4" w:space="0"/>
                    <w:right w:val="single" w:color="auto" w:sz="4" w:space="0"/>
                  </w:tcBorders>
                  <w:vAlign w:val="center"/>
                </w:tcPr>
                <w:p w14:paraId="645044C6">
                  <w:pPr>
                    <w:jc w:val="center"/>
                    <w:rPr>
                      <w:rFonts w:hint="eastAsia" w:eastAsia="宋体"/>
                      <w:color w:val="auto"/>
                      <w:szCs w:val="21"/>
                      <w:lang w:val="en-US" w:eastAsia="zh-CN"/>
                    </w:rPr>
                  </w:pPr>
                  <w:r>
                    <w:rPr>
                      <w:rFonts w:hint="eastAsia"/>
                      <w:color w:val="auto"/>
                      <w:szCs w:val="21"/>
                      <w:lang w:val="en-US" w:eastAsia="zh-CN"/>
                    </w:rPr>
                    <w:t>0</w:t>
                  </w:r>
                </w:p>
              </w:tc>
              <w:tc>
                <w:tcPr>
                  <w:tcW w:w="747" w:type="pct"/>
                  <w:tcBorders>
                    <w:top w:val="single" w:color="auto" w:sz="4" w:space="0"/>
                    <w:left w:val="single" w:color="auto" w:sz="4" w:space="0"/>
                    <w:bottom w:val="single" w:color="auto" w:sz="4" w:space="0"/>
                    <w:right w:val="single" w:color="auto" w:sz="4" w:space="0"/>
                  </w:tcBorders>
                  <w:vAlign w:val="center"/>
                </w:tcPr>
                <w:p w14:paraId="4C585426">
                  <w:pPr>
                    <w:jc w:val="center"/>
                    <w:rPr>
                      <w:rFonts w:hint="default" w:eastAsia="宋体"/>
                      <w:color w:val="auto"/>
                      <w:szCs w:val="21"/>
                      <w:lang w:val="en-US" w:eastAsia="zh-CN"/>
                    </w:rPr>
                  </w:pPr>
                  <w:r>
                    <w:rPr>
                      <w:rFonts w:hint="eastAsia"/>
                      <w:color w:val="auto"/>
                      <w:szCs w:val="21"/>
                      <w:lang w:val="en-US" w:eastAsia="zh-CN"/>
                    </w:rPr>
                    <w:t>0.0142</w:t>
                  </w:r>
                </w:p>
              </w:tc>
              <w:tc>
                <w:tcPr>
                  <w:tcW w:w="844" w:type="pct"/>
                  <w:tcBorders>
                    <w:top w:val="single" w:color="auto" w:sz="4" w:space="0"/>
                    <w:left w:val="single" w:color="auto" w:sz="4" w:space="0"/>
                    <w:bottom w:val="single" w:color="auto" w:sz="4" w:space="0"/>
                  </w:tcBorders>
                  <w:vAlign w:val="center"/>
                </w:tcPr>
                <w:p w14:paraId="0F56C738">
                  <w:pPr>
                    <w:adjustRightInd w:val="0"/>
                    <w:snapToGrid w:val="0"/>
                    <w:jc w:val="center"/>
                    <w:rPr>
                      <w:rFonts w:hint="default" w:eastAsia="宋体"/>
                      <w:color w:val="auto"/>
                      <w:szCs w:val="21"/>
                      <w:lang w:val="en-US" w:eastAsia="zh-CN"/>
                    </w:rPr>
                  </w:pPr>
                  <w:r>
                    <w:rPr>
                      <w:rFonts w:hint="eastAsia"/>
                      <w:color w:val="auto"/>
                      <w:szCs w:val="21"/>
                      <w:lang w:val="en-US" w:eastAsia="zh-CN"/>
                    </w:rPr>
                    <w:t>0.0024</w:t>
                  </w:r>
                </w:p>
              </w:tc>
            </w:tr>
            <w:tr w14:paraId="10731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62D15BD8">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15170589">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0A096D39">
                  <w:pPr>
                    <w:adjustRightInd w:val="0"/>
                    <w:snapToGrid w:val="0"/>
                    <w:jc w:val="center"/>
                    <w:rPr>
                      <w:color w:val="auto"/>
                      <w:szCs w:val="21"/>
                    </w:rPr>
                  </w:pPr>
                  <w:r>
                    <w:rPr>
                      <w:color w:val="auto"/>
                      <w:szCs w:val="21"/>
                    </w:rPr>
                    <w:t>总氮</w:t>
                  </w:r>
                </w:p>
              </w:tc>
              <w:tc>
                <w:tcPr>
                  <w:tcW w:w="713" w:type="pct"/>
                  <w:tcBorders>
                    <w:top w:val="single" w:color="auto" w:sz="4" w:space="0"/>
                    <w:left w:val="single" w:color="auto" w:sz="4" w:space="0"/>
                    <w:bottom w:val="single" w:color="auto" w:sz="4" w:space="0"/>
                    <w:right w:val="single" w:color="auto" w:sz="4" w:space="0"/>
                  </w:tcBorders>
                  <w:vAlign w:val="center"/>
                </w:tcPr>
                <w:p w14:paraId="75632200">
                  <w:pPr>
                    <w:jc w:val="center"/>
                    <w:rPr>
                      <w:rFonts w:hint="default" w:eastAsia="宋体"/>
                      <w:color w:val="auto"/>
                      <w:szCs w:val="21"/>
                      <w:lang w:val="en-US" w:eastAsia="zh-CN"/>
                    </w:rPr>
                  </w:pPr>
                  <w:r>
                    <w:rPr>
                      <w:rFonts w:hint="eastAsia"/>
                      <w:color w:val="auto"/>
                      <w:szCs w:val="21"/>
                      <w:lang w:val="en-US" w:eastAsia="zh-CN"/>
                    </w:rPr>
                    <w:t>0.0189</w:t>
                  </w:r>
                </w:p>
              </w:tc>
              <w:tc>
                <w:tcPr>
                  <w:tcW w:w="755" w:type="pct"/>
                  <w:tcBorders>
                    <w:top w:val="single" w:color="auto" w:sz="4" w:space="0"/>
                    <w:left w:val="single" w:color="auto" w:sz="4" w:space="0"/>
                    <w:bottom w:val="single" w:color="auto" w:sz="4" w:space="0"/>
                    <w:right w:val="single" w:color="auto" w:sz="4" w:space="0"/>
                  </w:tcBorders>
                  <w:vAlign w:val="center"/>
                </w:tcPr>
                <w:p w14:paraId="5696742E">
                  <w:pPr>
                    <w:jc w:val="center"/>
                    <w:rPr>
                      <w:rFonts w:hint="eastAsia" w:eastAsia="宋体"/>
                      <w:color w:val="auto"/>
                      <w:szCs w:val="21"/>
                      <w:lang w:val="en-US" w:eastAsia="zh-CN"/>
                    </w:rPr>
                  </w:pPr>
                  <w:r>
                    <w:rPr>
                      <w:rFonts w:hint="eastAsia"/>
                      <w:color w:val="auto"/>
                      <w:szCs w:val="21"/>
                      <w:lang w:val="en-US" w:eastAsia="zh-CN"/>
                    </w:rPr>
                    <w:t>0</w:t>
                  </w:r>
                </w:p>
              </w:tc>
              <w:tc>
                <w:tcPr>
                  <w:tcW w:w="747" w:type="pct"/>
                  <w:tcBorders>
                    <w:top w:val="single" w:color="auto" w:sz="4" w:space="0"/>
                    <w:left w:val="single" w:color="auto" w:sz="4" w:space="0"/>
                    <w:bottom w:val="single" w:color="auto" w:sz="4" w:space="0"/>
                    <w:right w:val="single" w:color="auto" w:sz="4" w:space="0"/>
                  </w:tcBorders>
                  <w:vAlign w:val="center"/>
                </w:tcPr>
                <w:p w14:paraId="18930AB7">
                  <w:pPr>
                    <w:jc w:val="center"/>
                    <w:rPr>
                      <w:rFonts w:hint="default" w:eastAsia="宋体"/>
                      <w:color w:val="auto"/>
                      <w:szCs w:val="21"/>
                      <w:lang w:val="en-US" w:eastAsia="zh-CN"/>
                    </w:rPr>
                  </w:pPr>
                  <w:r>
                    <w:rPr>
                      <w:rFonts w:hint="eastAsia"/>
                      <w:color w:val="auto"/>
                      <w:szCs w:val="21"/>
                      <w:lang w:val="en-US" w:eastAsia="zh-CN"/>
                    </w:rPr>
                    <w:t>0.0189</w:t>
                  </w:r>
                </w:p>
              </w:tc>
              <w:tc>
                <w:tcPr>
                  <w:tcW w:w="844" w:type="pct"/>
                  <w:tcBorders>
                    <w:top w:val="single" w:color="auto" w:sz="4" w:space="0"/>
                    <w:left w:val="single" w:color="auto" w:sz="4" w:space="0"/>
                    <w:bottom w:val="single" w:color="auto" w:sz="4" w:space="0"/>
                  </w:tcBorders>
                  <w:vAlign w:val="center"/>
                </w:tcPr>
                <w:p w14:paraId="49A7A217">
                  <w:pPr>
                    <w:adjustRightInd w:val="0"/>
                    <w:snapToGrid w:val="0"/>
                    <w:jc w:val="center"/>
                    <w:rPr>
                      <w:rFonts w:hint="default" w:eastAsia="宋体"/>
                      <w:color w:val="auto"/>
                      <w:szCs w:val="21"/>
                      <w:lang w:val="en-US" w:eastAsia="zh-CN"/>
                    </w:rPr>
                  </w:pPr>
                  <w:r>
                    <w:rPr>
                      <w:rFonts w:hint="eastAsia"/>
                      <w:color w:val="auto"/>
                      <w:szCs w:val="21"/>
                      <w:lang w:val="en-US" w:eastAsia="zh-CN"/>
                    </w:rPr>
                    <w:t>0.0071</w:t>
                  </w:r>
                </w:p>
              </w:tc>
            </w:tr>
            <w:tr w14:paraId="5D91D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right w:val="single" w:color="auto" w:sz="4" w:space="0"/>
                  </w:tcBorders>
                  <w:vAlign w:val="center"/>
                </w:tcPr>
                <w:p w14:paraId="5CB6984E">
                  <w:pPr>
                    <w:adjustRightInd w:val="0"/>
                    <w:snapToGrid w:val="0"/>
                    <w:jc w:val="center"/>
                    <w:rPr>
                      <w:color w:val="auto"/>
                      <w:szCs w:val="21"/>
                    </w:rPr>
                  </w:pPr>
                </w:p>
              </w:tc>
              <w:tc>
                <w:tcPr>
                  <w:tcW w:w="561" w:type="pct"/>
                  <w:vMerge w:val="continue"/>
                  <w:tcBorders>
                    <w:left w:val="single" w:color="auto" w:sz="4" w:space="0"/>
                    <w:right w:val="single" w:color="auto" w:sz="4" w:space="0"/>
                  </w:tcBorders>
                  <w:vAlign w:val="center"/>
                </w:tcPr>
                <w:p w14:paraId="109634B2">
                  <w:pPr>
                    <w:adjustRightInd w:val="0"/>
                    <w:snapToGrid w:val="0"/>
                    <w:jc w:val="center"/>
                    <w:rPr>
                      <w:color w:val="auto"/>
                      <w:szCs w:val="21"/>
                    </w:rPr>
                  </w:pPr>
                </w:p>
              </w:tc>
              <w:tc>
                <w:tcPr>
                  <w:tcW w:w="938" w:type="pct"/>
                  <w:tcBorders>
                    <w:top w:val="single" w:color="auto" w:sz="4" w:space="0"/>
                    <w:left w:val="single" w:color="auto" w:sz="4" w:space="0"/>
                    <w:bottom w:val="single" w:color="auto" w:sz="4" w:space="0"/>
                    <w:right w:val="single" w:color="auto" w:sz="4" w:space="0"/>
                  </w:tcBorders>
                  <w:vAlign w:val="center"/>
                </w:tcPr>
                <w:p w14:paraId="16EDB278">
                  <w:pPr>
                    <w:adjustRightInd w:val="0"/>
                    <w:snapToGrid w:val="0"/>
                    <w:jc w:val="center"/>
                    <w:rPr>
                      <w:color w:val="auto"/>
                      <w:szCs w:val="21"/>
                    </w:rPr>
                  </w:pPr>
                  <w:r>
                    <w:rPr>
                      <w:color w:val="auto"/>
                      <w:szCs w:val="21"/>
                    </w:rPr>
                    <w:t>总磷</w:t>
                  </w:r>
                </w:p>
              </w:tc>
              <w:tc>
                <w:tcPr>
                  <w:tcW w:w="713" w:type="pct"/>
                  <w:tcBorders>
                    <w:top w:val="single" w:color="auto" w:sz="4" w:space="0"/>
                    <w:left w:val="single" w:color="auto" w:sz="4" w:space="0"/>
                    <w:bottom w:val="single" w:color="auto" w:sz="4" w:space="0"/>
                    <w:right w:val="single" w:color="auto" w:sz="4" w:space="0"/>
                  </w:tcBorders>
                  <w:vAlign w:val="center"/>
                </w:tcPr>
                <w:p w14:paraId="1919CBAD">
                  <w:pPr>
                    <w:jc w:val="center"/>
                    <w:rPr>
                      <w:rFonts w:hint="default" w:eastAsia="宋体"/>
                      <w:color w:val="auto"/>
                      <w:szCs w:val="21"/>
                      <w:lang w:val="en-US" w:eastAsia="zh-CN"/>
                    </w:rPr>
                  </w:pPr>
                  <w:r>
                    <w:rPr>
                      <w:rFonts w:hint="eastAsia"/>
                      <w:color w:val="auto"/>
                      <w:szCs w:val="21"/>
                      <w:lang w:val="en-US" w:eastAsia="zh-CN"/>
                    </w:rPr>
                    <w:t>0.0019</w:t>
                  </w:r>
                </w:p>
              </w:tc>
              <w:tc>
                <w:tcPr>
                  <w:tcW w:w="755" w:type="pct"/>
                  <w:tcBorders>
                    <w:top w:val="single" w:color="auto" w:sz="4" w:space="0"/>
                    <w:left w:val="single" w:color="auto" w:sz="4" w:space="0"/>
                    <w:bottom w:val="single" w:color="auto" w:sz="4" w:space="0"/>
                    <w:right w:val="single" w:color="auto" w:sz="4" w:space="0"/>
                  </w:tcBorders>
                  <w:vAlign w:val="center"/>
                </w:tcPr>
                <w:p w14:paraId="1AD22E06">
                  <w:pPr>
                    <w:jc w:val="center"/>
                    <w:rPr>
                      <w:rFonts w:hint="eastAsia" w:eastAsia="宋体"/>
                      <w:color w:val="auto"/>
                      <w:szCs w:val="21"/>
                      <w:lang w:val="en-US" w:eastAsia="zh-CN"/>
                    </w:rPr>
                  </w:pPr>
                  <w:r>
                    <w:rPr>
                      <w:rFonts w:hint="eastAsia"/>
                      <w:color w:val="auto"/>
                      <w:szCs w:val="21"/>
                      <w:lang w:val="en-US" w:eastAsia="zh-CN"/>
                    </w:rPr>
                    <w:t>0</w:t>
                  </w:r>
                </w:p>
              </w:tc>
              <w:tc>
                <w:tcPr>
                  <w:tcW w:w="747" w:type="pct"/>
                  <w:tcBorders>
                    <w:top w:val="single" w:color="auto" w:sz="4" w:space="0"/>
                    <w:left w:val="single" w:color="auto" w:sz="4" w:space="0"/>
                    <w:bottom w:val="single" w:color="auto" w:sz="4" w:space="0"/>
                    <w:right w:val="single" w:color="auto" w:sz="4" w:space="0"/>
                  </w:tcBorders>
                  <w:vAlign w:val="center"/>
                </w:tcPr>
                <w:p w14:paraId="17E4D387">
                  <w:pPr>
                    <w:jc w:val="center"/>
                    <w:rPr>
                      <w:rFonts w:hint="default" w:eastAsia="宋体"/>
                      <w:color w:val="auto"/>
                      <w:szCs w:val="21"/>
                      <w:lang w:val="en-US" w:eastAsia="zh-CN"/>
                    </w:rPr>
                  </w:pPr>
                  <w:r>
                    <w:rPr>
                      <w:rFonts w:hint="eastAsia"/>
                      <w:color w:val="auto"/>
                      <w:szCs w:val="21"/>
                      <w:lang w:val="en-US" w:eastAsia="zh-CN"/>
                    </w:rPr>
                    <w:t>0.0019</w:t>
                  </w:r>
                </w:p>
              </w:tc>
              <w:tc>
                <w:tcPr>
                  <w:tcW w:w="844" w:type="pct"/>
                  <w:tcBorders>
                    <w:top w:val="single" w:color="auto" w:sz="4" w:space="0"/>
                    <w:left w:val="single" w:color="auto" w:sz="4" w:space="0"/>
                    <w:bottom w:val="single" w:color="auto" w:sz="4" w:space="0"/>
                  </w:tcBorders>
                  <w:vAlign w:val="center"/>
                </w:tcPr>
                <w:p w14:paraId="29D19E93">
                  <w:pPr>
                    <w:adjustRightInd w:val="0"/>
                    <w:snapToGrid w:val="0"/>
                    <w:jc w:val="center"/>
                    <w:rPr>
                      <w:rFonts w:hint="default" w:eastAsia="宋体"/>
                      <w:color w:val="auto"/>
                      <w:szCs w:val="21"/>
                      <w:lang w:val="en-US" w:eastAsia="zh-CN"/>
                    </w:rPr>
                  </w:pPr>
                  <w:r>
                    <w:rPr>
                      <w:rFonts w:hint="eastAsia"/>
                      <w:color w:val="auto"/>
                      <w:szCs w:val="21"/>
                      <w:lang w:val="en-US" w:eastAsia="zh-CN"/>
                    </w:rPr>
                    <w:t>0.0002</w:t>
                  </w:r>
                </w:p>
              </w:tc>
            </w:tr>
            <w:tr w14:paraId="64D8F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restart"/>
                  <w:tcBorders>
                    <w:top w:val="single" w:color="auto" w:sz="4" w:space="0"/>
                    <w:bottom w:val="single" w:color="auto" w:sz="4" w:space="0"/>
                    <w:right w:val="single" w:color="auto" w:sz="4" w:space="0"/>
                  </w:tcBorders>
                  <w:vAlign w:val="center"/>
                </w:tcPr>
                <w:p w14:paraId="5493CED0">
                  <w:pPr>
                    <w:adjustRightInd w:val="0"/>
                    <w:snapToGrid w:val="0"/>
                    <w:jc w:val="center"/>
                    <w:rPr>
                      <w:color w:val="auto"/>
                      <w:szCs w:val="21"/>
                    </w:rPr>
                  </w:pPr>
                  <w:r>
                    <w:rPr>
                      <w:color w:val="auto"/>
                      <w:szCs w:val="21"/>
                    </w:rPr>
                    <w:t>固废</w:t>
                  </w:r>
                </w:p>
              </w:tc>
              <w:tc>
                <w:tcPr>
                  <w:tcW w:w="1499" w:type="pct"/>
                  <w:gridSpan w:val="2"/>
                  <w:tcBorders>
                    <w:top w:val="single" w:color="auto" w:sz="4" w:space="0"/>
                    <w:left w:val="single" w:color="auto" w:sz="4" w:space="0"/>
                    <w:bottom w:val="single" w:color="auto" w:sz="4" w:space="0"/>
                    <w:right w:val="single" w:color="auto" w:sz="4" w:space="0"/>
                  </w:tcBorders>
                  <w:vAlign w:val="center"/>
                </w:tcPr>
                <w:p w14:paraId="1EB75640">
                  <w:pPr>
                    <w:adjustRightInd w:val="0"/>
                    <w:snapToGrid w:val="0"/>
                    <w:jc w:val="center"/>
                    <w:rPr>
                      <w:color w:val="auto"/>
                      <w:szCs w:val="21"/>
                    </w:rPr>
                  </w:pPr>
                  <w:r>
                    <w:rPr>
                      <w:color w:val="auto"/>
                      <w:szCs w:val="21"/>
                    </w:rPr>
                    <w:t>危险废物</w:t>
                  </w:r>
                </w:p>
              </w:tc>
              <w:tc>
                <w:tcPr>
                  <w:tcW w:w="713" w:type="pct"/>
                  <w:tcBorders>
                    <w:top w:val="single" w:color="auto" w:sz="4" w:space="0"/>
                    <w:left w:val="single" w:color="auto" w:sz="4" w:space="0"/>
                    <w:bottom w:val="single" w:color="auto" w:sz="4" w:space="0"/>
                    <w:right w:val="single" w:color="auto" w:sz="4" w:space="0"/>
                  </w:tcBorders>
                  <w:vAlign w:val="center"/>
                </w:tcPr>
                <w:p w14:paraId="12FE37ED">
                  <w:pPr>
                    <w:adjustRightInd w:val="0"/>
                    <w:snapToGrid w:val="0"/>
                    <w:jc w:val="center"/>
                    <w:rPr>
                      <w:rFonts w:hint="default" w:eastAsia="宋体"/>
                      <w:color w:val="auto"/>
                      <w:szCs w:val="21"/>
                      <w:lang w:val="en-US" w:eastAsia="zh-CN"/>
                    </w:rPr>
                  </w:pPr>
                  <w:r>
                    <w:rPr>
                      <w:rFonts w:hint="eastAsia"/>
                      <w:color w:val="auto"/>
                      <w:szCs w:val="21"/>
                      <w:lang w:val="en-US" w:eastAsia="zh-CN"/>
                    </w:rPr>
                    <w:t>21.481</w:t>
                  </w:r>
                </w:p>
              </w:tc>
              <w:tc>
                <w:tcPr>
                  <w:tcW w:w="755" w:type="pct"/>
                  <w:tcBorders>
                    <w:top w:val="single" w:color="auto" w:sz="4" w:space="0"/>
                    <w:left w:val="single" w:color="auto" w:sz="4" w:space="0"/>
                    <w:bottom w:val="single" w:color="auto" w:sz="4" w:space="0"/>
                    <w:right w:val="single" w:color="auto" w:sz="4" w:space="0"/>
                  </w:tcBorders>
                  <w:vAlign w:val="center"/>
                </w:tcPr>
                <w:p w14:paraId="360894C9">
                  <w:pPr>
                    <w:adjustRightInd w:val="0"/>
                    <w:snapToGrid w:val="0"/>
                    <w:jc w:val="center"/>
                    <w:rPr>
                      <w:color w:val="auto"/>
                      <w:szCs w:val="21"/>
                    </w:rPr>
                  </w:pPr>
                  <w:r>
                    <w:rPr>
                      <w:rFonts w:hint="eastAsia"/>
                      <w:color w:val="auto"/>
                      <w:szCs w:val="21"/>
                      <w:lang w:val="en-US" w:eastAsia="zh-CN"/>
                    </w:rPr>
                    <w:t>21.481</w:t>
                  </w:r>
                </w:p>
              </w:tc>
              <w:tc>
                <w:tcPr>
                  <w:tcW w:w="747" w:type="pct"/>
                  <w:tcBorders>
                    <w:top w:val="single" w:color="auto" w:sz="4" w:space="0"/>
                    <w:left w:val="single" w:color="auto" w:sz="4" w:space="0"/>
                    <w:bottom w:val="single" w:color="auto" w:sz="4" w:space="0"/>
                    <w:right w:val="single" w:color="auto" w:sz="4" w:space="0"/>
                  </w:tcBorders>
                  <w:vAlign w:val="center"/>
                </w:tcPr>
                <w:p w14:paraId="18CCBBFB">
                  <w:pPr>
                    <w:adjustRightInd w:val="0"/>
                    <w:snapToGrid w:val="0"/>
                    <w:jc w:val="center"/>
                    <w:rPr>
                      <w:color w:val="auto"/>
                      <w:szCs w:val="21"/>
                    </w:rPr>
                  </w:pPr>
                  <w:r>
                    <w:rPr>
                      <w:color w:val="auto"/>
                      <w:szCs w:val="21"/>
                    </w:rPr>
                    <w:t>0</w:t>
                  </w:r>
                </w:p>
              </w:tc>
              <w:tc>
                <w:tcPr>
                  <w:tcW w:w="844" w:type="pct"/>
                  <w:tcBorders>
                    <w:top w:val="single" w:color="auto" w:sz="4" w:space="0"/>
                    <w:left w:val="single" w:color="auto" w:sz="4" w:space="0"/>
                    <w:bottom w:val="single" w:color="auto" w:sz="4" w:space="0"/>
                  </w:tcBorders>
                  <w:vAlign w:val="center"/>
                </w:tcPr>
                <w:p w14:paraId="07606A73">
                  <w:pPr>
                    <w:adjustRightInd w:val="0"/>
                    <w:snapToGrid w:val="0"/>
                    <w:jc w:val="center"/>
                    <w:rPr>
                      <w:color w:val="auto"/>
                      <w:szCs w:val="21"/>
                    </w:rPr>
                  </w:pPr>
                  <w:r>
                    <w:rPr>
                      <w:color w:val="auto"/>
                      <w:szCs w:val="21"/>
                    </w:rPr>
                    <w:t>0</w:t>
                  </w:r>
                </w:p>
              </w:tc>
            </w:tr>
            <w:tr w14:paraId="64DA6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top w:val="single" w:color="auto" w:sz="4" w:space="0"/>
                    <w:bottom w:val="single" w:color="auto" w:sz="4" w:space="0"/>
                    <w:right w:val="single" w:color="auto" w:sz="4" w:space="0"/>
                  </w:tcBorders>
                  <w:vAlign w:val="center"/>
                </w:tcPr>
                <w:p w14:paraId="6F486AD0">
                  <w:pPr>
                    <w:adjustRightInd w:val="0"/>
                    <w:snapToGrid w:val="0"/>
                    <w:jc w:val="center"/>
                    <w:rPr>
                      <w:color w:val="auto"/>
                      <w:szCs w:val="21"/>
                    </w:rPr>
                  </w:pPr>
                </w:p>
              </w:tc>
              <w:tc>
                <w:tcPr>
                  <w:tcW w:w="1499" w:type="pct"/>
                  <w:gridSpan w:val="2"/>
                  <w:tcBorders>
                    <w:top w:val="single" w:color="auto" w:sz="4" w:space="0"/>
                    <w:left w:val="single" w:color="auto" w:sz="4" w:space="0"/>
                    <w:bottom w:val="single" w:color="auto" w:sz="4" w:space="0"/>
                    <w:right w:val="single" w:color="auto" w:sz="4" w:space="0"/>
                  </w:tcBorders>
                  <w:vAlign w:val="center"/>
                </w:tcPr>
                <w:p w14:paraId="72301568">
                  <w:pPr>
                    <w:adjustRightInd w:val="0"/>
                    <w:snapToGrid w:val="0"/>
                    <w:jc w:val="center"/>
                    <w:rPr>
                      <w:color w:val="auto"/>
                      <w:szCs w:val="21"/>
                    </w:rPr>
                  </w:pPr>
                  <w:r>
                    <w:rPr>
                      <w:color w:val="auto"/>
                      <w:szCs w:val="21"/>
                    </w:rPr>
                    <w:t>一般工业固废</w:t>
                  </w:r>
                </w:p>
              </w:tc>
              <w:tc>
                <w:tcPr>
                  <w:tcW w:w="713" w:type="pct"/>
                  <w:tcBorders>
                    <w:top w:val="single" w:color="auto" w:sz="4" w:space="0"/>
                    <w:left w:val="single" w:color="auto" w:sz="4" w:space="0"/>
                    <w:bottom w:val="single" w:color="auto" w:sz="4" w:space="0"/>
                    <w:right w:val="single" w:color="auto" w:sz="4" w:space="0"/>
                  </w:tcBorders>
                  <w:vAlign w:val="center"/>
                </w:tcPr>
                <w:p w14:paraId="64A8655C">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1049.911</w:t>
                  </w:r>
                </w:p>
              </w:tc>
              <w:tc>
                <w:tcPr>
                  <w:tcW w:w="755" w:type="pct"/>
                  <w:tcBorders>
                    <w:top w:val="single" w:color="auto" w:sz="4" w:space="0"/>
                    <w:left w:val="single" w:color="auto" w:sz="4" w:space="0"/>
                    <w:bottom w:val="single" w:color="auto" w:sz="4" w:space="0"/>
                    <w:right w:val="single" w:color="auto" w:sz="4" w:space="0"/>
                  </w:tcBorders>
                  <w:vAlign w:val="center"/>
                </w:tcPr>
                <w:p w14:paraId="3AE8574E">
                  <w:pPr>
                    <w:autoSpaceDE w:val="0"/>
                    <w:autoSpaceDN w:val="0"/>
                    <w:adjustRightInd w:val="0"/>
                    <w:snapToGrid w:val="0"/>
                    <w:jc w:val="center"/>
                    <w:rPr>
                      <w:color w:val="auto"/>
                      <w:szCs w:val="21"/>
                    </w:rPr>
                  </w:pPr>
                  <w:r>
                    <w:rPr>
                      <w:rFonts w:hint="eastAsia"/>
                      <w:color w:val="auto"/>
                      <w:szCs w:val="21"/>
                      <w:lang w:val="en-US" w:eastAsia="zh-CN"/>
                    </w:rPr>
                    <w:t>1049.911</w:t>
                  </w:r>
                </w:p>
              </w:tc>
              <w:tc>
                <w:tcPr>
                  <w:tcW w:w="747" w:type="pct"/>
                  <w:tcBorders>
                    <w:top w:val="single" w:color="auto" w:sz="4" w:space="0"/>
                    <w:left w:val="single" w:color="auto" w:sz="4" w:space="0"/>
                    <w:bottom w:val="single" w:color="auto" w:sz="4" w:space="0"/>
                    <w:right w:val="single" w:color="auto" w:sz="4" w:space="0"/>
                  </w:tcBorders>
                  <w:vAlign w:val="center"/>
                </w:tcPr>
                <w:p w14:paraId="6F37CAF0">
                  <w:pPr>
                    <w:adjustRightInd w:val="0"/>
                    <w:snapToGrid w:val="0"/>
                    <w:jc w:val="center"/>
                    <w:rPr>
                      <w:color w:val="auto"/>
                      <w:szCs w:val="21"/>
                    </w:rPr>
                  </w:pPr>
                  <w:r>
                    <w:rPr>
                      <w:color w:val="auto"/>
                      <w:szCs w:val="21"/>
                    </w:rPr>
                    <w:t>0</w:t>
                  </w:r>
                </w:p>
              </w:tc>
              <w:tc>
                <w:tcPr>
                  <w:tcW w:w="844" w:type="pct"/>
                  <w:tcBorders>
                    <w:top w:val="single" w:color="auto" w:sz="4" w:space="0"/>
                    <w:left w:val="single" w:color="auto" w:sz="4" w:space="0"/>
                    <w:bottom w:val="single" w:color="auto" w:sz="4" w:space="0"/>
                  </w:tcBorders>
                  <w:vAlign w:val="center"/>
                </w:tcPr>
                <w:p w14:paraId="01CA81B8">
                  <w:pPr>
                    <w:adjustRightInd w:val="0"/>
                    <w:snapToGrid w:val="0"/>
                    <w:jc w:val="center"/>
                    <w:rPr>
                      <w:color w:val="auto"/>
                      <w:szCs w:val="21"/>
                    </w:rPr>
                  </w:pPr>
                  <w:r>
                    <w:rPr>
                      <w:color w:val="auto"/>
                      <w:szCs w:val="21"/>
                    </w:rPr>
                    <w:t>0</w:t>
                  </w:r>
                </w:p>
              </w:tc>
            </w:tr>
            <w:tr w14:paraId="618E5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40" w:type="pct"/>
                  <w:vMerge w:val="continue"/>
                  <w:tcBorders>
                    <w:top w:val="single" w:color="auto" w:sz="4" w:space="0"/>
                    <w:bottom w:val="single" w:color="auto" w:sz="12" w:space="0"/>
                    <w:right w:val="single" w:color="auto" w:sz="4" w:space="0"/>
                  </w:tcBorders>
                  <w:vAlign w:val="center"/>
                </w:tcPr>
                <w:p w14:paraId="20A6ED6F">
                  <w:pPr>
                    <w:adjustRightInd w:val="0"/>
                    <w:snapToGrid w:val="0"/>
                    <w:jc w:val="center"/>
                    <w:rPr>
                      <w:color w:val="auto"/>
                      <w:szCs w:val="21"/>
                    </w:rPr>
                  </w:pPr>
                </w:p>
              </w:tc>
              <w:tc>
                <w:tcPr>
                  <w:tcW w:w="1499" w:type="pct"/>
                  <w:gridSpan w:val="2"/>
                  <w:tcBorders>
                    <w:top w:val="single" w:color="auto" w:sz="4" w:space="0"/>
                    <w:left w:val="single" w:color="auto" w:sz="4" w:space="0"/>
                    <w:bottom w:val="single" w:color="auto" w:sz="12" w:space="0"/>
                    <w:right w:val="single" w:color="auto" w:sz="4" w:space="0"/>
                  </w:tcBorders>
                  <w:vAlign w:val="center"/>
                </w:tcPr>
                <w:p w14:paraId="4BB64EF1">
                  <w:pPr>
                    <w:adjustRightInd w:val="0"/>
                    <w:snapToGrid w:val="0"/>
                    <w:jc w:val="center"/>
                    <w:rPr>
                      <w:color w:val="auto"/>
                      <w:szCs w:val="21"/>
                    </w:rPr>
                  </w:pPr>
                  <w:r>
                    <w:rPr>
                      <w:color w:val="auto"/>
                      <w:szCs w:val="21"/>
                    </w:rPr>
                    <w:t>生活垃圾</w:t>
                  </w:r>
                </w:p>
              </w:tc>
              <w:tc>
                <w:tcPr>
                  <w:tcW w:w="713" w:type="pct"/>
                  <w:tcBorders>
                    <w:top w:val="single" w:color="auto" w:sz="4" w:space="0"/>
                    <w:left w:val="single" w:color="auto" w:sz="4" w:space="0"/>
                    <w:bottom w:val="single" w:color="auto" w:sz="12" w:space="0"/>
                    <w:right w:val="single" w:color="auto" w:sz="4" w:space="0"/>
                  </w:tcBorders>
                  <w:vAlign w:val="center"/>
                </w:tcPr>
                <w:p w14:paraId="6725D0A4">
                  <w:pPr>
                    <w:autoSpaceDE w:val="0"/>
                    <w:autoSpaceDN w:val="0"/>
                    <w:adjustRightInd w:val="0"/>
                    <w:snapToGrid w:val="0"/>
                    <w:jc w:val="center"/>
                    <w:rPr>
                      <w:color w:val="auto"/>
                      <w:szCs w:val="21"/>
                    </w:rPr>
                  </w:pPr>
                  <w:r>
                    <w:rPr>
                      <w:rFonts w:hint="eastAsia"/>
                      <w:color w:val="auto"/>
                      <w:szCs w:val="21"/>
                    </w:rPr>
                    <w:t>4.41</w:t>
                  </w:r>
                </w:p>
              </w:tc>
              <w:tc>
                <w:tcPr>
                  <w:tcW w:w="755" w:type="pct"/>
                  <w:tcBorders>
                    <w:top w:val="single" w:color="auto" w:sz="4" w:space="0"/>
                    <w:left w:val="single" w:color="auto" w:sz="4" w:space="0"/>
                    <w:bottom w:val="single" w:color="auto" w:sz="12" w:space="0"/>
                    <w:right w:val="single" w:color="auto" w:sz="4" w:space="0"/>
                  </w:tcBorders>
                  <w:vAlign w:val="center"/>
                </w:tcPr>
                <w:p w14:paraId="49187273">
                  <w:pPr>
                    <w:autoSpaceDE w:val="0"/>
                    <w:autoSpaceDN w:val="0"/>
                    <w:adjustRightInd w:val="0"/>
                    <w:snapToGrid w:val="0"/>
                    <w:jc w:val="center"/>
                    <w:rPr>
                      <w:color w:val="auto"/>
                      <w:szCs w:val="21"/>
                    </w:rPr>
                  </w:pPr>
                  <w:r>
                    <w:rPr>
                      <w:rFonts w:hint="eastAsia"/>
                      <w:color w:val="auto"/>
                      <w:szCs w:val="21"/>
                    </w:rPr>
                    <w:t>4.41</w:t>
                  </w:r>
                </w:p>
              </w:tc>
              <w:tc>
                <w:tcPr>
                  <w:tcW w:w="747" w:type="pct"/>
                  <w:tcBorders>
                    <w:top w:val="single" w:color="auto" w:sz="4" w:space="0"/>
                    <w:left w:val="single" w:color="auto" w:sz="4" w:space="0"/>
                    <w:bottom w:val="single" w:color="auto" w:sz="12" w:space="0"/>
                    <w:right w:val="single" w:color="auto" w:sz="4" w:space="0"/>
                  </w:tcBorders>
                  <w:vAlign w:val="center"/>
                </w:tcPr>
                <w:p w14:paraId="214D8F5A">
                  <w:pPr>
                    <w:adjustRightInd w:val="0"/>
                    <w:snapToGrid w:val="0"/>
                    <w:jc w:val="center"/>
                    <w:rPr>
                      <w:color w:val="auto"/>
                      <w:szCs w:val="21"/>
                    </w:rPr>
                  </w:pPr>
                  <w:r>
                    <w:rPr>
                      <w:color w:val="auto"/>
                      <w:szCs w:val="21"/>
                    </w:rPr>
                    <w:t>0</w:t>
                  </w:r>
                </w:p>
              </w:tc>
              <w:tc>
                <w:tcPr>
                  <w:tcW w:w="844" w:type="pct"/>
                  <w:tcBorders>
                    <w:top w:val="single" w:color="auto" w:sz="4" w:space="0"/>
                    <w:left w:val="single" w:color="auto" w:sz="4" w:space="0"/>
                    <w:bottom w:val="single" w:color="auto" w:sz="12" w:space="0"/>
                  </w:tcBorders>
                  <w:vAlign w:val="center"/>
                </w:tcPr>
                <w:p w14:paraId="15317A38">
                  <w:pPr>
                    <w:adjustRightInd w:val="0"/>
                    <w:snapToGrid w:val="0"/>
                    <w:jc w:val="center"/>
                    <w:rPr>
                      <w:color w:val="auto"/>
                      <w:szCs w:val="21"/>
                    </w:rPr>
                  </w:pPr>
                  <w:r>
                    <w:rPr>
                      <w:color w:val="auto"/>
                      <w:szCs w:val="21"/>
                    </w:rPr>
                    <w:t>0</w:t>
                  </w:r>
                </w:p>
              </w:tc>
            </w:tr>
          </w:tbl>
          <w:p w14:paraId="11995798">
            <w:pPr>
              <w:widowControl/>
              <w:adjustRightInd w:val="0"/>
              <w:snapToGrid w:val="0"/>
              <w:spacing w:line="360" w:lineRule="auto"/>
              <w:ind w:firstLine="422" w:firstLineChars="200"/>
              <w:rPr>
                <w:b/>
                <w:bCs/>
                <w:color w:val="auto"/>
                <w:sz w:val="24"/>
              </w:rPr>
            </w:pPr>
            <w:r>
              <w:rPr>
                <w:rFonts w:hint="eastAsia" w:ascii="宋体" w:hAnsi="宋体" w:cs="宋体"/>
                <w:b/>
                <w:bCs/>
                <w:color w:val="auto"/>
                <w:szCs w:val="21"/>
                <w:vertAlign w:val="superscript"/>
              </w:rPr>
              <w:t>*</w:t>
            </w:r>
            <w:r>
              <w:rPr>
                <w:rFonts w:hint="eastAsia" w:ascii="宋体" w:hAnsi="宋体" w:cs="宋体"/>
                <w:b/>
                <w:bCs/>
                <w:color w:val="auto"/>
                <w:szCs w:val="21"/>
              </w:rPr>
              <w:t>注：非甲烷总烃包含甲醛的量</w:t>
            </w:r>
          </w:p>
          <w:p w14:paraId="3A82CB72">
            <w:pPr>
              <w:widowControl/>
              <w:adjustRightInd w:val="0"/>
              <w:snapToGrid w:val="0"/>
              <w:spacing w:line="360" w:lineRule="auto"/>
              <w:ind w:firstLine="480" w:firstLineChars="200"/>
              <w:rPr>
                <w:color w:val="auto"/>
                <w:sz w:val="24"/>
              </w:rPr>
            </w:pPr>
            <w:r>
              <w:rPr>
                <w:color w:val="auto"/>
                <w:sz w:val="24"/>
              </w:rPr>
              <w:t>根据《江苏省排污权有偿使用和交易管理暂行办法》和《江苏省排污权有偿使用和交易实施细则（试行）》，“按照《固定污染源排污许可分类管理名录》，在排污许可证中载明许可排放量的排污单位，应在申领排污许可证时取得排污权。”查询《固定污染源排污许可分类管理名录》（2019年版），</w:t>
            </w:r>
            <w:r>
              <w:rPr>
                <w:rFonts w:hint="eastAsia"/>
                <w:color w:val="auto"/>
                <w:sz w:val="24"/>
              </w:rPr>
              <w:t>建设</w:t>
            </w:r>
            <w:r>
              <w:rPr>
                <w:color w:val="auto"/>
                <w:sz w:val="24"/>
              </w:rPr>
              <w:t>项目属于</w:t>
            </w:r>
            <w:r>
              <w:rPr>
                <w:rFonts w:hint="eastAsia"/>
                <w:color w:val="auto"/>
                <w:sz w:val="24"/>
              </w:rPr>
              <w:t>十五、木材加工和木、竹、藤、棕、草制品业20：33人造板制造202</w:t>
            </w:r>
            <w:r>
              <w:rPr>
                <w:color w:val="auto"/>
                <w:sz w:val="24"/>
              </w:rPr>
              <w:t>，分类管理类别判定如下：</w:t>
            </w:r>
          </w:p>
          <w:p w14:paraId="64DD59E2">
            <w:pPr>
              <w:widowControl/>
              <w:adjustRightInd w:val="0"/>
              <w:snapToGrid w:val="0"/>
              <w:jc w:val="center"/>
              <w:rPr>
                <w:rFonts w:eastAsiaTheme="minorEastAsia"/>
                <w:b/>
                <w:bCs/>
                <w:color w:val="auto"/>
                <w:kern w:val="0"/>
                <w:sz w:val="24"/>
              </w:rPr>
            </w:pPr>
            <w:r>
              <w:rPr>
                <w:rFonts w:eastAsiaTheme="minorEastAsia"/>
                <w:b/>
                <w:bCs/>
                <w:color w:val="auto"/>
                <w:kern w:val="0"/>
                <w:sz w:val="24"/>
              </w:rPr>
              <w:t xml:space="preserve">表3.4-3  </w:t>
            </w:r>
            <w:r>
              <w:rPr>
                <w:rFonts w:hint="eastAsia" w:eastAsiaTheme="minorEastAsia"/>
                <w:b/>
                <w:bCs/>
                <w:color w:val="auto"/>
                <w:kern w:val="0"/>
                <w:sz w:val="24"/>
              </w:rPr>
              <w:t>建设</w:t>
            </w:r>
            <w:r>
              <w:rPr>
                <w:rFonts w:eastAsiaTheme="minorEastAsia"/>
                <w:b/>
                <w:bCs/>
                <w:color w:val="auto"/>
                <w:kern w:val="0"/>
                <w:sz w:val="24"/>
              </w:rPr>
              <w:t>项目固定污染源排污许可分类管理类别判定表</w:t>
            </w:r>
          </w:p>
          <w:tbl>
            <w:tblPr>
              <w:tblStyle w:val="4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3"/>
              <w:gridCol w:w="1224"/>
              <w:gridCol w:w="1572"/>
              <w:gridCol w:w="2163"/>
              <w:gridCol w:w="1371"/>
              <w:gridCol w:w="1387"/>
            </w:tblGrid>
            <w:tr w14:paraId="09D17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62" w:type="pct"/>
                  <w:vAlign w:val="center"/>
                </w:tcPr>
                <w:p w14:paraId="5AE7A679">
                  <w:pPr>
                    <w:widowControl/>
                    <w:adjustRightInd w:val="0"/>
                    <w:snapToGrid w:val="0"/>
                    <w:jc w:val="center"/>
                    <w:rPr>
                      <w:rFonts w:eastAsiaTheme="minorEastAsia"/>
                      <w:b/>
                      <w:bCs/>
                      <w:color w:val="auto"/>
                      <w:kern w:val="0"/>
                      <w:szCs w:val="21"/>
                    </w:rPr>
                  </w:pPr>
                  <w:r>
                    <w:rPr>
                      <w:rFonts w:hint="eastAsia" w:eastAsiaTheme="minorEastAsia"/>
                      <w:b/>
                      <w:bCs/>
                      <w:color w:val="auto"/>
                      <w:kern w:val="0"/>
                      <w:szCs w:val="21"/>
                    </w:rPr>
                    <w:t>产品</w:t>
                  </w:r>
                </w:p>
              </w:tc>
              <w:tc>
                <w:tcPr>
                  <w:tcW w:w="735" w:type="pct"/>
                  <w:vAlign w:val="center"/>
                </w:tcPr>
                <w:p w14:paraId="41C9D528">
                  <w:pPr>
                    <w:widowControl/>
                    <w:adjustRightInd w:val="0"/>
                    <w:snapToGrid w:val="0"/>
                    <w:jc w:val="center"/>
                    <w:rPr>
                      <w:rFonts w:eastAsiaTheme="minorEastAsia"/>
                      <w:b/>
                      <w:bCs/>
                      <w:color w:val="auto"/>
                      <w:kern w:val="0"/>
                      <w:szCs w:val="21"/>
                    </w:rPr>
                  </w:pPr>
                  <w:r>
                    <w:rPr>
                      <w:rFonts w:eastAsiaTheme="minorEastAsia"/>
                      <w:b/>
                      <w:bCs/>
                      <w:color w:val="auto"/>
                      <w:kern w:val="0"/>
                      <w:szCs w:val="21"/>
                    </w:rPr>
                    <w:t>行业类别</w:t>
                  </w:r>
                </w:p>
              </w:tc>
              <w:tc>
                <w:tcPr>
                  <w:tcW w:w="944" w:type="pct"/>
                  <w:vAlign w:val="center"/>
                </w:tcPr>
                <w:p w14:paraId="1F6CE332">
                  <w:pPr>
                    <w:widowControl/>
                    <w:adjustRightInd w:val="0"/>
                    <w:snapToGrid w:val="0"/>
                    <w:jc w:val="center"/>
                    <w:rPr>
                      <w:rFonts w:eastAsiaTheme="minorEastAsia"/>
                      <w:b/>
                      <w:bCs/>
                      <w:color w:val="auto"/>
                      <w:kern w:val="0"/>
                      <w:szCs w:val="21"/>
                    </w:rPr>
                  </w:pPr>
                  <w:r>
                    <w:rPr>
                      <w:rFonts w:eastAsiaTheme="minorEastAsia"/>
                      <w:b/>
                      <w:bCs/>
                      <w:color w:val="auto"/>
                      <w:szCs w:val="21"/>
                    </w:rPr>
                    <w:t>重点管理</w:t>
                  </w:r>
                </w:p>
              </w:tc>
              <w:tc>
                <w:tcPr>
                  <w:tcW w:w="1299" w:type="pct"/>
                  <w:vAlign w:val="center"/>
                </w:tcPr>
                <w:p w14:paraId="03B8091E">
                  <w:pPr>
                    <w:widowControl/>
                    <w:adjustRightInd w:val="0"/>
                    <w:snapToGrid w:val="0"/>
                    <w:jc w:val="center"/>
                    <w:rPr>
                      <w:rFonts w:eastAsiaTheme="minorEastAsia"/>
                      <w:b/>
                      <w:bCs/>
                      <w:color w:val="auto"/>
                      <w:kern w:val="0"/>
                      <w:szCs w:val="21"/>
                    </w:rPr>
                  </w:pPr>
                  <w:r>
                    <w:rPr>
                      <w:rFonts w:eastAsiaTheme="minorEastAsia"/>
                      <w:b/>
                      <w:bCs/>
                      <w:color w:val="auto"/>
                      <w:szCs w:val="21"/>
                    </w:rPr>
                    <w:t>简化管理</w:t>
                  </w:r>
                </w:p>
              </w:tc>
              <w:tc>
                <w:tcPr>
                  <w:tcW w:w="823" w:type="pct"/>
                  <w:vAlign w:val="center"/>
                </w:tcPr>
                <w:p w14:paraId="00C7B35F">
                  <w:pPr>
                    <w:widowControl/>
                    <w:adjustRightInd w:val="0"/>
                    <w:snapToGrid w:val="0"/>
                    <w:jc w:val="center"/>
                    <w:rPr>
                      <w:rFonts w:eastAsiaTheme="minorEastAsia"/>
                      <w:b/>
                      <w:bCs/>
                      <w:color w:val="auto"/>
                      <w:kern w:val="0"/>
                      <w:szCs w:val="21"/>
                    </w:rPr>
                  </w:pPr>
                  <w:r>
                    <w:rPr>
                      <w:rFonts w:eastAsiaTheme="minorEastAsia"/>
                      <w:b/>
                      <w:bCs/>
                      <w:color w:val="auto"/>
                      <w:szCs w:val="21"/>
                    </w:rPr>
                    <w:t>登记管理</w:t>
                  </w:r>
                </w:p>
              </w:tc>
              <w:tc>
                <w:tcPr>
                  <w:tcW w:w="833" w:type="pct"/>
                  <w:vAlign w:val="center"/>
                </w:tcPr>
                <w:p w14:paraId="69D4E40A">
                  <w:pPr>
                    <w:widowControl/>
                    <w:adjustRightInd w:val="0"/>
                    <w:snapToGrid w:val="0"/>
                    <w:jc w:val="center"/>
                    <w:rPr>
                      <w:rFonts w:eastAsiaTheme="minorEastAsia"/>
                      <w:b/>
                      <w:bCs/>
                      <w:color w:val="auto"/>
                      <w:kern w:val="0"/>
                      <w:szCs w:val="21"/>
                    </w:rPr>
                  </w:pPr>
                  <w:r>
                    <w:rPr>
                      <w:rFonts w:eastAsiaTheme="minorEastAsia"/>
                      <w:b/>
                      <w:bCs/>
                      <w:color w:val="auto"/>
                      <w:kern w:val="0"/>
                      <w:szCs w:val="21"/>
                    </w:rPr>
                    <w:t>判定情况</w:t>
                  </w:r>
                </w:p>
              </w:tc>
            </w:tr>
            <w:tr w14:paraId="7D56C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62" w:type="pct"/>
                  <w:vAlign w:val="center"/>
                </w:tcPr>
                <w:p w14:paraId="74BD57A8">
                  <w:pPr>
                    <w:widowControl/>
                    <w:adjustRightInd w:val="0"/>
                    <w:snapToGrid w:val="0"/>
                    <w:jc w:val="center"/>
                    <w:rPr>
                      <w:rFonts w:eastAsiaTheme="minorEastAsia"/>
                      <w:color w:val="auto"/>
                      <w:kern w:val="0"/>
                      <w:szCs w:val="21"/>
                    </w:rPr>
                  </w:pPr>
                  <w:r>
                    <w:rPr>
                      <w:rFonts w:hint="eastAsia" w:eastAsiaTheme="minorEastAsia"/>
                      <w:color w:val="auto"/>
                      <w:kern w:val="0"/>
                      <w:szCs w:val="21"/>
                    </w:rPr>
                    <w:t>胶合板生产线</w:t>
                  </w:r>
                </w:p>
              </w:tc>
              <w:tc>
                <w:tcPr>
                  <w:tcW w:w="735" w:type="pct"/>
                  <w:vAlign w:val="center"/>
                </w:tcPr>
                <w:p w14:paraId="2ED0B244">
                  <w:pPr>
                    <w:widowControl/>
                    <w:adjustRightInd w:val="0"/>
                    <w:snapToGrid w:val="0"/>
                    <w:jc w:val="center"/>
                    <w:rPr>
                      <w:rFonts w:eastAsiaTheme="minorEastAsia"/>
                      <w:color w:val="auto"/>
                      <w:kern w:val="0"/>
                      <w:szCs w:val="21"/>
                    </w:rPr>
                  </w:pPr>
                  <w:r>
                    <w:rPr>
                      <w:rFonts w:hint="eastAsia" w:eastAsiaTheme="minorEastAsia"/>
                      <w:color w:val="auto"/>
                      <w:kern w:val="0"/>
                      <w:szCs w:val="21"/>
                    </w:rPr>
                    <w:t>十五、木材加工和木、竹、藤、棕、草制品业20：33</w:t>
                  </w:r>
                </w:p>
                <w:p w14:paraId="1467F29B">
                  <w:pPr>
                    <w:widowControl/>
                    <w:adjustRightInd w:val="0"/>
                    <w:snapToGrid w:val="0"/>
                    <w:jc w:val="center"/>
                    <w:rPr>
                      <w:rFonts w:eastAsiaTheme="minorEastAsia"/>
                      <w:color w:val="auto"/>
                      <w:kern w:val="0"/>
                      <w:szCs w:val="21"/>
                    </w:rPr>
                  </w:pPr>
                  <w:r>
                    <w:rPr>
                      <w:rFonts w:hint="eastAsia" w:eastAsiaTheme="minorEastAsia"/>
                      <w:color w:val="auto"/>
                      <w:kern w:val="0"/>
                      <w:szCs w:val="21"/>
                    </w:rPr>
                    <w:t>人造板制造202</w:t>
                  </w:r>
                </w:p>
              </w:tc>
              <w:tc>
                <w:tcPr>
                  <w:tcW w:w="944" w:type="pct"/>
                  <w:vAlign w:val="center"/>
                </w:tcPr>
                <w:p w14:paraId="5F0F305A">
                  <w:pPr>
                    <w:widowControl/>
                    <w:adjustRightInd w:val="0"/>
                    <w:snapToGrid w:val="0"/>
                    <w:jc w:val="center"/>
                    <w:rPr>
                      <w:rFonts w:eastAsiaTheme="minorEastAsia"/>
                      <w:color w:val="auto"/>
                      <w:kern w:val="0"/>
                      <w:szCs w:val="21"/>
                    </w:rPr>
                  </w:pPr>
                  <w:r>
                    <w:rPr>
                      <w:rFonts w:hint="eastAsia" w:eastAsiaTheme="minorEastAsia"/>
                      <w:color w:val="auto"/>
                      <w:kern w:val="0"/>
                      <w:szCs w:val="21"/>
                    </w:rPr>
                    <w:t>纳入重点排污单位名录的</w:t>
                  </w:r>
                </w:p>
              </w:tc>
              <w:tc>
                <w:tcPr>
                  <w:tcW w:w="1299" w:type="pct"/>
                  <w:vAlign w:val="center"/>
                </w:tcPr>
                <w:p w14:paraId="50B61AC6">
                  <w:pPr>
                    <w:widowControl/>
                    <w:adjustRightInd w:val="0"/>
                    <w:snapToGrid w:val="0"/>
                    <w:jc w:val="center"/>
                    <w:rPr>
                      <w:rFonts w:eastAsiaTheme="minorEastAsia"/>
                      <w:color w:val="auto"/>
                      <w:kern w:val="0"/>
                      <w:szCs w:val="21"/>
                    </w:rPr>
                  </w:pPr>
                  <w:r>
                    <w:rPr>
                      <w:rFonts w:hint="eastAsia" w:eastAsiaTheme="minorEastAsia"/>
                      <w:color w:val="auto"/>
                      <w:kern w:val="0"/>
                      <w:szCs w:val="21"/>
                    </w:rPr>
                    <w:t>除重点管理以外的胶合板制造 2021（年产10万立方米及以上的）、纤维板制造2022、刨花板制造2023、其他人造板制造 2029（年产10万立方米及以上的）</w:t>
                  </w:r>
                </w:p>
              </w:tc>
              <w:tc>
                <w:tcPr>
                  <w:tcW w:w="823" w:type="pct"/>
                  <w:vAlign w:val="center"/>
                </w:tcPr>
                <w:p w14:paraId="3C83B731">
                  <w:pPr>
                    <w:widowControl/>
                    <w:adjustRightInd w:val="0"/>
                    <w:snapToGrid w:val="0"/>
                    <w:jc w:val="center"/>
                    <w:rPr>
                      <w:rFonts w:eastAsiaTheme="minorEastAsia"/>
                      <w:color w:val="auto"/>
                      <w:kern w:val="0"/>
                      <w:szCs w:val="21"/>
                    </w:rPr>
                  </w:pPr>
                  <w:r>
                    <w:rPr>
                      <w:rFonts w:hint="eastAsia" w:eastAsiaTheme="minorEastAsia"/>
                      <w:color w:val="auto"/>
                      <w:kern w:val="0"/>
                      <w:szCs w:val="21"/>
                    </w:rPr>
                    <w:t>其他</w:t>
                  </w:r>
                </w:p>
              </w:tc>
              <w:tc>
                <w:tcPr>
                  <w:tcW w:w="833" w:type="pct"/>
                  <w:vAlign w:val="center"/>
                </w:tcPr>
                <w:p w14:paraId="052F9B6B">
                  <w:pPr>
                    <w:widowControl/>
                    <w:adjustRightInd w:val="0"/>
                    <w:snapToGrid w:val="0"/>
                    <w:jc w:val="center"/>
                    <w:rPr>
                      <w:rFonts w:eastAsiaTheme="minorEastAsia"/>
                      <w:color w:val="auto"/>
                      <w:kern w:val="0"/>
                      <w:szCs w:val="21"/>
                    </w:rPr>
                  </w:pPr>
                  <w:r>
                    <w:rPr>
                      <w:rFonts w:hint="eastAsia" w:eastAsiaTheme="minorEastAsia"/>
                      <w:color w:val="auto"/>
                      <w:kern w:val="0"/>
                      <w:szCs w:val="21"/>
                    </w:rPr>
                    <w:t>建设项目为年产</w:t>
                  </w:r>
                  <w:r>
                    <w:rPr>
                      <w:rFonts w:hint="eastAsia" w:eastAsiaTheme="minorEastAsia"/>
                      <w:color w:val="auto"/>
                      <w:kern w:val="0"/>
                      <w:szCs w:val="21"/>
                      <w:lang w:val="en-US" w:eastAsia="zh-CN"/>
                    </w:rPr>
                    <w:t>11000</w:t>
                  </w:r>
                  <w:r>
                    <w:rPr>
                      <w:rFonts w:hint="eastAsia" w:eastAsiaTheme="minorEastAsia"/>
                      <w:color w:val="auto"/>
                      <w:kern w:val="0"/>
                      <w:szCs w:val="21"/>
                    </w:rPr>
                    <w:t>立方米胶合板项目，属于登记管理类别。</w:t>
                  </w:r>
                </w:p>
              </w:tc>
            </w:tr>
          </w:tbl>
          <w:p w14:paraId="153EE6AC">
            <w:pPr>
              <w:adjustRightInd w:val="0"/>
              <w:snapToGrid w:val="0"/>
              <w:spacing w:line="360" w:lineRule="auto"/>
              <w:ind w:firstLine="480" w:firstLineChars="200"/>
              <w:rPr>
                <w:bCs/>
                <w:color w:val="auto"/>
                <w:sz w:val="24"/>
              </w:rPr>
            </w:pPr>
            <w:r>
              <w:rPr>
                <w:rFonts w:eastAsiaTheme="minorEastAsia"/>
                <w:color w:val="auto"/>
                <w:kern w:val="0"/>
                <w:sz w:val="24"/>
              </w:rPr>
              <w:t>综上，企业排污许可分类管理类别为</w:t>
            </w:r>
            <w:r>
              <w:rPr>
                <w:rFonts w:hint="eastAsia" w:eastAsiaTheme="minorEastAsia"/>
                <w:color w:val="auto"/>
                <w:kern w:val="0"/>
                <w:sz w:val="24"/>
              </w:rPr>
              <w:t>登记</w:t>
            </w:r>
            <w:r>
              <w:rPr>
                <w:rFonts w:eastAsiaTheme="minorEastAsia"/>
                <w:color w:val="auto"/>
                <w:kern w:val="0"/>
                <w:sz w:val="24"/>
              </w:rPr>
              <w:t>管理类别。</w:t>
            </w:r>
          </w:p>
          <w:p w14:paraId="78678B56">
            <w:pPr>
              <w:adjustRightInd w:val="0"/>
              <w:snapToGrid w:val="0"/>
              <w:spacing w:line="360" w:lineRule="auto"/>
              <w:ind w:firstLine="480" w:firstLineChars="200"/>
              <w:rPr>
                <w:bCs/>
                <w:color w:val="auto"/>
                <w:sz w:val="24"/>
              </w:rPr>
            </w:pPr>
            <w:r>
              <w:rPr>
                <w:bCs/>
                <w:color w:val="auto"/>
                <w:sz w:val="24"/>
              </w:rPr>
              <w:t>1.废气</w:t>
            </w:r>
          </w:p>
          <w:p w14:paraId="54FC52CD">
            <w:pPr>
              <w:adjustRightInd w:val="0"/>
              <w:snapToGrid w:val="0"/>
              <w:spacing w:line="360" w:lineRule="auto"/>
              <w:ind w:firstLine="480" w:firstLineChars="200"/>
              <w:rPr>
                <w:bCs/>
                <w:color w:val="auto"/>
                <w:sz w:val="24"/>
              </w:rPr>
            </w:pPr>
            <w:r>
              <w:rPr>
                <w:bCs/>
                <w:color w:val="auto"/>
                <w:sz w:val="24"/>
              </w:rPr>
              <w:t>本项目建成后新增</w:t>
            </w:r>
            <w:r>
              <w:rPr>
                <w:color w:val="auto"/>
                <w:sz w:val="24"/>
              </w:rPr>
              <w:t>颗粒物</w:t>
            </w:r>
            <w:r>
              <w:rPr>
                <w:bCs/>
                <w:color w:val="auto"/>
                <w:sz w:val="24"/>
              </w:rPr>
              <w:t>排放量</w:t>
            </w:r>
            <w:r>
              <w:rPr>
                <w:color w:val="auto"/>
                <w:sz w:val="24"/>
              </w:rPr>
              <w:t>为</w:t>
            </w:r>
            <w:r>
              <w:rPr>
                <w:rFonts w:hint="eastAsia"/>
                <w:color w:val="auto"/>
                <w:sz w:val="24"/>
              </w:rPr>
              <w:t>1.0</w:t>
            </w:r>
            <w:r>
              <w:rPr>
                <w:rFonts w:hint="eastAsia"/>
                <w:color w:val="auto"/>
                <w:sz w:val="24"/>
                <w:lang w:val="en-US" w:eastAsia="zh-CN"/>
              </w:rPr>
              <w:t>083</w:t>
            </w:r>
            <w:r>
              <w:rPr>
                <w:color w:val="auto"/>
                <w:sz w:val="24"/>
              </w:rPr>
              <w:t>t/a</w:t>
            </w:r>
            <w:r>
              <w:rPr>
                <w:rFonts w:hint="eastAsia"/>
                <w:color w:val="auto"/>
                <w:sz w:val="24"/>
              </w:rPr>
              <w:t>（有组织0.36</w:t>
            </w:r>
            <w:r>
              <w:rPr>
                <w:rFonts w:hint="eastAsia"/>
                <w:color w:val="auto"/>
                <w:sz w:val="24"/>
                <w:lang w:val="en-US" w:eastAsia="zh-CN"/>
              </w:rPr>
              <w:t>2</w:t>
            </w:r>
            <w:r>
              <w:rPr>
                <w:rFonts w:hint="eastAsia"/>
                <w:color w:val="auto"/>
                <w:sz w:val="24"/>
              </w:rPr>
              <w:t>8</w:t>
            </w:r>
            <w:r>
              <w:rPr>
                <w:color w:val="auto"/>
                <w:sz w:val="24"/>
              </w:rPr>
              <w:t>t/a</w:t>
            </w:r>
            <w:r>
              <w:rPr>
                <w:rFonts w:hint="eastAsia"/>
                <w:color w:val="auto"/>
                <w:sz w:val="24"/>
              </w:rPr>
              <w:t>，无组织0.6</w:t>
            </w:r>
            <w:r>
              <w:rPr>
                <w:rFonts w:hint="eastAsia"/>
                <w:color w:val="auto"/>
                <w:sz w:val="24"/>
                <w:lang w:val="en-US" w:eastAsia="zh-CN"/>
              </w:rPr>
              <w:t>455</w:t>
            </w:r>
            <w:r>
              <w:rPr>
                <w:color w:val="auto"/>
                <w:sz w:val="24"/>
              </w:rPr>
              <w:t>t/a</w:t>
            </w:r>
            <w:r>
              <w:rPr>
                <w:rFonts w:hint="eastAsia"/>
                <w:color w:val="auto"/>
                <w:sz w:val="24"/>
              </w:rPr>
              <w:t>）</w:t>
            </w:r>
            <w:r>
              <w:rPr>
                <w:color w:val="auto"/>
                <w:sz w:val="24"/>
              </w:rPr>
              <w:t>、</w:t>
            </w:r>
            <w:r>
              <w:rPr>
                <w:rFonts w:hint="eastAsia"/>
                <w:color w:val="auto"/>
                <w:sz w:val="24"/>
              </w:rPr>
              <w:t>非甲烷总烃排放量为0.039</w:t>
            </w:r>
            <w:r>
              <w:rPr>
                <w:rFonts w:hint="eastAsia"/>
                <w:color w:val="auto"/>
                <w:sz w:val="24"/>
                <w:lang w:val="en-US" w:eastAsia="zh-CN"/>
              </w:rPr>
              <w:t>2</w:t>
            </w:r>
            <w:r>
              <w:rPr>
                <w:rFonts w:hint="eastAsia"/>
                <w:color w:val="auto"/>
                <w:sz w:val="24"/>
              </w:rPr>
              <w:t>t/a，其中有组织排放量0.018</w:t>
            </w:r>
            <w:r>
              <w:rPr>
                <w:rFonts w:hint="eastAsia"/>
                <w:color w:val="auto"/>
                <w:sz w:val="24"/>
                <w:lang w:val="en-US" w:eastAsia="zh-CN"/>
              </w:rPr>
              <w:t>6</w:t>
            </w:r>
            <w:r>
              <w:rPr>
                <w:rFonts w:hint="eastAsia"/>
                <w:color w:val="auto"/>
                <w:sz w:val="24"/>
              </w:rPr>
              <w:t>t/a，无组织排放量0.020</w:t>
            </w:r>
            <w:r>
              <w:rPr>
                <w:rFonts w:hint="eastAsia"/>
                <w:color w:val="auto"/>
                <w:sz w:val="24"/>
                <w:lang w:val="en-US" w:eastAsia="zh-CN"/>
              </w:rPr>
              <w:t>6</w:t>
            </w:r>
            <w:r>
              <w:rPr>
                <w:rFonts w:hint="eastAsia"/>
                <w:color w:val="auto"/>
                <w:sz w:val="24"/>
              </w:rPr>
              <w:t>t/a</w:t>
            </w:r>
            <w:r>
              <w:rPr>
                <w:rFonts w:hint="eastAsia"/>
                <w:color w:val="auto"/>
                <w:sz w:val="24"/>
                <w:lang w:eastAsia="zh-CN"/>
              </w:rPr>
              <w:t>、甲醛排放量为</w:t>
            </w:r>
            <w:r>
              <w:rPr>
                <w:rFonts w:hint="eastAsia"/>
                <w:color w:val="auto"/>
                <w:sz w:val="24"/>
                <w:lang w:val="en-US" w:eastAsia="zh-CN"/>
              </w:rPr>
              <w:t>0.0247t/a，</w:t>
            </w:r>
            <w:r>
              <w:rPr>
                <w:rFonts w:hint="eastAsia"/>
                <w:color w:val="auto"/>
                <w:sz w:val="24"/>
              </w:rPr>
              <w:t>其中有组织排放</w:t>
            </w:r>
            <w:r>
              <w:rPr>
                <w:rFonts w:hint="eastAsia"/>
                <w:color w:val="auto"/>
                <w:sz w:val="24"/>
                <w:lang w:val="en-US" w:eastAsia="zh-CN"/>
              </w:rPr>
              <w:t>0.0117</w:t>
            </w:r>
            <w:r>
              <w:rPr>
                <w:rFonts w:hint="eastAsia"/>
                <w:color w:val="auto"/>
                <w:sz w:val="24"/>
              </w:rPr>
              <w:t>t/a，无组织排放量0.</w:t>
            </w:r>
            <w:r>
              <w:rPr>
                <w:rFonts w:hint="eastAsia"/>
                <w:color w:val="auto"/>
                <w:sz w:val="24"/>
                <w:lang w:val="en-US" w:eastAsia="zh-CN"/>
              </w:rPr>
              <w:t>013</w:t>
            </w:r>
            <w:r>
              <w:rPr>
                <w:rFonts w:hint="eastAsia"/>
                <w:color w:val="auto"/>
                <w:sz w:val="24"/>
              </w:rPr>
              <w:t>t/a</w:t>
            </w:r>
            <w:r>
              <w:rPr>
                <w:rFonts w:hint="eastAsia"/>
                <w:color w:val="auto"/>
                <w:sz w:val="24"/>
                <w:lang w:eastAsia="zh-CN"/>
              </w:rPr>
              <w:t>、氨排放量为</w:t>
            </w:r>
            <w:r>
              <w:rPr>
                <w:rFonts w:hint="eastAsia"/>
                <w:color w:val="auto"/>
                <w:sz w:val="24"/>
                <w:lang w:val="en-US" w:eastAsia="zh-CN"/>
              </w:rPr>
              <w:t>0.0226t/a（</w:t>
            </w:r>
            <w:r>
              <w:rPr>
                <w:rFonts w:hint="eastAsia"/>
                <w:color w:val="auto"/>
                <w:sz w:val="24"/>
              </w:rPr>
              <w:t>有组织</w:t>
            </w:r>
            <w:r>
              <w:rPr>
                <w:rFonts w:hint="eastAsia"/>
                <w:color w:val="auto"/>
                <w:sz w:val="24"/>
                <w:lang w:val="en-US" w:eastAsia="zh-CN"/>
              </w:rPr>
              <w:t>0.007</w:t>
            </w:r>
            <w:r>
              <w:rPr>
                <w:color w:val="auto"/>
                <w:sz w:val="24"/>
              </w:rPr>
              <w:t>t/a</w:t>
            </w:r>
            <w:r>
              <w:rPr>
                <w:rFonts w:hint="eastAsia"/>
                <w:color w:val="auto"/>
                <w:sz w:val="24"/>
              </w:rPr>
              <w:t>，无组织</w:t>
            </w:r>
            <w:r>
              <w:rPr>
                <w:rFonts w:hint="eastAsia"/>
                <w:color w:val="auto"/>
                <w:sz w:val="24"/>
                <w:lang w:val="en-US" w:eastAsia="zh-CN"/>
              </w:rPr>
              <w:t>0.0156</w:t>
            </w:r>
            <w:r>
              <w:rPr>
                <w:color w:val="auto"/>
                <w:sz w:val="24"/>
              </w:rPr>
              <w:t>t/a</w:t>
            </w:r>
            <w:r>
              <w:rPr>
                <w:rFonts w:hint="eastAsia"/>
                <w:color w:val="auto"/>
                <w:sz w:val="24"/>
                <w:lang w:val="en-US" w:eastAsia="zh-CN"/>
              </w:rPr>
              <w:t>）</w:t>
            </w:r>
            <w:r>
              <w:rPr>
                <w:rFonts w:hint="eastAsia"/>
                <w:color w:val="auto"/>
                <w:sz w:val="24"/>
              </w:rPr>
              <w:t>。</w:t>
            </w:r>
            <w:r>
              <w:rPr>
                <w:rFonts w:hint="eastAsia"/>
                <w:bCs/>
                <w:color w:val="auto"/>
                <w:kern w:val="0"/>
                <w:sz w:val="24"/>
                <w:szCs w:val="20"/>
              </w:rPr>
              <w:t>由淮安市涟水生态环境局从境内企业削减总量中替代平衡。</w:t>
            </w:r>
          </w:p>
          <w:p w14:paraId="7EC60F67">
            <w:pPr>
              <w:adjustRightInd w:val="0"/>
              <w:snapToGrid w:val="0"/>
              <w:spacing w:line="360" w:lineRule="auto"/>
              <w:ind w:firstLine="480" w:firstLineChars="200"/>
              <w:rPr>
                <w:bCs/>
                <w:color w:val="auto"/>
                <w:sz w:val="24"/>
              </w:rPr>
            </w:pPr>
            <w:r>
              <w:rPr>
                <w:bCs/>
                <w:color w:val="auto"/>
                <w:sz w:val="24"/>
              </w:rPr>
              <w:t>2.废水</w:t>
            </w:r>
          </w:p>
          <w:p w14:paraId="417715AD">
            <w:pPr>
              <w:adjustRightInd w:val="0"/>
              <w:snapToGrid w:val="0"/>
              <w:spacing w:line="360" w:lineRule="auto"/>
              <w:ind w:firstLine="480" w:firstLineChars="200"/>
              <w:rPr>
                <w:rFonts w:ascii="Times New Roman" w:hAnsi="Times New Roman"/>
                <w:color w:val="auto"/>
                <w:sz w:val="24"/>
                <w:szCs w:val="24"/>
              </w:rPr>
            </w:pPr>
            <w:r>
              <w:rPr>
                <w:rFonts w:ascii="Times New Roman" w:hAnsi="宋体"/>
                <w:color w:val="auto"/>
                <w:sz w:val="24"/>
                <w:szCs w:val="24"/>
              </w:rPr>
              <w:t>本项目建成后生活污水接管排放量</w:t>
            </w:r>
            <w:r>
              <w:rPr>
                <w:rFonts w:hint="eastAsia"/>
                <w:color w:val="auto"/>
                <w:sz w:val="24"/>
                <w:szCs w:val="24"/>
                <w:lang w:val="en-US" w:eastAsia="zh-CN"/>
              </w:rPr>
              <w:t>472.5</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COD</w:t>
            </w:r>
            <w:r>
              <w:rPr>
                <w:rFonts w:hint="eastAsia"/>
                <w:color w:val="auto"/>
                <w:sz w:val="24"/>
                <w:szCs w:val="24"/>
                <w:lang w:val="en-US" w:eastAsia="zh-CN"/>
              </w:rPr>
              <w:t>0.1323</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SS</w:t>
            </w:r>
            <w:r>
              <w:rPr>
                <w:rFonts w:hint="eastAsia"/>
                <w:color w:val="auto"/>
                <w:sz w:val="24"/>
                <w:szCs w:val="24"/>
                <w:lang w:val="en-US" w:eastAsia="zh-CN"/>
              </w:rPr>
              <w:t>0.0473</w:t>
            </w:r>
            <w:r>
              <w:rPr>
                <w:rFonts w:ascii="Times New Roman" w:hAnsi="Times New Roman"/>
                <w:color w:val="auto"/>
                <w:sz w:val="24"/>
                <w:szCs w:val="24"/>
              </w:rPr>
              <w:t>t/a</w:t>
            </w:r>
            <w:r>
              <w:rPr>
                <w:rFonts w:ascii="Times New Roman" w:hAnsi="宋体"/>
                <w:color w:val="auto"/>
                <w:sz w:val="24"/>
                <w:szCs w:val="24"/>
              </w:rPr>
              <w:t>、氨氮</w:t>
            </w:r>
            <w:r>
              <w:rPr>
                <w:rFonts w:hint="eastAsia"/>
                <w:color w:val="auto"/>
                <w:sz w:val="24"/>
                <w:szCs w:val="24"/>
                <w:lang w:val="en-US" w:eastAsia="zh-CN"/>
              </w:rPr>
              <w:t>0.0142</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TP0.00</w:t>
            </w:r>
            <w:r>
              <w:rPr>
                <w:rFonts w:hint="eastAsia"/>
                <w:color w:val="auto"/>
                <w:sz w:val="24"/>
                <w:szCs w:val="24"/>
                <w:lang w:val="en-US" w:eastAsia="zh-CN"/>
              </w:rPr>
              <w:t>19</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TN0.0</w:t>
            </w:r>
            <w:r>
              <w:rPr>
                <w:rFonts w:hint="eastAsia"/>
                <w:color w:val="auto"/>
                <w:sz w:val="24"/>
                <w:szCs w:val="24"/>
                <w:lang w:val="en-US" w:eastAsia="zh-CN"/>
              </w:rPr>
              <w:t>189</w:t>
            </w:r>
            <w:r>
              <w:rPr>
                <w:rFonts w:ascii="Times New Roman" w:hAnsi="Times New Roman"/>
                <w:color w:val="auto"/>
                <w:sz w:val="24"/>
                <w:szCs w:val="24"/>
              </w:rPr>
              <w:t xml:space="preserve"> t/a</w:t>
            </w:r>
            <w:r>
              <w:rPr>
                <w:rFonts w:ascii="Times New Roman" w:hAnsi="宋体"/>
                <w:color w:val="auto"/>
                <w:sz w:val="24"/>
                <w:szCs w:val="24"/>
              </w:rPr>
              <w:t>。</w:t>
            </w:r>
          </w:p>
          <w:p w14:paraId="3A50B695">
            <w:pPr>
              <w:adjustRightInd w:val="0"/>
              <w:snapToGrid w:val="0"/>
              <w:spacing w:line="360" w:lineRule="auto"/>
              <w:ind w:firstLine="480" w:firstLineChars="200"/>
              <w:rPr>
                <w:rStyle w:val="50"/>
                <w:rFonts w:ascii="Times New Roman" w:hAnsi="Times New Roman"/>
                <w:color w:val="auto"/>
                <w:sz w:val="24"/>
                <w:szCs w:val="24"/>
              </w:rPr>
            </w:pPr>
            <w:r>
              <w:rPr>
                <w:rFonts w:ascii="Times New Roman" w:hAnsi="宋体"/>
                <w:color w:val="auto"/>
                <w:sz w:val="24"/>
                <w:szCs w:val="24"/>
              </w:rPr>
              <w:t>生活污水排入环境量</w:t>
            </w:r>
            <w:r>
              <w:rPr>
                <w:rFonts w:hint="eastAsia"/>
                <w:color w:val="auto"/>
                <w:sz w:val="24"/>
                <w:szCs w:val="24"/>
                <w:lang w:val="en-US" w:eastAsia="zh-CN"/>
              </w:rPr>
              <w:t>472.5</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COD</w:t>
            </w:r>
            <w:r>
              <w:rPr>
                <w:rFonts w:hint="eastAsia"/>
                <w:color w:val="auto"/>
                <w:sz w:val="24"/>
                <w:szCs w:val="24"/>
                <w:lang w:val="en-US" w:eastAsia="zh-CN"/>
              </w:rPr>
              <w:t>0.0236</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SS</w:t>
            </w:r>
            <w:r>
              <w:rPr>
                <w:rFonts w:hint="eastAsia"/>
                <w:color w:val="auto"/>
                <w:sz w:val="24"/>
                <w:szCs w:val="24"/>
                <w:lang w:val="en-US" w:eastAsia="zh-CN"/>
              </w:rPr>
              <w:t>0.0047</w:t>
            </w:r>
            <w:r>
              <w:rPr>
                <w:rFonts w:ascii="Times New Roman" w:hAnsi="Times New Roman"/>
                <w:color w:val="auto"/>
                <w:sz w:val="24"/>
                <w:szCs w:val="24"/>
              </w:rPr>
              <w:t>t/a</w:t>
            </w:r>
            <w:r>
              <w:rPr>
                <w:rFonts w:ascii="Times New Roman" w:hAnsi="宋体"/>
                <w:color w:val="auto"/>
                <w:sz w:val="24"/>
                <w:szCs w:val="24"/>
              </w:rPr>
              <w:t>、氨氮</w:t>
            </w:r>
            <w:r>
              <w:rPr>
                <w:rFonts w:hint="eastAsia"/>
                <w:color w:val="auto"/>
                <w:sz w:val="24"/>
                <w:szCs w:val="24"/>
                <w:lang w:val="en-US" w:eastAsia="zh-CN"/>
              </w:rPr>
              <w:t>0.0024</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TP0.000</w:t>
            </w:r>
            <w:r>
              <w:rPr>
                <w:rFonts w:hint="eastAsia"/>
                <w:color w:val="auto"/>
                <w:sz w:val="24"/>
                <w:szCs w:val="24"/>
                <w:lang w:val="en-US" w:eastAsia="zh-CN"/>
              </w:rPr>
              <w:t>2</w:t>
            </w:r>
            <w:r>
              <w:rPr>
                <w:rFonts w:ascii="Times New Roman" w:hAnsi="Times New Roman"/>
                <w:color w:val="auto"/>
                <w:sz w:val="24"/>
                <w:szCs w:val="24"/>
              </w:rPr>
              <w:t>t/a</w:t>
            </w:r>
            <w:r>
              <w:rPr>
                <w:rFonts w:ascii="Times New Roman" w:hAnsi="宋体"/>
                <w:color w:val="auto"/>
                <w:sz w:val="24"/>
                <w:szCs w:val="24"/>
              </w:rPr>
              <w:t>、</w:t>
            </w:r>
            <w:r>
              <w:rPr>
                <w:rFonts w:ascii="Times New Roman" w:hAnsi="Times New Roman"/>
                <w:color w:val="auto"/>
                <w:sz w:val="24"/>
                <w:szCs w:val="24"/>
              </w:rPr>
              <w:t>TN0.0</w:t>
            </w:r>
            <w:r>
              <w:rPr>
                <w:rFonts w:hint="eastAsia"/>
                <w:color w:val="auto"/>
                <w:sz w:val="24"/>
                <w:szCs w:val="24"/>
                <w:lang w:val="en-US" w:eastAsia="zh-CN"/>
              </w:rPr>
              <w:t>071</w:t>
            </w:r>
            <w:r>
              <w:rPr>
                <w:rFonts w:ascii="Times New Roman" w:hAnsi="Times New Roman"/>
                <w:color w:val="auto"/>
                <w:sz w:val="24"/>
                <w:szCs w:val="24"/>
              </w:rPr>
              <w:t>t/a</w:t>
            </w:r>
            <w:r>
              <w:rPr>
                <w:rFonts w:ascii="Times New Roman" w:hAnsi="宋体"/>
                <w:color w:val="auto"/>
                <w:sz w:val="24"/>
                <w:szCs w:val="24"/>
              </w:rPr>
              <w:t>。所需总量在高沟镇污水处理厂剩余总量中平衡。</w:t>
            </w:r>
          </w:p>
          <w:p w14:paraId="5BDB8A90">
            <w:pPr>
              <w:adjustRightInd w:val="0"/>
              <w:snapToGrid w:val="0"/>
              <w:spacing w:line="360" w:lineRule="auto"/>
              <w:ind w:firstLine="480" w:firstLineChars="200"/>
              <w:rPr>
                <w:bCs/>
                <w:color w:val="auto"/>
                <w:sz w:val="24"/>
              </w:rPr>
            </w:pPr>
            <w:r>
              <w:rPr>
                <w:bCs/>
                <w:color w:val="auto"/>
                <w:sz w:val="24"/>
              </w:rPr>
              <w:t>3.固废</w:t>
            </w:r>
          </w:p>
          <w:p w14:paraId="591C09D3">
            <w:pPr>
              <w:adjustRightInd w:val="0"/>
              <w:snapToGrid w:val="0"/>
              <w:ind w:firstLine="480" w:firstLineChars="200"/>
              <w:rPr>
                <w:color w:val="auto"/>
                <w:spacing w:val="2"/>
                <w:sz w:val="24"/>
              </w:rPr>
            </w:pPr>
            <w:r>
              <w:rPr>
                <w:bCs/>
                <w:color w:val="auto"/>
                <w:sz w:val="24"/>
              </w:rPr>
              <w:t>本项目产生的所有固废均按环保要求进行处理或处置，故固废排放量为0。</w:t>
            </w:r>
          </w:p>
        </w:tc>
      </w:tr>
    </w:tbl>
    <w:p w14:paraId="17169148">
      <w:pPr>
        <w:pStyle w:val="37"/>
        <w:jc w:val="center"/>
        <w:outlineLvl w:val="0"/>
        <w:rPr>
          <w:rFonts w:ascii="Times New Roman" w:hAnsi="Times New Roman"/>
          <w:b/>
          <w:snapToGrid w:val="0"/>
          <w:sz w:val="30"/>
          <w:szCs w:val="30"/>
        </w:rPr>
      </w:pPr>
      <w:r>
        <w:rPr>
          <w:rFonts w:ascii="Times New Roman" w:hAnsi="Times New Roman"/>
          <w:snapToGrid w:val="0"/>
          <w:sz w:val="36"/>
          <w:szCs w:val="36"/>
        </w:rPr>
        <w:br w:type="page"/>
      </w:r>
      <w:bookmarkStart w:id="30" w:name="_Toc18414"/>
      <w:r>
        <w:rPr>
          <w:rFonts w:ascii="Times New Roman" w:hAnsi="Times New Roman"/>
          <w:b/>
          <w:snapToGrid w:val="0"/>
          <w:sz w:val="30"/>
          <w:szCs w:val="30"/>
        </w:rPr>
        <w:t>四、主要环境影响和保护措施</w:t>
      </w:r>
      <w:bookmarkEnd w:id="30"/>
    </w:p>
    <w:tbl>
      <w:tblPr>
        <w:tblStyle w:val="42"/>
        <w:tblW w:w="90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8240"/>
      </w:tblGrid>
      <w:tr w14:paraId="235FF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696" w:hRule="atLeast"/>
          <w:jc w:val="center"/>
        </w:trPr>
        <w:tc>
          <w:tcPr>
            <w:tcW w:w="787" w:type="dxa"/>
            <w:tcMar>
              <w:left w:w="28" w:type="dxa"/>
              <w:right w:w="28" w:type="dxa"/>
            </w:tcMar>
            <w:vAlign w:val="center"/>
          </w:tcPr>
          <w:p w14:paraId="5D710CD6">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14DDF1C2">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77FB52A8">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62F78012">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0B1DAFDF">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w:t>
            </w:r>
          </w:p>
        </w:tc>
        <w:tc>
          <w:tcPr>
            <w:tcW w:w="8240" w:type="dxa"/>
          </w:tcPr>
          <w:p w14:paraId="3FAA1FB9">
            <w:pPr>
              <w:autoSpaceDE w:val="0"/>
              <w:autoSpaceDN w:val="0"/>
              <w:adjustRightInd w:val="0"/>
              <w:snapToGrid w:val="0"/>
              <w:spacing w:before="120" w:beforeLines="50" w:line="360" w:lineRule="auto"/>
              <w:ind w:firstLine="480" w:firstLineChars="200"/>
              <w:rPr>
                <w:color w:val="auto"/>
                <w:kern w:val="0"/>
                <w:sz w:val="24"/>
                <w:lang w:val="zh-CN"/>
              </w:rPr>
            </w:pPr>
            <w:r>
              <w:rPr>
                <w:color w:val="auto"/>
                <w:kern w:val="0"/>
                <w:sz w:val="24"/>
                <w:lang w:val="zh-CN"/>
              </w:rPr>
              <w:t>项目用房</w:t>
            </w:r>
            <w:r>
              <w:rPr>
                <w:color w:val="auto"/>
                <w:sz w:val="24"/>
              </w:rPr>
              <w:t>租赁涟水县</w:t>
            </w:r>
            <w:r>
              <w:rPr>
                <w:rFonts w:hint="eastAsia"/>
                <w:color w:val="auto"/>
                <w:sz w:val="24"/>
              </w:rPr>
              <w:t>高沟</w:t>
            </w:r>
            <w:r>
              <w:rPr>
                <w:color w:val="auto"/>
                <w:sz w:val="24"/>
              </w:rPr>
              <w:t>镇</w:t>
            </w:r>
            <w:r>
              <w:rPr>
                <w:rFonts w:hint="eastAsia"/>
                <w:color w:val="auto"/>
                <w:sz w:val="24"/>
              </w:rPr>
              <w:t>奥峰木业</w:t>
            </w:r>
            <w:r>
              <w:rPr>
                <w:color w:val="auto"/>
                <w:sz w:val="24"/>
              </w:rPr>
              <w:t>标准化厂房</w:t>
            </w:r>
            <w:r>
              <w:rPr>
                <w:color w:val="auto"/>
                <w:kern w:val="0"/>
                <w:sz w:val="24"/>
                <w:lang w:val="zh-CN"/>
              </w:rPr>
              <w:t>，不涉及土建施工，不产生土建施工的相关环境影响如机械噪声和扬尘等污染问题。但在设备安装以及装修过 程会产生一些机械噪声，源强峰值可达85</w:t>
            </w:r>
            <w:r>
              <w:rPr>
                <w:rFonts w:hint="eastAsia"/>
                <w:color w:val="auto"/>
                <w:kern w:val="0"/>
                <w:sz w:val="24"/>
                <w:lang w:val="zh-CN"/>
              </w:rPr>
              <w:t>～</w:t>
            </w:r>
            <w:r>
              <w:rPr>
                <w:color w:val="auto"/>
                <w:kern w:val="0"/>
                <w:sz w:val="24"/>
                <w:lang w:val="zh-CN"/>
              </w:rPr>
              <w:t>95分贝，因此，为控制设备安装以及装修期间的噪声污染，施工单位应尽量采用低噪声的器械，避免夜间进行高噪振动操作，从而减轻对项目周界声环境的影响。另外设备安装以及装修期间产生生活污水</w:t>
            </w:r>
            <w:r>
              <w:rPr>
                <w:color w:val="auto"/>
                <w:kern w:val="0"/>
                <w:sz w:val="24"/>
              </w:rPr>
              <w:t>经</w:t>
            </w:r>
            <w:r>
              <w:rPr>
                <w:rFonts w:hint="eastAsia"/>
                <w:color w:val="auto"/>
                <w:kern w:val="0"/>
                <w:sz w:val="24"/>
                <w:lang w:eastAsia="zh-CN"/>
              </w:rPr>
              <w:t>化粪池</w:t>
            </w:r>
            <w:r>
              <w:rPr>
                <w:color w:val="auto"/>
                <w:kern w:val="0"/>
                <w:sz w:val="24"/>
              </w:rPr>
              <w:t>沉淀后，全部回用于施工现场。</w:t>
            </w:r>
            <w:r>
              <w:rPr>
                <w:color w:val="auto"/>
                <w:kern w:val="0"/>
                <w:sz w:val="24"/>
                <w:lang w:val="zh-CN"/>
              </w:rPr>
              <w:t>生活垃圾应及时收集处理，设备安装以及装修期产生的固废应妥善处理，能回用的应回用，不能回用的应根据固废的性质不同交由不同的处理部门处理。设备安装以及装修期的影响较短暂，随着安装调试的结束，环境影响随即停止。</w:t>
            </w:r>
          </w:p>
          <w:p w14:paraId="4E47A489">
            <w:pPr>
              <w:autoSpaceDE w:val="0"/>
              <w:autoSpaceDN w:val="0"/>
              <w:adjustRightInd w:val="0"/>
              <w:spacing w:line="360" w:lineRule="auto"/>
              <w:ind w:firstLine="482"/>
              <w:rPr>
                <w:color w:val="auto"/>
                <w:kern w:val="0"/>
                <w:sz w:val="24"/>
                <w:lang w:val="zh-CN"/>
              </w:rPr>
            </w:pPr>
            <w:r>
              <w:rPr>
                <w:color w:val="auto"/>
                <w:kern w:val="0"/>
                <w:sz w:val="24"/>
                <w:lang w:val="zh-CN"/>
              </w:rPr>
              <w:t>施工期应做到如下防范措施：</w:t>
            </w:r>
          </w:p>
          <w:p w14:paraId="45E07058">
            <w:pPr>
              <w:autoSpaceDE w:val="0"/>
              <w:autoSpaceDN w:val="0"/>
              <w:adjustRightInd w:val="0"/>
              <w:spacing w:line="360" w:lineRule="auto"/>
              <w:ind w:firstLine="480" w:firstLineChars="200"/>
              <w:rPr>
                <w:color w:val="auto"/>
                <w:kern w:val="0"/>
                <w:sz w:val="24"/>
                <w:lang w:val="zh-CN"/>
              </w:rPr>
            </w:pPr>
            <w:r>
              <w:rPr>
                <w:color w:val="auto"/>
                <w:kern w:val="0"/>
                <w:sz w:val="24"/>
              </w:rPr>
              <w:t>A.</w:t>
            </w:r>
            <w:r>
              <w:rPr>
                <w:color w:val="auto"/>
                <w:kern w:val="0"/>
                <w:sz w:val="24"/>
                <w:lang w:val="zh-CN"/>
              </w:rPr>
              <w:t>加强施工管理，合理安排施工机械设备组装和施工时间，避免在居民休息时（晚10:00</w:t>
            </w:r>
            <w:r>
              <w:rPr>
                <w:rFonts w:hint="eastAsia"/>
                <w:color w:val="auto"/>
                <w:kern w:val="0"/>
                <w:sz w:val="24"/>
                <w:lang w:val="zh-CN"/>
              </w:rPr>
              <w:t>一早</w:t>
            </w:r>
            <w:r>
              <w:rPr>
                <w:color w:val="auto"/>
                <w:kern w:val="0"/>
                <w:sz w:val="24"/>
                <w:lang w:val="zh-CN"/>
              </w:rPr>
              <w:t>6:00）施工。除特殊需要作业外(经生态环境局批准公布)，禁止夜间以后进行产生环境噪声污染的施工，避免对周边环境产生不良影响。</w:t>
            </w:r>
          </w:p>
          <w:p w14:paraId="772F816E">
            <w:pPr>
              <w:autoSpaceDE w:val="0"/>
              <w:autoSpaceDN w:val="0"/>
              <w:adjustRightInd w:val="0"/>
              <w:spacing w:line="400" w:lineRule="exact"/>
              <w:ind w:firstLine="480"/>
              <w:rPr>
                <w:color w:val="auto"/>
                <w:kern w:val="0"/>
                <w:sz w:val="24"/>
                <w:lang w:val="zh-CN"/>
              </w:rPr>
            </w:pPr>
            <w:r>
              <w:rPr>
                <w:color w:val="auto"/>
                <w:kern w:val="0"/>
                <w:sz w:val="24"/>
              </w:rPr>
              <w:t>B.</w:t>
            </w:r>
            <w:r>
              <w:rPr>
                <w:color w:val="auto"/>
                <w:kern w:val="0"/>
                <w:sz w:val="24"/>
                <w:lang w:val="zh-CN"/>
              </w:rPr>
              <w:t>尽量采用低噪音施工设备和噪声低的施工方法，作业时在高噪声设 备周围设置屏蔽；对施工设备进行合理布局，选择低噪声的机械设备。</w:t>
            </w:r>
          </w:p>
        </w:tc>
      </w:tr>
      <w:tr w14:paraId="5392B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dxa"/>
            <w:tcMar>
              <w:left w:w="28" w:type="dxa"/>
              <w:right w:w="28" w:type="dxa"/>
            </w:tcMar>
            <w:vAlign w:val="center"/>
          </w:tcPr>
          <w:p w14:paraId="423BEB9F">
            <w:pPr>
              <w:adjustRightInd w:val="0"/>
              <w:snapToGrid w:val="0"/>
              <w:jc w:val="center"/>
              <w:rPr>
                <w:bCs/>
                <w:color w:val="auto"/>
                <w:sz w:val="24"/>
              </w:rPr>
            </w:pPr>
            <w:r>
              <w:rPr>
                <w:bCs/>
                <w:color w:val="auto"/>
                <w:sz w:val="24"/>
              </w:rPr>
              <w:t>运营</w:t>
            </w:r>
          </w:p>
          <w:p w14:paraId="4652AE8A">
            <w:pPr>
              <w:adjustRightInd w:val="0"/>
              <w:snapToGrid w:val="0"/>
              <w:jc w:val="center"/>
              <w:rPr>
                <w:bCs/>
                <w:color w:val="auto"/>
                <w:sz w:val="24"/>
              </w:rPr>
            </w:pPr>
            <w:r>
              <w:rPr>
                <w:bCs/>
                <w:color w:val="auto"/>
                <w:sz w:val="24"/>
              </w:rPr>
              <w:t>期环</w:t>
            </w:r>
          </w:p>
          <w:p w14:paraId="0C5CF300">
            <w:pPr>
              <w:adjustRightInd w:val="0"/>
              <w:snapToGrid w:val="0"/>
              <w:jc w:val="center"/>
              <w:rPr>
                <w:bCs/>
                <w:color w:val="auto"/>
                <w:sz w:val="24"/>
              </w:rPr>
            </w:pPr>
            <w:r>
              <w:rPr>
                <w:bCs/>
                <w:color w:val="auto"/>
                <w:sz w:val="24"/>
              </w:rPr>
              <w:t>境影</w:t>
            </w:r>
          </w:p>
          <w:p w14:paraId="52F8D3A3">
            <w:pPr>
              <w:adjustRightInd w:val="0"/>
              <w:snapToGrid w:val="0"/>
              <w:jc w:val="center"/>
              <w:rPr>
                <w:bCs/>
                <w:color w:val="auto"/>
                <w:sz w:val="24"/>
              </w:rPr>
            </w:pPr>
            <w:r>
              <w:rPr>
                <w:bCs/>
                <w:color w:val="auto"/>
                <w:sz w:val="24"/>
              </w:rPr>
              <w:t>响和</w:t>
            </w:r>
          </w:p>
          <w:p w14:paraId="1D7155E2">
            <w:pPr>
              <w:adjustRightInd w:val="0"/>
              <w:snapToGrid w:val="0"/>
              <w:jc w:val="center"/>
              <w:rPr>
                <w:bCs/>
                <w:color w:val="auto"/>
                <w:sz w:val="24"/>
              </w:rPr>
            </w:pPr>
            <w:r>
              <w:rPr>
                <w:bCs/>
                <w:color w:val="auto"/>
                <w:sz w:val="24"/>
              </w:rPr>
              <w:t>保护</w:t>
            </w:r>
          </w:p>
          <w:p w14:paraId="088E9851">
            <w:pPr>
              <w:pStyle w:val="3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rPr>
              <w:t>措施</w:t>
            </w:r>
          </w:p>
        </w:tc>
        <w:tc>
          <w:tcPr>
            <w:tcW w:w="8240" w:type="dxa"/>
            <w:vAlign w:val="center"/>
          </w:tcPr>
          <w:p w14:paraId="159B6BC2">
            <w:pPr>
              <w:spacing w:line="360" w:lineRule="auto"/>
              <w:ind w:firstLine="482" w:firstLineChars="200"/>
              <w:contextualSpacing/>
              <w:rPr>
                <w:b/>
                <w:bCs/>
                <w:color w:val="auto"/>
                <w:sz w:val="24"/>
              </w:rPr>
            </w:pPr>
            <w:r>
              <w:rPr>
                <w:b/>
                <w:bCs/>
                <w:color w:val="auto"/>
                <w:sz w:val="24"/>
              </w:rPr>
              <w:t>1、废气</w:t>
            </w:r>
          </w:p>
          <w:p w14:paraId="1B429451">
            <w:pPr>
              <w:spacing w:line="360" w:lineRule="auto"/>
              <w:ind w:firstLine="480" w:firstLineChars="200"/>
              <w:jc w:val="left"/>
              <w:rPr>
                <w:color w:val="auto"/>
                <w:kern w:val="0"/>
                <w:sz w:val="24"/>
                <w:lang w:val="zh-CN"/>
              </w:rPr>
            </w:pPr>
            <w:r>
              <w:rPr>
                <w:bCs/>
                <w:color w:val="auto"/>
                <w:sz w:val="24"/>
              </w:rPr>
              <w:t>废气污染物产生与排放情况详见大气专项，</w:t>
            </w:r>
            <w:r>
              <w:rPr>
                <w:color w:val="auto"/>
                <w:kern w:val="0"/>
                <w:sz w:val="24"/>
                <w:lang w:val="zh-CN"/>
              </w:rPr>
              <w:t>根据大气专项可知，本项目排放废气污染物对周围环境影响较小。</w:t>
            </w:r>
          </w:p>
          <w:p w14:paraId="70E79457">
            <w:pPr>
              <w:spacing w:line="360" w:lineRule="auto"/>
              <w:ind w:firstLine="480" w:firstLineChars="200"/>
              <w:jc w:val="left"/>
              <w:rPr>
                <w:color w:val="auto"/>
                <w:kern w:val="0"/>
                <w:sz w:val="24"/>
                <w:lang w:val="zh-CN"/>
              </w:rPr>
            </w:pPr>
            <w:r>
              <w:rPr>
                <w:rFonts w:hint="eastAsia"/>
                <w:color w:val="auto"/>
                <w:sz w:val="24"/>
              </w:rPr>
              <w:t>根据</w:t>
            </w:r>
            <w:r>
              <w:rPr>
                <w:color w:val="auto"/>
                <w:sz w:val="24"/>
              </w:rPr>
              <w:t>大气影响</w:t>
            </w:r>
            <w:r>
              <w:rPr>
                <w:rFonts w:hint="eastAsia"/>
                <w:color w:val="auto"/>
                <w:sz w:val="24"/>
              </w:rPr>
              <w:t>专项评价内容，</w:t>
            </w:r>
            <w:r>
              <w:rPr>
                <w:rFonts w:hint="eastAsia" w:eastAsiaTheme="minorEastAsia"/>
                <w:color w:val="auto"/>
                <w:kern w:val="0"/>
                <w:sz w:val="24"/>
              </w:rPr>
              <w:t>建设</w:t>
            </w:r>
            <w:r>
              <w:rPr>
                <w:rFonts w:eastAsiaTheme="minorEastAsia"/>
                <w:color w:val="auto"/>
                <w:kern w:val="0"/>
                <w:sz w:val="24"/>
              </w:rPr>
              <w:t>项目</w:t>
            </w:r>
            <w:r>
              <w:rPr>
                <w:rFonts w:eastAsiaTheme="minorEastAsia"/>
                <w:color w:val="auto"/>
                <w:sz w:val="24"/>
              </w:rPr>
              <w:t>按照“应收尽收、分质收集”的原则，采用成熟稳定的治理措施处理，</w:t>
            </w:r>
            <w:r>
              <w:rPr>
                <w:rFonts w:eastAsiaTheme="minorEastAsia"/>
                <w:color w:val="auto"/>
                <w:kern w:val="0"/>
                <w:sz w:val="24"/>
              </w:rPr>
              <w:t>废气经处理后可达标排放，采取的废气防治措施可行。废气污染物收集后，经废气处理设施处理后高空排放，未被收集的无组织废气排放量较小，经大气稀释扩散后对大气环境影响较小，周围环境空气质量可维持现状。</w:t>
            </w:r>
            <w:r>
              <w:rPr>
                <w:color w:val="auto"/>
                <w:kern w:val="0"/>
                <w:sz w:val="24"/>
              </w:rPr>
              <w:t>同时</w:t>
            </w:r>
            <w:r>
              <w:rPr>
                <w:rFonts w:hint="eastAsia"/>
                <w:color w:val="auto"/>
                <w:kern w:val="0"/>
                <w:sz w:val="24"/>
              </w:rPr>
              <w:t>以</w:t>
            </w:r>
            <w:r>
              <w:rPr>
                <w:rFonts w:hint="eastAsia"/>
                <w:color w:val="auto"/>
                <w:sz w:val="24"/>
              </w:rPr>
              <w:t>生产车间</w:t>
            </w:r>
            <w:r>
              <w:rPr>
                <w:color w:val="auto"/>
                <w:sz w:val="24"/>
              </w:rPr>
              <w:t>边界为起点设置50m卫生防护距离</w:t>
            </w:r>
            <w:r>
              <w:rPr>
                <w:color w:val="auto"/>
                <w:kern w:val="0"/>
                <w:sz w:val="24"/>
              </w:rPr>
              <w:t>，</w:t>
            </w:r>
            <w:r>
              <w:rPr>
                <w:color w:val="auto"/>
                <w:sz w:val="24"/>
              </w:rPr>
              <w:t>卫生防护距离内</w:t>
            </w:r>
            <w:r>
              <w:rPr>
                <w:color w:val="auto"/>
                <w:kern w:val="0"/>
                <w:sz w:val="24"/>
                <w:szCs w:val="20"/>
              </w:rPr>
              <w:t>无居民等大气环境保护目标</w:t>
            </w:r>
            <w:r>
              <w:rPr>
                <w:color w:val="auto"/>
                <w:sz w:val="24"/>
              </w:rPr>
              <w:t>，建设项目建成后，该范围内不得新建居民</w:t>
            </w:r>
            <w:r>
              <w:rPr>
                <w:rFonts w:hint="eastAsia"/>
                <w:color w:val="auto"/>
                <w:sz w:val="24"/>
              </w:rPr>
              <w:t>点</w:t>
            </w:r>
            <w:r>
              <w:rPr>
                <w:color w:val="auto"/>
                <w:sz w:val="24"/>
              </w:rPr>
              <w:t>等环境敏感目标。</w:t>
            </w:r>
          </w:p>
          <w:p w14:paraId="4FE053E0">
            <w:pPr>
              <w:spacing w:line="360" w:lineRule="auto"/>
              <w:ind w:firstLine="482" w:firstLineChars="200"/>
              <w:contextualSpacing/>
              <w:jc w:val="left"/>
              <w:rPr>
                <w:b/>
                <w:bCs/>
                <w:color w:val="auto"/>
                <w:sz w:val="24"/>
              </w:rPr>
            </w:pPr>
            <w:r>
              <w:rPr>
                <w:b/>
                <w:bCs/>
                <w:color w:val="auto"/>
                <w:sz w:val="24"/>
              </w:rPr>
              <w:t>2、废水</w:t>
            </w:r>
          </w:p>
          <w:p w14:paraId="49A88448">
            <w:pPr>
              <w:spacing w:line="360" w:lineRule="auto"/>
              <w:ind w:firstLine="482" w:firstLineChars="200"/>
              <w:contextualSpacing/>
              <w:jc w:val="left"/>
              <w:rPr>
                <w:b/>
                <w:bCs/>
                <w:color w:val="auto"/>
                <w:sz w:val="24"/>
              </w:rPr>
            </w:pPr>
            <w:r>
              <w:rPr>
                <w:b/>
                <w:bCs/>
                <w:color w:val="auto"/>
                <w:sz w:val="24"/>
              </w:rPr>
              <w:t>（1）废水源强核算</w:t>
            </w:r>
          </w:p>
          <w:p w14:paraId="35377416">
            <w:pPr>
              <w:spacing w:line="360" w:lineRule="auto"/>
              <w:ind w:firstLine="480" w:firstLineChars="200"/>
              <w:jc w:val="left"/>
              <w:rPr>
                <w:rFonts w:hint="eastAsia"/>
                <w:color w:val="auto"/>
                <w:sz w:val="24"/>
              </w:rPr>
            </w:pPr>
            <w:r>
              <w:rPr>
                <w:rFonts w:hint="eastAsia"/>
                <w:color w:val="auto"/>
                <w:sz w:val="24"/>
              </w:rPr>
              <w:t>本项目废水主要为生活污水</w:t>
            </w:r>
            <w:r>
              <w:rPr>
                <w:rFonts w:hint="eastAsia"/>
                <w:color w:val="auto"/>
                <w:sz w:val="24"/>
                <w:lang w:eastAsia="zh-CN"/>
              </w:rPr>
              <w:t>、蒸汽冷凝水</w:t>
            </w:r>
            <w:r>
              <w:rPr>
                <w:rFonts w:hint="eastAsia"/>
                <w:color w:val="auto"/>
                <w:sz w:val="24"/>
              </w:rPr>
              <w:t>。</w:t>
            </w:r>
            <w:r>
              <w:rPr>
                <w:rFonts w:hint="eastAsia"/>
                <w:color w:val="auto"/>
                <w:sz w:val="24"/>
                <w:lang w:eastAsia="zh-CN"/>
              </w:rPr>
              <w:t>生活污水经化粪池处理后接管高沟镇污水处理厂。蒸汽通过</w:t>
            </w:r>
            <w:r>
              <w:rPr>
                <w:rFonts w:hint="eastAsia"/>
                <w:color w:val="auto"/>
                <w:sz w:val="24"/>
                <w:lang w:val="en-US" w:eastAsia="zh-CN"/>
              </w:rPr>
              <w:t>专有管道用于热压工序，年用量约为</w:t>
            </w:r>
            <w:r>
              <w:rPr>
                <w:rFonts w:hint="default"/>
                <w:color w:val="auto"/>
                <w:sz w:val="24"/>
                <w:lang w:val="en-US" w:eastAsia="zh-CN"/>
              </w:rPr>
              <w:t>500t/a</w:t>
            </w:r>
            <w:r>
              <w:rPr>
                <w:rFonts w:hint="eastAsia"/>
                <w:color w:val="auto"/>
                <w:sz w:val="24"/>
                <w:lang w:val="en-US" w:eastAsia="zh-CN"/>
              </w:rPr>
              <w:t>，10</w:t>
            </w:r>
            <w:r>
              <w:rPr>
                <w:rFonts w:hint="default"/>
                <w:color w:val="auto"/>
                <w:sz w:val="24"/>
                <w:lang w:val="en-US" w:eastAsia="zh-CN"/>
              </w:rPr>
              <w:t>%</w:t>
            </w:r>
            <w:r>
              <w:rPr>
                <w:rFonts w:hint="eastAsia"/>
                <w:color w:val="auto"/>
                <w:sz w:val="24"/>
                <w:lang w:val="en-US" w:eastAsia="zh-CN"/>
              </w:rPr>
              <w:t>发生损耗，剩余部分变为冷凝水从管道排出用于厂区绿化。</w:t>
            </w:r>
            <w:r>
              <w:rPr>
                <w:rFonts w:hint="eastAsia"/>
                <w:color w:val="auto"/>
                <w:sz w:val="24"/>
                <w:lang w:eastAsia="zh-CN"/>
              </w:rPr>
              <w:t>根据经验，蒸汽冷凝水（间接）水质较简单，主要污染因子为</w:t>
            </w:r>
            <w:r>
              <w:rPr>
                <w:rFonts w:hint="eastAsia"/>
                <w:color w:val="auto"/>
                <w:sz w:val="24"/>
                <w:lang w:val="en-US" w:eastAsia="zh-CN"/>
              </w:rPr>
              <w:t>COD、SS，污染物COD产生浓度为8</w:t>
            </w:r>
            <w:r>
              <w:rPr>
                <w:rFonts w:hint="eastAsia"/>
                <w:color w:val="auto"/>
                <w:sz w:val="24"/>
              </w:rPr>
              <w:t>mg/L</w:t>
            </w:r>
            <w:r>
              <w:rPr>
                <w:rFonts w:hint="eastAsia"/>
                <w:color w:val="auto"/>
                <w:sz w:val="24"/>
                <w:lang w:eastAsia="zh-CN"/>
              </w:rPr>
              <w:t>、</w:t>
            </w:r>
            <w:r>
              <w:rPr>
                <w:rFonts w:hint="eastAsia"/>
                <w:color w:val="auto"/>
                <w:sz w:val="24"/>
                <w:lang w:val="en-US" w:eastAsia="zh-CN"/>
              </w:rPr>
              <w:t>SS产生浓度为</w:t>
            </w:r>
            <w:r>
              <w:rPr>
                <w:rFonts w:hint="eastAsia"/>
                <w:color w:val="auto"/>
                <w:sz w:val="24"/>
              </w:rPr>
              <w:t>5mg/L</w:t>
            </w:r>
            <w:r>
              <w:rPr>
                <w:rFonts w:hint="eastAsia"/>
                <w:color w:val="auto"/>
                <w:sz w:val="24"/>
                <w:lang w:eastAsia="zh-CN"/>
              </w:rPr>
              <w:t>。</w:t>
            </w:r>
            <w:r>
              <w:rPr>
                <w:rFonts w:hint="eastAsia"/>
                <w:color w:val="auto"/>
                <w:sz w:val="24"/>
                <w:lang w:val="en-US" w:eastAsia="zh-CN"/>
              </w:rPr>
              <w:t>生活污水接管高沟镇污水处理厂。设备清洗废水、水喷淋废水作危废处置，不外排。</w:t>
            </w:r>
          </w:p>
          <w:p w14:paraId="6C7CBC6E">
            <w:pPr>
              <w:pStyle w:val="275"/>
              <w:spacing w:before="120" w:beforeLines="50" w:after="0"/>
              <w:ind w:firstLine="482" w:firstLineChars="200"/>
              <w:outlineLvl w:val="9"/>
              <w:rPr>
                <w:b w:val="0"/>
                <w:color w:val="auto"/>
                <w:lang w:val="en-US" w:eastAsia="zh-CN"/>
              </w:rPr>
            </w:pPr>
            <w:bookmarkStart w:id="31" w:name="_Toc21476"/>
            <w:r>
              <w:rPr>
                <w:bCs/>
                <w:color w:val="auto"/>
                <w:sz w:val="24"/>
              </w:rPr>
              <w:t>建设项目废水排放情况一览表见下表：</w:t>
            </w:r>
            <w:bookmarkEnd w:id="31"/>
          </w:p>
          <w:p w14:paraId="1D03B9B7">
            <w:pPr>
              <w:spacing w:line="360" w:lineRule="auto"/>
              <w:ind w:firstLine="480" w:firstLineChars="200"/>
              <w:contextualSpacing/>
              <w:jc w:val="left"/>
              <w:rPr>
                <w:bCs/>
                <w:color w:val="auto"/>
                <w:sz w:val="24"/>
              </w:rPr>
            </w:pPr>
          </w:p>
          <w:p w14:paraId="333A6CA9">
            <w:pPr>
              <w:pStyle w:val="15"/>
              <w:rPr>
                <w:rFonts w:ascii="Times New Roman" w:hAnsi="Times New Roman" w:cs="Times New Roman"/>
                <w:bCs/>
                <w:color w:val="auto"/>
              </w:rPr>
            </w:pPr>
          </w:p>
          <w:p w14:paraId="44B57F84">
            <w:pPr>
              <w:rPr>
                <w:bCs/>
                <w:color w:val="auto"/>
                <w:sz w:val="24"/>
              </w:rPr>
            </w:pPr>
          </w:p>
          <w:p w14:paraId="2F6F1629">
            <w:pPr>
              <w:pStyle w:val="15"/>
              <w:rPr>
                <w:rFonts w:ascii="Times New Roman" w:hAnsi="Times New Roman" w:cs="Times New Roman"/>
                <w:color w:val="auto"/>
              </w:rPr>
            </w:pPr>
          </w:p>
          <w:p w14:paraId="41C18744">
            <w:pPr>
              <w:autoSpaceDE w:val="0"/>
              <w:autoSpaceDN w:val="0"/>
              <w:adjustRightInd w:val="0"/>
              <w:spacing w:line="400" w:lineRule="exact"/>
              <w:ind w:firstLine="480"/>
              <w:rPr>
                <w:color w:val="auto"/>
                <w:kern w:val="0"/>
                <w:sz w:val="24"/>
              </w:rPr>
            </w:pPr>
          </w:p>
        </w:tc>
      </w:tr>
    </w:tbl>
    <w:p w14:paraId="22CDD979">
      <w:pPr>
        <w:sectPr>
          <w:pgSz w:w="11907" w:h="16840"/>
          <w:pgMar w:top="1701" w:right="1531" w:bottom="2269" w:left="1531" w:header="851" w:footer="851" w:gutter="0"/>
          <w:pgBorders>
            <w:top w:val="none" w:sz="0" w:space="0"/>
            <w:left w:val="none" w:sz="0" w:space="0"/>
            <w:bottom w:val="none" w:sz="0" w:space="0"/>
            <w:right w:val="none" w:sz="0" w:space="0"/>
          </w:pgBorders>
          <w:cols w:space="720" w:num="1"/>
          <w:docGrid w:linePitch="312" w:charSpace="0"/>
        </w:sectPr>
      </w:pPr>
      <w:r>
        <w:br w:type="page"/>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2585"/>
      </w:tblGrid>
      <w:tr w14:paraId="48C01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 w:type="pct"/>
            <w:tcMar>
              <w:left w:w="28" w:type="dxa"/>
              <w:right w:w="28" w:type="dxa"/>
            </w:tcMar>
            <w:vAlign w:val="center"/>
          </w:tcPr>
          <w:p w14:paraId="09FA4EE1">
            <w:pPr>
              <w:adjustRightInd w:val="0"/>
              <w:snapToGrid w:val="0"/>
              <w:jc w:val="center"/>
              <w:rPr>
                <w:bCs/>
                <w:sz w:val="24"/>
              </w:rPr>
            </w:pPr>
            <w:r>
              <w:rPr>
                <w:bCs/>
                <w:sz w:val="24"/>
              </w:rPr>
              <w:t>运营</w:t>
            </w:r>
          </w:p>
          <w:p w14:paraId="4CFBF073">
            <w:pPr>
              <w:adjustRightInd w:val="0"/>
              <w:snapToGrid w:val="0"/>
              <w:jc w:val="center"/>
              <w:rPr>
                <w:bCs/>
                <w:sz w:val="24"/>
              </w:rPr>
            </w:pPr>
            <w:r>
              <w:rPr>
                <w:bCs/>
                <w:sz w:val="24"/>
              </w:rPr>
              <w:t>期环</w:t>
            </w:r>
          </w:p>
          <w:p w14:paraId="2B3861F7">
            <w:pPr>
              <w:adjustRightInd w:val="0"/>
              <w:snapToGrid w:val="0"/>
              <w:jc w:val="center"/>
              <w:rPr>
                <w:bCs/>
                <w:sz w:val="24"/>
              </w:rPr>
            </w:pPr>
            <w:r>
              <w:rPr>
                <w:bCs/>
                <w:sz w:val="24"/>
              </w:rPr>
              <w:t>境影</w:t>
            </w:r>
          </w:p>
          <w:p w14:paraId="7FEF2576">
            <w:pPr>
              <w:adjustRightInd w:val="0"/>
              <w:snapToGrid w:val="0"/>
              <w:jc w:val="center"/>
              <w:rPr>
                <w:bCs/>
                <w:sz w:val="24"/>
              </w:rPr>
            </w:pPr>
            <w:r>
              <w:rPr>
                <w:bCs/>
                <w:sz w:val="24"/>
              </w:rPr>
              <w:t>响和</w:t>
            </w:r>
          </w:p>
          <w:p w14:paraId="48144159">
            <w:pPr>
              <w:adjustRightInd w:val="0"/>
              <w:snapToGrid w:val="0"/>
              <w:jc w:val="center"/>
              <w:rPr>
                <w:bCs/>
                <w:sz w:val="24"/>
              </w:rPr>
            </w:pPr>
            <w:r>
              <w:rPr>
                <w:bCs/>
                <w:sz w:val="24"/>
              </w:rPr>
              <w:t>保护</w:t>
            </w:r>
          </w:p>
          <w:p w14:paraId="3BD547D6">
            <w:pPr>
              <w:pStyle w:val="37"/>
              <w:adjustRightInd w:val="0"/>
              <w:snapToGrid w:val="0"/>
              <w:spacing w:before="0" w:beforeAutospacing="0" w:after="0" w:afterAutospacing="0"/>
              <w:jc w:val="center"/>
              <w:rPr>
                <w:rFonts w:ascii="Times New Roman" w:hAnsi="Times New Roman"/>
                <w:kern w:val="2"/>
                <w:szCs w:val="24"/>
              </w:rPr>
            </w:pPr>
            <w:r>
              <w:rPr>
                <w:rFonts w:ascii="Times New Roman" w:hAnsi="Times New Roman"/>
                <w:bCs/>
              </w:rPr>
              <w:t>措施</w:t>
            </w:r>
          </w:p>
        </w:tc>
        <w:tc>
          <w:tcPr>
            <w:tcW w:w="4838" w:type="pct"/>
            <w:vAlign w:val="center"/>
          </w:tcPr>
          <w:p w14:paraId="2EF7D8E3">
            <w:pPr>
              <w:adjustRightInd w:val="0"/>
              <w:snapToGrid w:val="0"/>
              <w:contextualSpacing/>
              <w:jc w:val="center"/>
              <w:rPr>
                <w:rFonts w:ascii="Times New Roman" w:hAnsi="Times New Roman"/>
                <w:b/>
                <w:sz w:val="24"/>
              </w:rPr>
            </w:pPr>
            <w:r>
              <w:rPr>
                <w:rFonts w:ascii="Times New Roman" w:hAnsi="宋体"/>
                <w:b/>
                <w:sz w:val="24"/>
              </w:rPr>
              <w:t>表</w:t>
            </w:r>
            <w:r>
              <w:rPr>
                <w:rFonts w:ascii="Times New Roman" w:hAnsi="Times New Roman"/>
                <w:b/>
                <w:sz w:val="24"/>
              </w:rPr>
              <w:t>4-1</w:t>
            </w:r>
            <w:r>
              <w:rPr>
                <w:rFonts w:ascii="Times New Roman" w:hAnsi="Times New Roman"/>
                <w:b/>
                <w:snapToGrid w:val="0"/>
                <w:sz w:val="24"/>
              </w:rPr>
              <w:t xml:space="preserve"> </w:t>
            </w:r>
            <w:r>
              <w:rPr>
                <w:rFonts w:ascii="Times New Roman" w:hAnsi="宋体"/>
                <w:b/>
                <w:snapToGrid w:val="0"/>
                <w:sz w:val="24"/>
              </w:rPr>
              <w:t>本项目废水污染源源强核算结果及相关参数一览表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020"/>
              <w:gridCol w:w="1287"/>
              <w:gridCol w:w="1025"/>
              <w:gridCol w:w="1260"/>
              <w:gridCol w:w="1200"/>
              <w:gridCol w:w="1054"/>
              <w:gridCol w:w="1411"/>
              <w:gridCol w:w="1552"/>
              <w:gridCol w:w="1567"/>
            </w:tblGrid>
            <w:tr w14:paraId="7BF00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restart"/>
                  <w:noWrap w:val="0"/>
                  <w:vAlign w:val="center"/>
                </w:tcPr>
                <w:p w14:paraId="570EA9EF">
                  <w:pPr>
                    <w:pStyle w:val="166"/>
                    <w:autoSpaceDE w:val="0"/>
                    <w:autoSpaceDN w:val="0"/>
                    <w:spacing w:line="0" w:lineRule="atLeast"/>
                    <w:jc w:val="center"/>
                    <w:rPr>
                      <w:rFonts w:ascii="Times New Roman" w:hAnsi="Times New Roman"/>
                      <w:b/>
                      <w:bCs/>
                      <w:color w:val="auto"/>
                      <w:sz w:val="21"/>
                      <w:szCs w:val="21"/>
                      <w:lang w:eastAsia="zh-CN"/>
                    </w:rPr>
                  </w:pPr>
                  <w:bookmarkStart w:id="32" w:name="_Toc15390"/>
                  <w:r>
                    <w:rPr>
                      <w:rFonts w:ascii="Times New Roman" w:hAnsi="宋体"/>
                      <w:b/>
                      <w:bCs/>
                      <w:color w:val="auto"/>
                      <w:sz w:val="21"/>
                      <w:szCs w:val="21"/>
                      <w:lang w:eastAsia="zh-CN"/>
                    </w:rPr>
                    <w:t>废水类型</w:t>
                  </w:r>
                </w:p>
              </w:tc>
              <w:tc>
                <w:tcPr>
                  <w:tcW w:w="412" w:type="pct"/>
                  <w:vMerge w:val="restart"/>
                  <w:noWrap w:val="0"/>
                  <w:vAlign w:val="center"/>
                </w:tcPr>
                <w:p w14:paraId="743C28E6">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废水量</w:t>
                  </w:r>
                  <w:r>
                    <w:rPr>
                      <w:rFonts w:ascii="Times New Roman" w:hAnsi="Times New Roman"/>
                      <w:b/>
                      <w:bCs/>
                      <w:color w:val="auto"/>
                      <w:sz w:val="21"/>
                      <w:szCs w:val="21"/>
                      <w:lang w:eastAsia="zh-CN"/>
                    </w:rPr>
                    <w:t>(m³/a)</w:t>
                  </w:r>
                </w:p>
              </w:tc>
              <w:tc>
                <w:tcPr>
                  <w:tcW w:w="520" w:type="pct"/>
                  <w:vMerge w:val="restart"/>
                  <w:noWrap w:val="0"/>
                  <w:vAlign w:val="center"/>
                </w:tcPr>
                <w:p w14:paraId="5092134A">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污染物名称</w:t>
                  </w:r>
                </w:p>
              </w:tc>
              <w:tc>
                <w:tcPr>
                  <w:tcW w:w="414" w:type="pct"/>
                  <w:vMerge w:val="restart"/>
                  <w:noWrap w:val="0"/>
                  <w:vAlign w:val="center"/>
                </w:tcPr>
                <w:p w14:paraId="312E1AC3">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浓度</w:t>
                  </w:r>
                  <w:r>
                    <w:rPr>
                      <w:rFonts w:ascii="Times New Roman" w:hAnsi="Times New Roman"/>
                      <w:b/>
                      <w:bCs/>
                      <w:color w:val="auto"/>
                      <w:sz w:val="21"/>
                      <w:szCs w:val="21"/>
                      <w:lang w:eastAsia="zh-CN"/>
                    </w:rPr>
                    <w:t>(mg/L)</w:t>
                  </w:r>
                </w:p>
              </w:tc>
              <w:tc>
                <w:tcPr>
                  <w:tcW w:w="509" w:type="pct"/>
                  <w:vMerge w:val="restart"/>
                  <w:noWrap w:val="0"/>
                  <w:vAlign w:val="center"/>
                </w:tcPr>
                <w:p w14:paraId="2D441566">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产生量</w:t>
                  </w:r>
                </w:p>
                <w:p w14:paraId="50EC3849">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w:t>
                  </w:r>
                  <w:r>
                    <w:rPr>
                      <w:rFonts w:ascii="Times New Roman" w:hAnsi="Times New Roman"/>
                      <w:b/>
                      <w:bCs/>
                      <w:color w:val="auto"/>
                      <w:sz w:val="21"/>
                      <w:szCs w:val="21"/>
                      <w:lang w:eastAsia="zh-CN"/>
                    </w:rPr>
                    <w:t>t/a</w:t>
                  </w:r>
                  <w:r>
                    <w:rPr>
                      <w:rFonts w:ascii="Times New Roman" w:hAnsi="宋体"/>
                      <w:b/>
                      <w:bCs/>
                      <w:color w:val="auto"/>
                      <w:sz w:val="21"/>
                      <w:szCs w:val="21"/>
                      <w:lang w:eastAsia="zh-CN"/>
                    </w:rPr>
                    <w:t>）</w:t>
                  </w:r>
                </w:p>
              </w:tc>
              <w:tc>
                <w:tcPr>
                  <w:tcW w:w="911" w:type="pct"/>
                  <w:gridSpan w:val="2"/>
                  <w:noWrap w:val="0"/>
                  <w:vAlign w:val="center"/>
                </w:tcPr>
                <w:p w14:paraId="3977F0EF">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处理措施</w:t>
                  </w:r>
                </w:p>
              </w:tc>
              <w:tc>
                <w:tcPr>
                  <w:tcW w:w="1197" w:type="pct"/>
                  <w:gridSpan w:val="2"/>
                  <w:noWrap w:val="0"/>
                  <w:vAlign w:val="center"/>
                </w:tcPr>
                <w:p w14:paraId="0D39D418">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污染物接管</w:t>
                  </w:r>
                </w:p>
              </w:tc>
              <w:tc>
                <w:tcPr>
                  <w:tcW w:w="633" w:type="pct"/>
                  <w:vMerge w:val="restart"/>
                  <w:noWrap w:val="0"/>
                  <w:vAlign w:val="center"/>
                </w:tcPr>
                <w:p w14:paraId="70252A44">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排放去向</w:t>
                  </w:r>
                </w:p>
              </w:tc>
            </w:tr>
            <w:tr w14:paraId="48750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Merge w:val="continue"/>
                  <w:noWrap w:val="0"/>
                  <w:vAlign w:val="center"/>
                </w:tcPr>
                <w:p w14:paraId="3F2809A5">
                  <w:pPr>
                    <w:pStyle w:val="166"/>
                    <w:autoSpaceDE w:val="0"/>
                    <w:autoSpaceDN w:val="0"/>
                    <w:spacing w:line="0" w:lineRule="atLeast"/>
                    <w:jc w:val="center"/>
                    <w:rPr>
                      <w:rFonts w:ascii="Times New Roman" w:hAnsi="Times New Roman"/>
                      <w:b/>
                      <w:bCs/>
                      <w:color w:val="auto"/>
                      <w:sz w:val="21"/>
                      <w:szCs w:val="21"/>
                      <w:lang w:eastAsia="zh-CN"/>
                    </w:rPr>
                  </w:pPr>
                </w:p>
              </w:tc>
              <w:tc>
                <w:tcPr>
                  <w:tcW w:w="412" w:type="pct"/>
                  <w:vMerge w:val="continue"/>
                  <w:noWrap w:val="0"/>
                  <w:vAlign w:val="center"/>
                </w:tcPr>
                <w:p w14:paraId="3C15C25C">
                  <w:pPr>
                    <w:pStyle w:val="166"/>
                    <w:autoSpaceDE w:val="0"/>
                    <w:autoSpaceDN w:val="0"/>
                    <w:spacing w:line="0" w:lineRule="atLeast"/>
                    <w:jc w:val="center"/>
                    <w:rPr>
                      <w:rFonts w:ascii="Times New Roman" w:hAnsi="Times New Roman"/>
                      <w:b/>
                      <w:bCs/>
                      <w:color w:val="auto"/>
                      <w:sz w:val="21"/>
                      <w:szCs w:val="21"/>
                      <w:lang w:eastAsia="zh-CN"/>
                    </w:rPr>
                  </w:pPr>
                </w:p>
              </w:tc>
              <w:tc>
                <w:tcPr>
                  <w:tcW w:w="520" w:type="pct"/>
                  <w:vMerge w:val="continue"/>
                  <w:noWrap w:val="0"/>
                  <w:vAlign w:val="center"/>
                </w:tcPr>
                <w:p w14:paraId="3337D8BA">
                  <w:pPr>
                    <w:pStyle w:val="166"/>
                    <w:autoSpaceDE w:val="0"/>
                    <w:autoSpaceDN w:val="0"/>
                    <w:spacing w:line="0" w:lineRule="atLeast"/>
                    <w:jc w:val="center"/>
                    <w:rPr>
                      <w:rFonts w:ascii="Times New Roman" w:hAnsi="Times New Roman"/>
                      <w:b/>
                      <w:bCs/>
                      <w:color w:val="auto"/>
                      <w:sz w:val="21"/>
                      <w:szCs w:val="21"/>
                      <w:lang w:eastAsia="zh-CN"/>
                    </w:rPr>
                  </w:pPr>
                </w:p>
              </w:tc>
              <w:tc>
                <w:tcPr>
                  <w:tcW w:w="414" w:type="pct"/>
                  <w:vMerge w:val="continue"/>
                  <w:noWrap w:val="0"/>
                  <w:vAlign w:val="center"/>
                </w:tcPr>
                <w:p w14:paraId="3686FF8F">
                  <w:pPr>
                    <w:pStyle w:val="166"/>
                    <w:autoSpaceDE w:val="0"/>
                    <w:autoSpaceDN w:val="0"/>
                    <w:spacing w:line="0" w:lineRule="atLeast"/>
                    <w:jc w:val="center"/>
                    <w:rPr>
                      <w:rFonts w:ascii="Times New Roman" w:hAnsi="Times New Roman"/>
                      <w:b/>
                      <w:bCs/>
                      <w:color w:val="auto"/>
                      <w:sz w:val="21"/>
                      <w:szCs w:val="21"/>
                      <w:lang w:eastAsia="zh-CN"/>
                    </w:rPr>
                  </w:pPr>
                </w:p>
              </w:tc>
              <w:tc>
                <w:tcPr>
                  <w:tcW w:w="509" w:type="pct"/>
                  <w:vMerge w:val="continue"/>
                  <w:noWrap w:val="0"/>
                  <w:vAlign w:val="center"/>
                </w:tcPr>
                <w:p w14:paraId="7524B668">
                  <w:pPr>
                    <w:pStyle w:val="166"/>
                    <w:autoSpaceDE w:val="0"/>
                    <w:autoSpaceDN w:val="0"/>
                    <w:spacing w:line="0" w:lineRule="atLeast"/>
                    <w:jc w:val="center"/>
                    <w:rPr>
                      <w:rFonts w:ascii="Times New Roman" w:hAnsi="Times New Roman"/>
                      <w:b/>
                      <w:bCs/>
                      <w:color w:val="auto"/>
                      <w:sz w:val="21"/>
                      <w:szCs w:val="21"/>
                      <w:lang w:eastAsia="zh-CN"/>
                    </w:rPr>
                  </w:pPr>
                </w:p>
              </w:tc>
              <w:tc>
                <w:tcPr>
                  <w:tcW w:w="485" w:type="pct"/>
                  <w:noWrap w:val="0"/>
                  <w:vAlign w:val="center"/>
                </w:tcPr>
                <w:p w14:paraId="148D6906">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工艺</w:t>
                  </w:r>
                </w:p>
              </w:tc>
              <w:tc>
                <w:tcPr>
                  <w:tcW w:w="426" w:type="pct"/>
                  <w:noWrap w:val="0"/>
                  <w:vAlign w:val="center"/>
                </w:tcPr>
                <w:p w14:paraId="3F207E89">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效率</w:t>
                  </w:r>
                  <w:r>
                    <w:rPr>
                      <w:rFonts w:ascii="Times New Roman" w:hAnsi="Times New Roman"/>
                      <w:b/>
                      <w:bCs/>
                      <w:color w:val="auto"/>
                      <w:sz w:val="21"/>
                      <w:szCs w:val="21"/>
                      <w:lang w:eastAsia="zh-CN"/>
                    </w:rPr>
                    <w:t>%</w:t>
                  </w:r>
                </w:p>
              </w:tc>
              <w:tc>
                <w:tcPr>
                  <w:tcW w:w="570" w:type="pct"/>
                  <w:noWrap w:val="0"/>
                  <w:vAlign w:val="top"/>
                </w:tcPr>
                <w:p w14:paraId="04874F99">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浓度</w:t>
                  </w:r>
                  <w:r>
                    <w:rPr>
                      <w:rFonts w:ascii="Times New Roman" w:hAnsi="Times New Roman"/>
                      <w:b/>
                      <w:bCs/>
                      <w:color w:val="auto"/>
                      <w:sz w:val="21"/>
                      <w:szCs w:val="21"/>
                      <w:lang w:eastAsia="zh-CN"/>
                    </w:rPr>
                    <w:t>(mg/L)</w:t>
                  </w:r>
                </w:p>
              </w:tc>
              <w:tc>
                <w:tcPr>
                  <w:tcW w:w="627" w:type="pct"/>
                  <w:noWrap w:val="0"/>
                  <w:vAlign w:val="top"/>
                </w:tcPr>
                <w:p w14:paraId="17D75777">
                  <w:pPr>
                    <w:pStyle w:val="166"/>
                    <w:autoSpaceDE w:val="0"/>
                    <w:autoSpaceDN w:val="0"/>
                    <w:spacing w:line="0" w:lineRule="atLeast"/>
                    <w:jc w:val="center"/>
                    <w:rPr>
                      <w:rFonts w:ascii="Times New Roman" w:hAnsi="Times New Roman"/>
                      <w:b/>
                      <w:bCs/>
                      <w:color w:val="auto"/>
                      <w:sz w:val="21"/>
                      <w:szCs w:val="21"/>
                      <w:lang w:eastAsia="zh-CN"/>
                    </w:rPr>
                  </w:pPr>
                  <w:r>
                    <w:rPr>
                      <w:rFonts w:ascii="Times New Roman" w:hAnsi="宋体"/>
                      <w:b/>
                      <w:bCs/>
                      <w:color w:val="auto"/>
                      <w:sz w:val="21"/>
                      <w:szCs w:val="21"/>
                      <w:lang w:eastAsia="zh-CN"/>
                    </w:rPr>
                    <w:t>接管量（</w:t>
                  </w:r>
                  <w:r>
                    <w:rPr>
                      <w:rFonts w:ascii="Times New Roman" w:hAnsi="Times New Roman"/>
                      <w:b/>
                      <w:bCs/>
                      <w:color w:val="auto"/>
                      <w:sz w:val="21"/>
                      <w:szCs w:val="21"/>
                      <w:lang w:eastAsia="zh-CN"/>
                    </w:rPr>
                    <w:t>t/a</w:t>
                  </w:r>
                  <w:r>
                    <w:rPr>
                      <w:rFonts w:ascii="Times New Roman" w:hAnsi="宋体"/>
                      <w:b/>
                      <w:bCs/>
                      <w:color w:val="auto"/>
                      <w:sz w:val="21"/>
                      <w:szCs w:val="21"/>
                      <w:lang w:eastAsia="zh-CN"/>
                    </w:rPr>
                    <w:t>）</w:t>
                  </w:r>
                </w:p>
              </w:tc>
              <w:tc>
                <w:tcPr>
                  <w:tcW w:w="633" w:type="pct"/>
                  <w:vMerge w:val="continue"/>
                  <w:noWrap w:val="0"/>
                  <w:vAlign w:val="center"/>
                </w:tcPr>
                <w:p w14:paraId="49E86A18">
                  <w:pPr>
                    <w:pStyle w:val="166"/>
                    <w:autoSpaceDE w:val="0"/>
                    <w:autoSpaceDN w:val="0"/>
                    <w:spacing w:line="0" w:lineRule="atLeast"/>
                    <w:jc w:val="center"/>
                    <w:rPr>
                      <w:rFonts w:ascii="Times New Roman" w:hAnsi="Times New Roman"/>
                      <w:b/>
                      <w:bCs/>
                      <w:color w:val="auto"/>
                      <w:sz w:val="21"/>
                      <w:szCs w:val="21"/>
                      <w:lang w:eastAsia="zh-CN"/>
                    </w:rPr>
                  </w:pPr>
                </w:p>
              </w:tc>
            </w:tr>
            <w:tr w14:paraId="29C6B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restart"/>
                  <w:noWrap w:val="0"/>
                  <w:vAlign w:val="center"/>
                </w:tcPr>
                <w:p w14:paraId="36133521">
                  <w:pPr>
                    <w:pStyle w:val="166"/>
                    <w:autoSpaceDE w:val="0"/>
                    <w:autoSpaceDN w:val="0"/>
                    <w:spacing w:line="0" w:lineRule="atLeast"/>
                    <w:jc w:val="center"/>
                    <w:rPr>
                      <w:rFonts w:ascii="Times New Roman" w:hAnsi="Times New Roman"/>
                      <w:color w:val="auto"/>
                      <w:sz w:val="21"/>
                      <w:szCs w:val="21"/>
                      <w:lang w:eastAsia="zh-CN"/>
                    </w:rPr>
                  </w:pPr>
                  <w:r>
                    <w:rPr>
                      <w:rFonts w:ascii="Times New Roman" w:hAnsi="宋体"/>
                      <w:color w:val="auto"/>
                      <w:sz w:val="21"/>
                      <w:szCs w:val="21"/>
                      <w:lang w:eastAsia="zh-CN"/>
                    </w:rPr>
                    <w:t>生活污水</w:t>
                  </w:r>
                </w:p>
              </w:tc>
              <w:tc>
                <w:tcPr>
                  <w:tcW w:w="412" w:type="pct"/>
                  <w:vMerge w:val="restart"/>
                  <w:noWrap w:val="0"/>
                  <w:vAlign w:val="center"/>
                </w:tcPr>
                <w:p w14:paraId="27212E94">
                  <w:pPr>
                    <w:pStyle w:val="166"/>
                    <w:autoSpaceDE w:val="0"/>
                    <w:autoSpaceDN w:val="0"/>
                    <w:spacing w:line="0" w:lineRule="atLeast"/>
                    <w:jc w:val="center"/>
                    <w:rPr>
                      <w:rFonts w:hint="default" w:ascii="Times New Roman" w:hAnsi="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472.5</w:t>
                  </w:r>
                </w:p>
              </w:tc>
              <w:tc>
                <w:tcPr>
                  <w:tcW w:w="520" w:type="pct"/>
                  <w:noWrap w:val="0"/>
                  <w:vAlign w:val="center"/>
                </w:tcPr>
                <w:p w14:paraId="701F1A6B">
                  <w:pPr>
                    <w:jc w:val="center"/>
                    <w:rPr>
                      <w:rFonts w:ascii="Times New Roman" w:hAnsi="Times New Roman"/>
                      <w:color w:val="auto"/>
                      <w:szCs w:val="21"/>
                    </w:rPr>
                  </w:pPr>
                  <w:r>
                    <w:rPr>
                      <w:rFonts w:ascii="Times New Roman" w:hAnsi="Times New Roman"/>
                      <w:color w:val="auto"/>
                      <w:szCs w:val="21"/>
                    </w:rPr>
                    <w:t>COD</w:t>
                  </w:r>
                </w:p>
              </w:tc>
              <w:tc>
                <w:tcPr>
                  <w:tcW w:w="414" w:type="pct"/>
                  <w:noWrap w:val="0"/>
                  <w:vAlign w:val="center"/>
                </w:tcPr>
                <w:p w14:paraId="42B349B2">
                  <w:pPr>
                    <w:jc w:val="center"/>
                    <w:rPr>
                      <w:rFonts w:ascii="Times New Roman" w:hAnsi="Times New Roman"/>
                      <w:color w:val="auto"/>
                      <w:szCs w:val="21"/>
                    </w:rPr>
                  </w:pPr>
                  <w:r>
                    <w:rPr>
                      <w:rFonts w:ascii="Times New Roman" w:hAnsi="Times New Roman"/>
                      <w:color w:val="auto"/>
                      <w:szCs w:val="21"/>
                    </w:rPr>
                    <w:t>350</w:t>
                  </w:r>
                </w:p>
              </w:tc>
              <w:tc>
                <w:tcPr>
                  <w:tcW w:w="1260" w:type="dxa"/>
                  <w:noWrap w:val="0"/>
                  <w:vAlign w:val="center"/>
                </w:tcPr>
                <w:p w14:paraId="29F366AD">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0.165</w:t>
                  </w:r>
                  <w:r>
                    <w:rPr>
                      <w:rFonts w:hint="eastAsia"/>
                      <w:color w:val="auto"/>
                      <w:szCs w:val="21"/>
                      <w:lang w:val="en-US" w:eastAsia="zh-CN"/>
                    </w:rPr>
                    <w:t>4</w:t>
                  </w:r>
                </w:p>
              </w:tc>
              <w:tc>
                <w:tcPr>
                  <w:tcW w:w="485" w:type="pct"/>
                  <w:vMerge w:val="restart"/>
                  <w:noWrap w:val="0"/>
                  <w:vAlign w:val="center"/>
                </w:tcPr>
                <w:p w14:paraId="698372B3">
                  <w:pPr>
                    <w:pStyle w:val="166"/>
                    <w:autoSpaceDE w:val="0"/>
                    <w:autoSpaceDN w:val="0"/>
                    <w:adjustRightInd w:val="0"/>
                    <w:snapToGrid w:val="0"/>
                    <w:jc w:val="center"/>
                    <w:rPr>
                      <w:rFonts w:ascii="Times New Roman" w:hAnsi="Times New Roman"/>
                      <w:color w:val="auto"/>
                      <w:sz w:val="21"/>
                      <w:szCs w:val="21"/>
                      <w:lang w:eastAsia="zh-CN"/>
                    </w:rPr>
                  </w:pPr>
                  <w:r>
                    <w:rPr>
                      <w:rFonts w:ascii="Times New Roman" w:hAnsi="宋体"/>
                      <w:color w:val="auto"/>
                      <w:sz w:val="21"/>
                      <w:szCs w:val="21"/>
                      <w:lang w:eastAsia="zh-CN"/>
                    </w:rPr>
                    <w:t>化粪池</w:t>
                  </w:r>
                </w:p>
              </w:tc>
              <w:tc>
                <w:tcPr>
                  <w:tcW w:w="426" w:type="pct"/>
                  <w:noWrap w:val="0"/>
                  <w:vAlign w:val="center"/>
                </w:tcPr>
                <w:p w14:paraId="4DDD31D9">
                  <w:pPr>
                    <w:adjustRightInd w:val="0"/>
                    <w:snapToGrid w:val="0"/>
                    <w:jc w:val="center"/>
                    <w:rPr>
                      <w:rFonts w:ascii="Times New Roman" w:hAnsi="Times New Roman"/>
                      <w:color w:val="auto"/>
                      <w:kern w:val="0"/>
                      <w:szCs w:val="21"/>
                    </w:rPr>
                  </w:pPr>
                  <w:r>
                    <w:rPr>
                      <w:rFonts w:ascii="Times New Roman" w:hAnsi="Times New Roman"/>
                      <w:color w:val="auto"/>
                      <w:szCs w:val="21"/>
                    </w:rPr>
                    <w:t>20</w:t>
                  </w:r>
                </w:p>
              </w:tc>
              <w:tc>
                <w:tcPr>
                  <w:tcW w:w="570" w:type="pct"/>
                  <w:noWrap w:val="0"/>
                  <w:vAlign w:val="center"/>
                </w:tcPr>
                <w:p w14:paraId="7D0E9BE1">
                  <w:pPr>
                    <w:adjustRightInd w:val="0"/>
                    <w:snapToGrid w:val="0"/>
                    <w:jc w:val="center"/>
                    <w:rPr>
                      <w:rFonts w:ascii="Times New Roman" w:hAnsi="Times New Roman"/>
                      <w:color w:val="auto"/>
                      <w:szCs w:val="21"/>
                    </w:rPr>
                  </w:pPr>
                  <w:r>
                    <w:rPr>
                      <w:rFonts w:ascii="Times New Roman" w:hAnsi="Times New Roman"/>
                      <w:color w:val="auto"/>
                      <w:szCs w:val="21"/>
                    </w:rPr>
                    <w:t>280</w:t>
                  </w:r>
                </w:p>
              </w:tc>
              <w:tc>
                <w:tcPr>
                  <w:tcW w:w="1552" w:type="dxa"/>
                  <w:noWrap w:val="0"/>
                  <w:vAlign w:val="center"/>
                </w:tcPr>
                <w:p w14:paraId="75553E44">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0.1323</w:t>
                  </w:r>
                </w:p>
              </w:tc>
              <w:tc>
                <w:tcPr>
                  <w:tcW w:w="633" w:type="pct"/>
                  <w:vMerge w:val="restart"/>
                  <w:noWrap w:val="0"/>
                  <w:vAlign w:val="center"/>
                </w:tcPr>
                <w:p w14:paraId="52799362">
                  <w:pPr>
                    <w:pStyle w:val="166"/>
                    <w:autoSpaceDE w:val="0"/>
                    <w:autoSpaceDN w:val="0"/>
                    <w:spacing w:line="0" w:lineRule="atLeast"/>
                    <w:jc w:val="center"/>
                    <w:rPr>
                      <w:rFonts w:ascii="Times New Roman" w:hAnsi="Times New Roman"/>
                      <w:color w:val="auto"/>
                      <w:sz w:val="21"/>
                      <w:szCs w:val="21"/>
                      <w:lang w:eastAsia="zh-CN"/>
                    </w:rPr>
                  </w:pPr>
                  <w:r>
                    <w:rPr>
                      <w:rFonts w:ascii="Times New Roman" w:hAnsi="宋体"/>
                      <w:color w:val="auto"/>
                      <w:sz w:val="21"/>
                      <w:szCs w:val="21"/>
                      <w:lang w:eastAsia="zh-CN"/>
                    </w:rPr>
                    <w:t>高沟镇污水处理厂</w:t>
                  </w:r>
                </w:p>
              </w:tc>
            </w:tr>
            <w:tr w14:paraId="00C02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14:paraId="21F10111">
                  <w:pPr>
                    <w:pStyle w:val="166"/>
                    <w:autoSpaceDE w:val="0"/>
                    <w:autoSpaceDN w:val="0"/>
                    <w:spacing w:line="0" w:lineRule="atLeast"/>
                    <w:jc w:val="center"/>
                    <w:rPr>
                      <w:rFonts w:ascii="Times New Roman" w:hAnsi="Times New Roman"/>
                      <w:color w:val="auto"/>
                      <w:sz w:val="21"/>
                      <w:szCs w:val="21"/>
                      <w:lang w:eastAsia="zh-CN"/>
                    </w:rPr>
                  </w:pPr>
                </w:p>
              </w:tc>
              <w:tc>
                <w:tcPr>
                  <w:tcW w:w="412" w:type="pct"/>
                  <w:vMerge w:val="continue"/>
                  <w:noWrap w:val="0"/>
                  <w:vAlign w:val="center"/>
                </w:tcPr>
                <w:p w14:paraId="4CD6B3BD">
                  <w:pPr>
                    <w:pStyle w:val="166"/>
                    <w:autoSpaceDE w:val="0"/>
                    <w:autoSpaceDN w:val="0"/>
                    <w:spacing w:line="0" w:lineRule="atLeast"/>
                    <w:jc w:val="center"/>
                    <w:rPr>
                      <w:rFonts w:ascii="Times New Roman" w:hAnsi="Times New Roman"/>
                      <w:color w:val="auto"/>
                      <w:sz w:val="21"/>
                      <w:szCs w:val="21"/>
                      <w:lang w:eastAsia="zh-CN"/>
                    </w:rPr>
                  </w:pPr>
                </w:p>
              </w:tc>
              <w:tc>
                <w:tcPr>
                  <w:tcW w:w="520" w:type="pct"/>
                  <w:noWrap w:val="0"/>
                  <w:vAlign w:val="center"/>
                </w:tcPr>
                <w:p w14:paraId="5AFA08F2">
                  <w:pPr>
                    <w:jc w:val="center"/>
                    <w:rPr>
                      <w:rFonts w:ascii="Times New Roman" w:hAnsi="Times New Roman"/>
                      <w:color w:val="auto"/>
                      <w:szCs w:val="21"/>
                    </w:rPr>
                  </w:pPr>
                  <w:r>
                    <w:rPr>
                      <w:rFonts w:ascii="Times New Roman" w:hAnsi="Times New Roman"/>
                      <w:color w:val="auto"/>
                      <w:szCs w:val="21"/>
                    </w:rPr>
                    <w:t>SS</w:t>
                  </w:r>
                </w:p>
              </w:tc>
              <w:tc>
                <w:tcPr>
                  <w:tcW w:w="414" w:type="pct"/>
                  <w:noWrap w:val="0"/>
                  <w:vAlign w:val="center"/>
                </w:tcPr>
                <w:p w14:paraId="2A93C3F6">
                  <w:pPr>
                    <w:jc w:val="center"/>
                    <w:rPr>
                      <w:rFonts w:ascii="Times New Roman" w:hAnsi="Times New Roman"/>
                      <w:color w:val="auto"/>
                      <w:szCs w:val="21"/>
                    </w:rPr>
                  </w:pPr>
                  <w:r>
                    <w:rPr>
                      <w:rFonts w:ascii="Times New Roman" w:hAnsi="Times New Roman"/>
                      <w:color w:val="auto"/>
                      <w:szCs w:val="21"/>
                    </w:rPr>
                    <w:t>200</w:t>
                  </w:r>
                </w:p>
              </w:tc>
              <w:tc>
                <w:tcPr>
                  <w:tcW w:w="1260" w:type="dxa"/>
                  <w:noWrap w:val="0"/>
                  <w:vAlign w:val="center"/>
                </w:tcPr>
                <w:p w14:paraId="626C2F8B">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0.0945</w:t>
                  </w:r>
                </w:p>
              </w:tc>
              <w:tc>
                <w:tcPr>
                  <w:tcW w:w="485" w:type="pct"/>
                  <w:vMerge w:val="continue"/>
                  <w:noWrap w:val="0"/>
                  <w:vAlign w:val="center"/>
                </w:tcPr>
                <w:p w14:paraId="6790380A">
                  <w:pPr>
                    <w:widowControl/>
                    <w:adjustRightInd w:val="0"/>
                    <w:snapToGrid w:val="0"/>
                    <w:jc w:val="center"/>
                    <w:textAlignment w:val="center"/>
                    <w:rPr>
                      <w:rFonts w:ascii="Times New Roman" w:hAnsi="Times New Roman"/>
                      <w:color w:val="auto"/>
                      <w:kern w:val="0"/>
                      <w:szCs w:val="21"/>
                    </w:rPr>
                  </w:pPr>
                </w:p>
              </w:tc>
              <w:tc>
                <w:tcPr>
                  <w:tcW w:w="426" w:type="pct"/>
                  <w:noWrap w:val="0"/>
                  <w:vAlign w:val="center"/>
                </w:tcPr>
                <w:p w14:paraId="653E6B91">
                  <w:pPr>
                    <w:adjustRightInd w:val="0"/>
                    <w:snapToGrid w:val="0"/>
                    <w:jc w:val="center"/>
                    <w:rPr>
                      <w:rFonts w:ascii="Times New Roman" w:hAnsi="Times New Roman"/>
                      <w:color w:val="auto"/>
                      <w:kern w:val="0"/>
                      <w:szCs w:val="21"/>
                    </w:rPr>
                  </w:pPr>
                  <w:r>
                    <w:rPr>
                      <w:rFonts w:ascii="Times New Roman" w:hAnsi="Times New Roman"/>
                      <w:color w:val="auto"/>
                      <w:szCs w:val="21"/>
                    </w:rPr>
                    <w:t>50</w:t>
                  </w:r>
                </w:p>
              </w:tc>
              <w:tc>
                <w:tcPr>
                  <w:tcW w:w="570" w:type="pct"/>
                  <w:noWrap w:val="0"/>
                  <w:vAlign w:val="center"/>
                </w:tcPr>
                <w:p w14:paraId="14D865EC">
                  <w:pPr>
                    <w:adjustRightInd w:val="0"/>
                    <w:snapToGrid w:val="0"/>
                    <w:jc w:val="center"/>
                    <w:rPr>
                      <w:rFonts w:ascii="Times New Roman" w:hAnsi="Times New Roman"/>
                      <w:color w:val="auto"/>
                      <w:szCs w:val="21"/>
                    </w:rPr>
                  </w:pPr>
                  <w:r>
                    <w:rPr>
                      <w:rFonts w:ascii="Times New Roman" w:hAnsi="Times New Roman"/>
                      <w:color w:val="auto"/>
                      <w:szCs w:val="21"/>
                    </w:rPr>
                    <w:t>100</w:t>
                  </w:r>
                </w:p>
              </w:tc>
              <w:tc>
                <w:tcPr>
                  <w:tcW w:w="1552" w:type="dxa"/>
                  <w:noWrap w:val="0"/>
                  <w:vAlign w:val="center"/>
                </w:tcPr>
                <w:p w14:paraId="310F1B0F">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0.047</w:t>
                  </w:r>
                  <w:r>
                    <w:rPr>
                      <w:rFonts w:hint="eastAsia"/>
                      <w:color w:val="auto"/>
                      <w:szCs w:val="21"/>
                      <w:lang w:val="en-US" w:eastAsia="zh-CN"/>
                    </w:rPr>
                    <w:t>3</w:t>
                  </w:r>
                </w:p>
              </w:tc>
              <w:tc>
                <w:tcPr>
                  <w:tcW w:w="633" w:type="pct"/>
                  <w:vMerge w:val="continue"/>
                  <w:noWrap w:val="0"/>
                  <w:vAlign w:val="center"/>
                </w:tcPr>
                <w:p w14:paraId="3284B8B6">
                  <w:pPr>
                    <w:pStyle w:val="166"/>
                    <w:autoSpaceDE w:val="0"/>
                    <w:autoSpaceDN w:val="0"/>
                    <w:spacing w:line="0" w:lineRule="atLeast"/>
                    <w:jc w:val="center"/>
                    <w:rPr>
                      <w:rFonts w:ascii="Times New Roman" w:hAnsi="Times New Roman"/>
                      <w:color w:val="auto"/>
                      <w:sz w:val="21"/>
                      <w:szCs w:val="21"/>
                      <w:lang w:eastAsia="zh-CN"/>
                    </w:rPr>
                  </w:pPr>
                </w:p>
              </w:tc>
            </w:tr>
            <w:tr w14:paraId="2E97F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14:paraId="43B03215">
                  <w:pPr>
                    <w:pStyle w:val="166"/>
                    <w:autoSpaceDE w:val="0"/>
                    <w:autoSpaceDN w:val="0"/>
                    <w:spacing w:line="0" w:lineRule="atLeast"/>
                    <w:jc w:val="center"/>
                    <w:rPr>
                      <w:rFonts w:ascii="Times New Roman" w:hAnsi="Times New Roman"/>
                      <w:color w:val="auto"/>
                      <w:sz w:val="21"/>
                      <w:szCs w:val="21"/>
                      <w:lang w:eastAsia="zh-CN"/>
                    </w:rPr>
                  </w:pPr>
                </w:p>
              </w:tc>
              <w:tc>
                <w:tcPr>
                  <w:tcW w:w="412" w:type="pct"/>
                  <w:vMerge w:val="continue"/>
                  <w:noWrap w:val="0"/>
                  <w:vAlign w:val="center"/>
                </w:tcPr>
                <w:p w14:paraId="335EC890">
                  <w:pPr>
                    <w:pStyle w:val="166"/>
                    <w:autoSpaceDE w:val="0"/>
                    <w:autoSpaceDN w:val="0"/>
                    <w:spacing w:line="0" w:lineRule="atLeast"/>
                    <w:jc w:val="center"/>
                    <w:rPr>
                      <w:rFonts w:ascii="Times New Roman" w:hAnsi="Times New Roman"/>
                      <w:color w:val="auto"/>
                      <w:sz w:val="21"/>
                      <w:szCs w:val="21"/>
                      <w:lang w:eastAsia="zh-CN"/>
                    </w:rPr>
                  </w:pPr>
                </w:p>
              </w:tc>
              <w:tc>
                <w:tcPr>
                  <w:tcW w:w="520" w:type="pct"/>
                  <w:noWrap w:val="0"/>
                  <w:vAlign w:val="center"/>
                </w:tcPr>
                <w:p w14:paraId="0C90CC3E">
                  <w:pPr>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414" w:type="pct"/>
                  <w:noWrap w:val="0"/>
                  <w:vAlign w:val="center"/>
                </w:tcPr>
                <w:p w14:paraId="63CC0E20">
                  <w:pPr>
                    <w:jc w:val="center"/>
                    <w:rPr>
                      <w:rFonts w:ascii="Times New Roman" w:hAnsi="Times New Roman"/>
                      <w:color w:val="auto"/>
                      <w:szCs w:val="21"/>
                    </w:rPr>
                  </w:pPr>
                  <w:r>
                    <w:rPr>
                      <w:rFonts w:ascii="Times New Roman" w:hAnsi="Times New Roman"/>
                      <w:color w:val="auto"/>
                      <w:szCs w:val="21"/>
                    </w:rPr>
                    <w:t>30</w:t>
                  </w:r>
                </w:p>
              </w:tc>
              <w:tc>
                <w:tcPr>
                  <w:tcW w:w="1260" w:type="dxa"/>
                  <w:noWrap w:val="0"/>
                  <w:vAlign w:val="center"/>
                </w:tcPr>
                <w:p w14:paraId="4A28B972">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0.014</w:t>
                  </w:r>
                  <w:r>
                    <w:rPr>
                      <w:rFonts w:hint="eastAsia"/>
                      <w:color w:val="auto"/>
                      <w:szCs w:val="21"/>
                      <w:lang w:val="en-US" w:eastAsia="zh-CN"/>
                    </w:rPr>
                    <w:t>2</w:t>
                  </w:r>
                </w:p>
              </w:tc>
              <w:tc>
                <w:tcPr>
                  <w:tcW w:w="485" w:type="pct"/>
                  <w:vMerge w:val="continue"/>
                  <w:noWrap w:val="0"/>
                  <w:vAlign w:val="center"/>
                </w:tcPr>
                <w:p w14:paraId="1FA3E023">
                  <w:pPr>
                    <w:widowControl/>
                    <w:adjustRightInd w:val="0"/>
                    <w:snapToGrid w:val="0"/>
                    <w:jc w:val="center"/>
                    <w:textAlignment w:val="center"/>
                    <w:rPr>
                      <w:rFonts w:ascii="Times New Roman" w:hAnsi="Times New Roman"/>
                      <w:color w:val="auto"/>
                      <w:kern w:val="0"/>
                      <w:szCs w:val="21"/>
                    </w:rPr>
                  </w:pPr>
                </w:p>
              </w:tc>
              <w:tc>
                <w:tcPr>
                  <w:tcW w:w="426" w:type="pct"/>
                  <w:noWrap w:val="0"/>
                  <w:vAlign w:val="top"/>
                </w:tcPr>
                <w:p w14:paraId="48F536E0">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0</w:t>
                  </w:r>
                </w:p>
              </w:tc>
              <w:tc>
                <w:tcPr>
                  <w:tcW w:w="570" w:type="pct"/>
                  <w:noWrap w:val="0"/>
                  <w:vAlign w:val="center"/>
                </w:tcPr>
                <w:p w14:paraId="3B0D63BB">
                  <w:pPr>
                    <w:adjustRightInd w:val="0"/>
                    <w:snapToGrid w:val="0"/>
                    <w:jc w:val="center"/>
                    <w:rPr>
                      <w:rFonts w:ascii="Times New Roman" w:hAnsi="Times New Roman"/>
                      <w:color w:val="auto"/>
                      <w:szCs w:val="21"/>
                    </w:rPr>
                  </w:pPr>
                  <w:r>
                    <w:rPr>
                      <w:rFonts w:ascii="Times New Roman" w:hAnsi="Times New Roman"/>
                      <w:color w:val="auto"/>
                      <w:szCs w:val="21"/>
                    </w:rPr>
                    <w:t>30</w:t>
                  </w:r>
                </w:p>
              </w:tc>
              <w:tc>
                <w:tcPr>
                  <w:tcW w:w="1552" w:type="dxa"/>
                  <w:noWrap w:val="0"/>
                  <w:vAlign w:val="center"/>
                </w:tcPr>
                <w:p w14:paraId="15B2D511">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0.014</w:t>
                  </w:r>
                  <w:r>
                    <w:rPr>
                      <w:rFonts w:hint="eastAsia"/>
                      <w:color w:val="auto"/>
                      <w:szCs w:val="21"/>
                      <w:lang w:val="en-US" w:eastAsia="zh-CN"/>
                    </w:rPr>
                    <w:t>2</w:t>
                  </w:r>
                </w:p>
              </w:tc>
              <w:tc>
                <w:tcPr>
                  <w:tcW w:w="633" w:type="pct"/>
                  <w:vMerge w:val="continue"/>
                  <w:noWrap w:val="0"/>
                  <w:vAlign w:val="center"/>
                </w:tcPr>
                <w:p w14:paraId="4812E8F3">
                  <w:pPr>
                    <w:pStyle w:val="166"/>
                    <w:autoSpaceDE w:val="0"/>
                    <w:autoSpaceDN w:val="0"/>
                    <w:spacing w:line="0" w:lineRule="atLeast"/>
                    <w:jc w:val="center"/>
                    <w:rPr>
                      <w:rFonts w:ascii="Times New Roman" w:hAnsi="Times New Roman"/>
                      <w:color w:val="auto"/>
                      <w:sz w:val="21"/>
                      <w:szCs w:val="21"/>
                      <w:lang w:eastAsia="zh-CN"/>
                    </w:rPr>
                  </w:pPr>
                </w:p>
              </w:tc>
            </w:tr>
            <w:tr w14:paraId="08CF4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14:paraId="0FD44D77">
                  <w:pPr>
                    <w:pStyle w:val="166"/>
                    <w:autoSpaceDE w:val="0"/>
                    <w:autoSpaceDN w:val="0"/>
                    <w:spacing w:line="0" w:lineRule="atLeast"/>
                    <w:jc w:val="center"/>
                    <w:rPr>
                      <w:rFonts w:ascii="Times New Roman" w:hAnsi="Times New Roman"/>
                      <w:color w:val="auto"/>
                      <w:sz w:val="21"/>
                      <w:szCs w:val="21"/>
                      <w:lang w:eastAsia="zh-CN"/>
                    </w:rPr>
                  </w:pPr>
                </w:p>
              </w:tc>
              <w:tc>
                <w:tcPr>
                  <w:tcW w:w="412" w:type="pct"/>
                  <w:vMerge w:val="continue"/>
                  <w:noWrap w:val="0"/>
                  <w:vAlign w:val="center"/>
                </w:tcPr>
                <w:p w14:paraId="0E7714D4">
                  <w:pPr>
                    <w:pStyle w:val="166"/>
                    <w:autoSpaceDE w:val="0"/>
                    <w:autoSpaceDN w:val="0"/>
                    <w:spacing w:line="0" w:lineRule="atLeast"/>
                    <w:jc w:val="center"/>
                    <w:rPr>
                      <w:rFonts w:ascii="Times New Roman" w:hAnsi="Times New Roman"/>
                      <w:color w:val="auto"/>
                      <w:sz w:val="21"/>
                      <w:szCs w:val="21"/>
                      <w:lang w:eastAsia="zh-CN"/>
                    </w:rPr>
                  </w:pPr>
                </w:p>
              </w:tc>
              <w:tc>
                <w:tcPr>
                  <w:tcW w:w="520" w:type="pct"/>
                  <w:noWrap w:val="0"/>
                  <w:vAlign w:val="center"/>
                </w:tcPr>
                <w:p w14:paraId="3442D935">
                  <w:pPr>
                    <w:jc w:val="center"/>
                    <w:rPr>
                      <w:rFonts w:ascii="Times New Roman" w:hAnsi="Times New Roman"/>
                      <w:color w:val="auto"/>
                      <w:szCs w:val="21"/>
                    </w:rPr>
                  </w:pPr>
                  <w:r>
                    <w:rPr>
                      <w:rFonts w:ascii="Times New Roman" w:hAnsi="Times New Roman"/>
                      <w:color w:val="auto"/>
                      <w:szCs w:val="21"/>
                    </w:rPr>
                    <w:t>TN</w:t>
                  </w:r>
                </w:p>
              </w:tc>
              <w:tc>
                <w:tcPr>
                  <w:tcW w:w="414" w:type="pct"/>
                  <w:noWrap w:val="0"/>
                  <w:vAlign w:val="center"/>
                </w:tcPr>
                <w:p w14:paraId="7553045A">
                  <w:pPr>
                    <w:jc w:val="center"/>
                    <w:rPr>
                      <w:rFonts w:ascii="Times New Roman" w:hAnsi="Times New Roman"/>
                      <w:color w:val="auto"/>
                      <w:szCs w:val="21"/>
                    </w:rPr>
                  </w:pPr>
                  <w:r>
                    <w:rPr>
                      <w:rFonts w:ascii="Times New Roman" w:hAnsi="Times New Roman"/>
                      <w:color w:val="auto"/>
                      <w:szCs w:val="21"/>
                    </w:rPr>
                    <w:t>40</w:t>
                  </w:r>
                </w:p>
              </w:tc>
              <w:tc>
                <w:tcPr>
                  <w:tcW w:w="1260" w:type="dxa"/>
                  <w:noWrap w:val="0"/>
                  <w:vAlign w:val="center"/>
                </w:tcPr>
                <w:p w14:paraId="3D94B5A3">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0.0189</w:t>
                  </w:r>
                </w:p>
              </w:tc>
              <w:tc>
                <w:tcPr>
                  <w:tcW w:w="485" w:type="pct"/>
                  <w:vMerge w:val="continue"/>
                  <w:noWrap w:val="0"/>
                  <w:vAlign w:val="center"/>
                </w:tcPr>
                <w:p w14:paraId="547977DE">
                  <w:pPr>
                    <w:widowControl/>
                    <w:adjustRightInd w:val="0"/>
                    <w:snapToGrid w:val="0"/>
                    <w:jc w:val="center"/>
                    <w:textAlignment w:val="center"/>
                    <w:rPr>
                      <w:rFonts w:ascii="Times New Roman" w:hAnsi="Times New Roman"/>
                      <w:color w:val="auto"/>
                      <w:kern w:val="0"/>
                      <w:szCs w:val="21"/>
                    </w:rPr>
                  </w:pPr>
                </w:p>
              </w:tc>
              <w:tc>
                <w:tcPr>
                  <w:tcW w:w="426" w:type="pct"/>
                  <w:noWrap w:val="0"/>
                  <w:vAlign w:val="center"/>
                </w:tcPr>
                <w:p w14:paraId="283C1170">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0</w:t>
                  </w:r>
                </w:p>
              </w:tc>
              <w:tc>
                <w:tcPr>
                  <w:tcW w:w="570" w:type="pct"/>
                  <w:noWrap w:val="0"/>
                  <w:vAlign w:val="center"/>
                </w:tcPr>
                <w:p w14:paraId="2192ECE9">
                  <w:pPr>
                    <w:adjustRightInd w:val="0"/>
                    <w:snapToGrid w:val="0"/>
                    <w:jc w:val="center"/>
                    <w:rPr>
                      <w:rFonts w:ascii="Times New Roman" w:hAnsi="Times New Roman"/>
                      <w:color w:val="auto"/>
                      <w:szCs w:val="21"/>
                    </w:rPr>
                  </w:pPr>
                  <w:r>
                    <w:rPr>
                      <w:rFonts w:ascii="Times New Roman" w:hAnsi="Times New Roman"/>
                      <w:color w:val="auto"/>
                      <w:szCs w:val="21"/>
                    </w:rPr>
                    <w:t>40</w:t>
                  </w:r>
                </w:p>
              </w:tc>
              <w:tc>
                <w:tcPr>
                  <w:tcW w:w="1552" w:type="dxa"/>
                  <w:noWrap w:val="0"/>
                  <w:vAlign w:val="center"/>
                </w:tcPr>
                <w:p w14:paraId="00E4A73A">
                  <w:pPr>
                    <w:jc w:val="center"/>
                    <w:rPr>
                      <w:rFonts w:ascii="Times New Roman" w:hAnsi="Times New Roman"/>
                      <w:color w:val="auto"/>
                      <w:szCs w:val="21"/>
                    </w:rPr>
                  </w:pPr>
                  <w:r>
                    <w:rPr>
                      <w:rFonts w:hint="eastAsia" w:ascii="Times New Roman" w:hAnsi="Times New Roman"/>
                      <w:color w:val="auto"/>
                      <w:szCs w:val="21"/>
                      <w:lang w:val="en-US" w:eastAsia="zh-CN"/>
                    </w:rPr>
                    <w:t>0.0189</w:t>
                  </w:r>
                </w:p>
              </w:tc>
              <w:tc>
                <w:tcPr>
                  <w:tcW w:w="633" w:type="pct"/>
                  <w:vMerge w:val="continue"/>
                  <w:noWrap w:val="0"/>
                  <w:vAlign w:val="center"/>
                </w:tcPr>
                <w:p w14:paraId="3D681343">
                  <w:pPr>
                    <w:pStyle w:val="166"/>
                    <w:autoSpaceDE w:val="0"/>
                    <w:autoSpaceDN w:val="0"/>
                    <w:spacing w:line="0" w:lineRule="atLeast"/>
                    <w:jc w:val="center"/>
                    <w:rPr>
                      <w:rFonts w:ascii="Times New Roman" w:hAnsi="Times New Roman"/>
                      <w:color w:val="auto"/>
                      <w:sz w:val="21"/>
                      <w:szCs w:val="21"/>
                      <w:lang w:eastAsia="zh-CN"/>
                    </w:rPr>
                  </w:pPr>
                </w:p>
              </w:tc>
            </w:tr>
            <w:tr w14:paraId="4A5A0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14:paraId="16BAFAB1">
                  <w:pPr>
                    <w:pStyle w:val="166"/>
                    <w:autoSpaceDE w:val="0"/>
                    <w:autoSpaceDN w:val="0"/>
                    <w:spacing w:line="0" w:lineRule="atLeast"/>
                    <w:jc w:val="center"/>
                    <w:rPr>
                      <w:rFonts w:ascii="Times New Roman" w:hAnsi="Times New Roman"/>
                      <w:color w:val="auto"/>
                      <w:sz w:val="21"/>
                      <w:szCs w:val="21"/>
                      <w:lang w:eastAsia="zh-CN"/>
                    </w:rPr>
                  </w:pPr>
                </w:p>
              </w:tc>
              <w:tc>
                <w:tcPr>
                  <w:tcW w:w="412" w:type="pct"/>
                  <w:vMerge w:val="continue"/>
                  <w:noWrap w:val="0"/>
                  <w:vAlign w:val="center"/>
                </w:tcPr>
                <w:p w14:paraId="5AC227D8">
                  <w:pPr>
                    <w:pStyle w:val="166"/>
                    <w:autoSpaceDE w:val="0"/>
                    <w:autoSpaceDN w:val="0"/>
                    <w:spacing w:line="0" w:lineRule="atLeast"/>
                    <w:jc w:val="center"/>
                    <w:rPr>
                      <w:rFonts w:ascii="Times New Roman" w:hAnsi="Times New Roman"/>
                      <w:color w:val="auto"/>
                      <w:sz w:val="21"/>
                      <w:szCs w:val="21"/>
                      <w:lang w:eastAsia="zh-CN"/>
                    </w:rPr>
                  </w:pPr>
                </w:p>
              </w:tc>
              <w:tc>
                <w:tcPr>
                  <w:tcW w:w="520" w:type="pct"/>
                  <w:noWrap w:val="0"/>
                  <w:vAlign w:val="center"/>
                </w:tcPr>
                <w:p w14:paraId="78D2F6B7">
                  <w:pPr>
                    <w:jc w:val="center"/>
                    <w:rPr>
                      <w:rFonts w:ascii="Times New Roman" w:hAnsi="Times New Roman"/>
                      <w:color w:val="auto"/>
                      <w:szCs w:val="21"/>
                    </w:rPr>
                  </w:pPr>
                  <w:r>
                    <w:rPr>
                      <w:rFonts w:ascii="Times New Roman" w:hAnsi="Times New Roman"/>
                      <w:color w:val="auto"/>
                      <w:szCs w:val="21"/>
                    </w:rPr>
                    <w:t>TP</w:t>
                  </w:r>
                </w:p>
              </w:tc>
              <w:tc>
                <w:tcPr>
                  <w:tcW w:w="414" w:type="pct"/>
                  <w:noWrap w:val="0"/>
                  <w:vAlign w:val="center"/>
                </w:tcPr>
                <w:p w14:paraId="334F5B4C">
                  <w:pPr>
                    <w:jc w:val="center"/>
                    <w:rPr>
                      <w:rFonts w:ascii="Times New Roman" w:hAnsi="Times New Roman"/>
                      <w:color w:val="auto"/>
                      <w:szCs w:val="21"/>
                    </w:rPr>
                  </w:pPr>
                  <w:r>
                    <w:rPr>
                      <w:rFonts w:ascii="Times New Roman" w:hAnsi="Times New Roman"/>
                      <w:color w:val="auto"/>
                      <w:szCs w:val="21"/>
                    </w:rPr>
                    <w:t>4</w:t>
                  </w:r>
                </w:p>
              </w:tc>
              <w:tc>
                <w:tcPr>
                  <w:tcW w:w="1260" w:type="dxa"/>
                  <w:noWrap w:val="0"/>
                  <w:vAlign w:val="center"/>
                </w:tcPr>
                <w:p w14:paraId="3E557F2C">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0.001</w:t>
                  </w:r>
                  <w:r>
                    <w:rPr>
                      <w:rFonts w:hint="eastAsia"/>
                      <w:color w:val="auto"/>
                      <w:szCs w:val="21"/>
                      <w:lang w:val="en-US" w:eastAsia="zh-CN"/>
                    </w:rPr>
                    <w:t>9</w:t>
                  </w:r>
                </w:p>
              </w:tc>
              <w:tc>
                <w:tcPr>
                  <w:tcW w:w="485" w:type="pct"/>
                  <w:vMerge w:val="continue"/>
                  <w:noWrap w:val="0"/>
                  <w:vAlign w:val="center"/>
                </w:tcPr>
                <w:p w14:paraId="7FEF9551">
                  <w:pPr>
                    <w:widowControl/>
                    <w:adjustRightInd w:val="0"/>
                    <w:snapToGrid w:val="0"/>
                    <w:jc w:val="center"/>
                    <w:textAlignment w:val="center"/>
                    <w:rPr>
                      <w:rFonts w:ascii="Times New Roman" w:hAnsi="Times New Roman"/>
                      <w:color w:val="auto"/>
                      <w:kern w:val="0"/>
                      <w:szCs w:val="21"/>
                    </w:rPr>
                  </w:pPr>
                </w:p>
              </w:tc>
              <w:tc>
                <w:tcPr>
                  <w:tcW w:w="426" w:type="pct"/>
                  <w:noWrap w:val="0"/>
                  <w:vAlign w:val="center"/>
                </w:tcPr>
                <w:p w14:paraId="07A428C5">
                  <w:pPr>
                    <w:widowControl/>
                    <w:adjustRightInd w:val="0"/>
                    <w:snapToGrid w:val="0"/>
                    <w:jc w:val="center"/>
                    <w:textAlignment w:val="center"/>
                    <w:rPr>
                      <w:rFonts w:ascii="Times New Roman" w:hAnsi="Times New Roman"/>
                      <w:color w:val="auto"/>
                      <w:kern w:val="0"/>
                      <w:szCs w:val="21"/>
                    </w:rPr>
                  </w:pPr>
                  <w:r>
                    <w:rPr>
                      <w:rFonts w:ascii="Times New Roman" w:hAnsi="Times New Roman"/>
                      <w:color w:val="auto"/>
                      <w:kern w:val="0"/>
                      <w:szCs w:val="21"/>
                    </w:rPr>
                    <w:t>0</w:t>
                  </w:r>
                </w:p>
              </w:tc>
              <w:tc>
                <w:tcPr>
                  <w:tcW w:w="570" w:type="pct"/>
                  <w:noWrap w:val="0"/>
                  <w:vAlign w:val="center"/>
                </w:tcPr>
                <w:p w14:paraId="5644282B">
                  <w:pPr>
                    <w:adjustRightInd w:val="0"/>
                    <w:snapToGrid w:val="0"/>
                    <w:jc w:val="center"/>
                    <w:rPr>
                      <w:rFonts w:ascii="Times New Roman" w:hAnsi="Times New Roman"/>
                      <w:color w:val="auto"/>
                      <w:szCs w:val="21"/>
                    </w:rPr>
                  </w:pPr>
                  <w:r>
                    <w:rPr>
                      <w:rFonts w:ascii="Times New Roman" w:hAnsi="Times New Roman"/>
                      <w:color w:val="auto"/>
                      <w:szCs w:val="21"/>
                    </w:rPr>
                    <w:t>4</w:t>
                  </w:r>
                </w:p>
              </w:tc>
              <w:tc>
                <w:tcPr>
                  <w:tcW w:w="1552" w:type="dxa"/>
                  <w:noWrap w:val="0"/>
                  <w:vAlign w:val="center"/>
                </w:tcPr>
                <w:p w14:paraId="2FC00C6D">
                  <w:pPr>
                    <w:jc w:val="center"/>
                    <w:rPr>
                      <w:rFonts w:ascii="Times New Roman" w:hAnsi="Times New Roman"/>
                      <w:color w:val="auto"/>
                      <w:szCs w:val="21"/>
                    </w:rPr>
                  </w:pPr>
                  <w:r>
                    <w:rPr>
                      <w:rFonts w:hint="eastAsia" w:ascii="Times New Roman" w:hAnsi="Times New Roman"/>
                      <w:color w:val="auto"/>
                      <w:szCs w:val="21"/>
                      <w:lang w:val="en-US" w:eastAsia="zh-CN"/>
                    </w:rPr>
                    <w:t>0.001</w:t>
                  </w:r>
                  <w:r>
                    <w:rPr>
                      <w:rFonts w:hint="eastAsia"/>
                      <w:color w:val="auto"/>
                      <w:szCs w:val="21"/>
                      <w:lang w:val="en-US" w:eastAsia="zh-CN"/>
                    </w:rPr>
                    <w:t>9</w:t>
                  </w:r>
                </w:p>
              </w:tc>
              <w:tc>
                <w:tcPr>
                  <w:tcW w:w="633" w:type="pct"/>
                  <w:vMerge w:val="continue"/>
                  <w:noWrap w:val="0"/>
                  <w:vAlign w:val="center"/>
                </w:tcPr>
                <w:p w14:paraId="43E9A6CF">
                  <w:pPr>
                    <w:pStyle w:val="166"/>
                    <w:autoSpaceDE w:val="0"/>
                    <w:autoSpaceDN w:val="0"/>
                    <w:spacing w:line="0" w:lineRule="atLeast"/>
                    <w:jc w:val="center"/>
                    <w:rPr>
                      <w:rFonts w:ascii="Times New Roman" w:hAnsi="Times New Roman"/>
                      <w:color w:val="auto"/>
                      <w:sz w:val="21"/>
                      <w:szCs w:val="21"/>
                      <w:lang w:eastAsia="zh-CN"/>
                    </w:rPr>
                  </w:pPr>
                </w:p>
              </w:tc>
            </w:tr>
            <w:bookmarkEnd w:id="32"/>
          </w:tbl>
          <w:p w14:paraId="7199B984">
            <w:pPr>
              <w:adjustRightInd w:val="0"/>
              <w:snapToGrid w:val="0"/>
              <w:jc w:val="center"/>
              <w:rPr>
                <w:rFonts w:ascii="Times New Roman" w:hAnsi="Times New Roman"/>
                <w:b/>
                <w:sz w:val="24"/>
              </w:rPr>
            </w:pPr>
            <w:r>
              <w:rPr>
                <w:rFonts w:ascii="Times New Roman" w:hAnsi="宋体"/>
                <w:b/>
                <w:sz w:val="24"/>
              </w:rPr>
              <w:t>表</w:t>
            </w:r>
            <w:r>
              <w:rPr>
                <w:rFonts w:ascii="Times New Roman" w:hAnsi="Times New Roman"/>
                <w:b/>
                <w:sz w:val="24"/>
              </w:rPr>
              <w:t>4-</w:t>
            </w:r>
            <w:r>
              <w:rPr>
                <w:rFonts w:hint="eastAsia" w:ascii="Times New Roman" w:hAnsi="Times New Roman"/>
                <w:b/>
                <w:sz w:val="24"/>
                <w:lang w:val="en-US" w:eastAsia="zh-CN"/>
              </w:rPr>
              <w:t>2</w:t>
            </w:r>
            <w:r>
              <w:rPr>
                <w:rFonts w:ascii="Times New Roman" w:hAnsi="Times New Roman"/>
                <w:b/>
                <w:sz w:val="24"/>
              </w:rPr>
              <w:t xml:space="preserve">  </w:t>
            </w:r>
            <w:r>
              <w:rPr>
                <w:rFonts w:ascii="Times New Roman" w:hAnsi="宋体"/>
                <w:b/>
                <w:sz w:val="24"/>
              </w:rPr>
              <w:t>项目废水类别、污染物及污染防治措施信息表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45"/>
              <w:gridCol w:w="1199"/>
              <w:gridCol w:w="1045"/>
              <w:gridCol w:w="939"/>
              <w:gridCol w:w="1288"/>
              <w:gridCol w:w="1246"/>
              <w:gridCol w:w="1196"/>
              <w:gridCol w:w="884"/>
              <w:gridCol w:w="1189"/>
              <w:gridCol w:w="1976"/>
            </w:tblGrid>
            <w:tr w14:paraId="69ADD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7" w:type="pct"/>
                  <w:vMerge w:val="restart"/>
                  <w:noWrap w:val="0"/>
                  <w:vAlign w:val="center"/>
                </w:tcPr>
                <w:p w14:paraId="70A06214">
                  <w:pPr>
                    <w:adjustRightInd w:val="0"/>
                    <w:snapToGrid w:val="0"/>
                    <w:jc w:val="center"/>
                    <w:rPr>
                      <w:rFonts w:ascii="Times New Roman" w:hAnsi="Times New Roman"/>
                      <w:b/>
                      <w:bCs/>
                      <w:szCs w:val="21"/>
                    </w:rPr>
                  </w:pPr>
                  <w:r>
                    <w:rPr>
                      <w:rFonts w:ascii="Times New Roman" w:hAnsi="宋体"/>
                      <w:b/>
                      <w:bCs/>
                      <w:szCs w:val="21"/>
                    </w:rPr>
                    <w:t>序号</w:t>
                  </w:r>
                </w:p>
              </w:tc>
              <w:tc>
                <w:tcPr>
                  <w:tcW w:w="341" w:type="pct"/>
                  <w:vMerge w:val="restart"/>
                  <w:noWrap w:val="0"/>
                  <w:vAlign w:val="center"/>
                </w:tcPr>
                <w:p w14:paraId="3D542E1D">
                  <w:pPr>
                    <w:adjustRightInd w:val="0"/>
                    <w:snapToGrid w:val="0"/>
                    <w:jc w:val="center"/>
                    <w:rPr>
                      <w:rFonts w:ascii="Times New Roman" w:hAnsi="Times New Roman"/>
                      <w:b/>
                      <w:bCs/>
                      <w:szCs w:val="21"/>
                    </w:rPr>
                  </w:pPr>
                  <w:r>
                    <w:rPr>
                      <w:rFonts w:ascii="Times New Roman" w:hAnsi="宋体"/>
                      <w:b/>
                      <w:bCs/>
                      <w:szCs w:val="21"/>
                    </w:rPr>
                    <w:t>废水类别</w:t>
                  </w:r>
                </w:p>
              </w:tc>
              <w:tc>
                <w:tcPr>
                  <w:tcW w:w="484" w:type="pct"/>
                  <w:vMerge w:val="restart"/>
                  <w:noWrap w:val="0"/>
                  <w:vAlign w:val="center"/>
                </w:tcPr>
                <w:p w14:paraId="3339957E">
                  <w:pPr>
                    <w:adjustRightInd w:val="0"/>
                    <w:snapToGrid w:val="0"/>
                    <w:jc w:val="center"/>
                    <w:rPr>
                      <w:rFonts w:ascii="Times New Roman" w:hAnsi="Times New Roman"/>
                      <w:b/>
                      <w:bCs/>
                      <w:szCs w:val="21"/>
                    </w:rPr>
                  </w:pPr>
                  <w:r>
                    <w:rPr>
                      <w:rFonts w:ascii="Times New Roman" w:hAnsi="宋体"/>
                      <w:b/>
                      <w:bCs/>
                      <w:szCs w:val="21"/>
                    </w:rPr>
                    <w:t>污染物种类</w:t>
                  </w:r>
                </w:p>
              </w:tc>
              <w:tc>
                <w:tcPr>
                  <w:tcW w:w="422" w:type="pct"/>
                  <w:vMerge w:val="restart"/>
                  <w:noWrap w:val="0"/>
                  <w:vAlign w:val="center"/>
                </w:tcPr>
                <w:p w14:paraId="372C69CE">
                  <w:pPr>
                    <w:adjustRightInd w:val="0"/>
                    <w:snapToGrid w:val="0"/>
                    <w:jc w:val="center"/>
                    <w:rPr>
                      <w:rFonts w:ascii="Times New Roman" w:hAnsi="Times New Roman"/>
                      <w:b/>
                      <w:bCs/>
                      <w:szCs w:val="21"/>
                    </w:rPr>
                  </w:pPr>
                  <w:r>
                    <w:rPr>
                      <w:rFonts w:ascii="Times New Roman" w:hAnsi="宋体"/>
                      <w:b/>
                      <w:bCs/>
                      <w:szCs w:val="21"/>
                    </w:rPr>
                    <w:t>排放</w:t>
                  </w:r>
                </w:p>
                <w:p w14:paraId="3E858B2C">
                  <w:pPr>
                    <w:adjustRightInd w:val="0"/>
                    <w:snapToGrid w:val="0"/>
                    <w:jc w:val="center"/>
                    <w:rPr>
                      <w:rFonts w:ascii="Times New Roman" w:hAnsi="Times New Roman"/>
                      <w:b/>
                      <w:bCs/>
                      <w:szCs w:val="21"/>
                    </w:rPr>
                  </w:pPr>
                  <w:r>
                    <w:rPr>
                      <w:rFonts w:ascii="Times New Roman" w:hAnsi="宋体"/>
                      <w:b/>
                      <w:bCs/>
                      <w:szCs w:val="21"/>
                    </w:rPr>
                    <w:t>去向</w:t>
                  </w:r>
                </w:p>
              </w:tc>
              <w:tc>
                <w:tcPr>
                  <w:tcW w:w="379" w:type="pct"/>
                  <w:vMerge w:val="restart"/>
                  <w:noWrap w:val="0"/>
                  <w:vAlign w:val="center"/>
                </w:tcPr>
                <w:p w14:paraId="5D8553BA">
                  <w:pPr>
                    <w:adjustRightInd w:val="0"/>
                    <w:snapToGrid w:val="0"/>
                    <w:jc w:val="center"/>
                    <w:rPr>
                      <w:rFonts w:ascii="Times New Roman" w:hAnsi="Times New Roman"/>
                      <w:b/>
                      <w:bCs/>
                      <w:szCs w:val="21"/>
                    </w:rPr>
                  </w:pPr>
                  <w:r>
                    <w:rPr>
                      <w:rFonts w:ascii="Times New Roman" w:hAnsi="宋体"/>
                      <w:b/>
                      <w:bCs/>
                      <w:szCs w:val="21"/>
                    </w:rPr>
                    <w:t>排放规律</w:t>
                  </w:r>
                </w:p>
              </w:tc>
              <w:tc>
                <w:tcPr>
                  <w:tcW w:w="1506" w:type="pct"/>
                  <w:gridSpan w:val="3"/>
                  <w:noWrap w:val="0"/>
                  <w:vAlign w:val="center"/>
                </w:tcPr>
                <w:p w14:paraId="5CCE34DC">
                  <w:pPr>
                    <w:adjustRightInd w:val="0"/>
                    <w:snapToGrid w:val="0"/>
                    <w:jc w:val="center"/>
                    <w:rPr>
                      <w:rFonts w:ascii="Times New Roman" w:hAnsi="Times New Roman"/>
                      <w:b/>
                      <w:bCs/>
                      <w:szCs w:val="21"/>
                    </w:rPr>
                  </w:pPr>
                  <w:r>
                    <w:rPr>
                      <w:rFonts w:ascii="Times New Roman" w:hAnsi="宋体"/>
                      <w:b/>
                      <w:bCs/>
                      <w:szCs w:val="21"/>
                    </w:rPr>
                    <w:t>污染治理设施</w:t>
                  </w:r>
                </w:p>
              </w:tc>
              <w:tc>
                <w:tcPr>
                  <w:tcW w:w="357" w:type="pct"/>
                  <w:vMerge w:val="restart"/>
                  <w:noWrap w:val="0"/>
                  <w:vAlign w:val="center"/>
                </w:tcPr>
                <w:p w14:paraId="5C3E24B2">
                  <w:pPr>
                    <w:adjustRightInd w:val="0"/>
                    <w:snapToGrid w:val="0"/>
                    <w:jc w:val="center"/>
                    <w:rPr>
                      <w:rFonts w:ascii="Times New Roman" w:hAnsi="Times New Roman"/>
                      <w:b/>
                      <w:bCs/>
                      <w:szCs w:val="21"/>
                    </w:rPr>
                  </w:pPr>
                  <w:r>
                    <w:rPr>
                      <w:rFonts w:ascii="Times New Roman" w:hAnsi="宋体"/>
                      <w:b/>
                      <w:bCs/>
                      <w:szCs w:val="21"/>
                    </w:rPr>
                    <w:t>排放口编号</w:t>
                  </w:r>
                </w:p>
              </w:tc>
              <w:tc>
                <w:tcPr>
                  <w:tcW w:w="480" w:type="pct"/>
                  <w:vMerge w:val="restart"/>
                  <w:noWrap w:val="0"/>
                  <w:vAlign w:val="center"/>
                </w:tcPr>
                <w:p w14:paraId="0AEB9BEB">
                  <w:pPr>
                    <w:adjustRightInd w:val="0"/>
                    <w:snapToGrid w:val="0"/>
                    <w:jc w:val="center"/>
                    <w:rPr>
                      <w:rFonts w:ascii="Times New Roman" w:hAnsi="Times New Roman"/>
                      <w:b/>
                      <w:bCs/>
                      <w:szCs w:val="21"/>
                    </w:rPr>
                  </w:pPr>
                  <w:r>
                    <w:rPr>
                      <w:rFonts w:ascii="Times New Roman" w:hAnsi="宋体"/>
                      <w:b/>
                      <w:bCs/>
                      <w:szCs w:val="21"/>
                    </w:rPr>
                    <w:t>排放口设置是否符合要求</w:t>
                  </w:r>
                </w:p>
              </w:tc>
              <w:tc>
                <w:tcPr>
                  <w:tcW w:w="798" w:type="pct"/>
                  <w:vMerge w:val="restart"/>
                  <w:noWrap w:val="0"/>
                  <w:vAlign w:val="center"/>
                </w:tcPr>
                <w:p w14:paraId="175804D5">
                  <w:pPr>
                    <w:adjustRightInd w:val="0"/>
                    <w:snapToGrid w:val="0"/>
                    <w:jc w:val="center"/>
                    <w:rPr>
                      <w:rFonts w:ascii="Times New Roman" w:hAnsi="Times New Roman"/>
                      <w:b/>
                      <w:bCs/>
                      <w:szCs w:val="21"/>
                    </w:rPr>
                  </w:pPr>
                  <w:r>
                    <w:rPr>
                      <w:rFonts w:ascii="Times New Roman" w:hAnsi="宋体"/>
                      <w:b/>
                      <w:bCs/>
                      <w:szCs w:val="21"/>
                    </w:rPr>
                    <w:t>排放口类型</w:t>
                  </w:r>
                </w:p>
              </w:tc>
            </w:tr>
            <w:tr w14:paraId="66610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7" w:type="pct"/>
                  <w:vMerge w:val="continue"/>
                  <w:noWrap w:val="0"/>
                  <w:vAlign w:val="center"/>
                </w:tcPr>
                <w:p w14:paraId="1C91E2DE">
                  <w:pPr>
                    <w:adjustRightInd w:val="0"/>
                    <w:snapToGrid w:val="0"/>
                    <w:jc w:val="center"/>
                    <w:rPr>
                      <w:rFonts w:ascii="Times New Roman" w:hAnsi="Times New Roman"/>
                      <w:szCs w:val="21"/>
                    </w:rPr>
                  </w:pPr>
                </w:p>
              </w:tc>
              <w:tc>
                <w:tcPr>
                  <w:tcW w:w="341" w:type="pct"/>
                  <w:vMerge w:val="continue"/>
                  <w:noWrap w:val="0"/>
                  <w:vAlign w:val="center"/>
                </w:tcPr>
                <w:p w14:paraId="2DC4FC20">
                  <w:pPr>
                    <w:adjustRightInd w:val="0"/>
                    <w:snapToGrid w:val="0"/>
                    <w:jc w:val="center"/>
                    <w:rPr>
                      <w:rFonts w:ascii="Times New Roman" w:hAnsi="Times New Roman"/>
                      <w:szCs w:val="21"/>
                    </w:rPr>
                  </w:pPr>
                </w:p>
              </w:tc>
              <w:tc>
                <w:tcPr>
                  <w:tcW w:w="484" w:type="pct"/>
                  <w:vMerge w:val="continue"/>
                  <w:noWrap w:val="0"/>
                  <w:vAlign w:val="center"/>
                </w:tcPr>
                <w:p w14:paraId="03B7E6E4">
                  <w:pPr>
                    <w:adjustRightInd w:val="0"/>
                    <w:snapToGrid w:val="0"/>
                    <w:jc w:val="center"/>
                    <w:rPr>
                      <w:rFonts w:ascii="Times New Roman" w:hAnsi="Times New Roman"/>
                      <w:szCs w:val="21"/>
                    </w:rPr>
                  </w:pPr>
                </w:p>
              </w:tc>
              <w:tc>
                <w:tcPr>
                  <w:tcW w:w="422" w:type="pct"/>
                  <w:vMerge w:val="continue"/>
                  <w:noWrap w:val="0"/>
                  <w:vAlign w:val="center"/>
                </w:tcPr>
                <w:p w14:paraId="11270616">
                  <w:pPr>
                    <w:adjustRightInd w:val="0"/>
                    <w:snapToGrid w:val="0"/>
                    <w:jc w:val="center"/>
                    <w:rPr>
                      <w:rFonts w:ascii="Times New Roman" w:hAnsi="Times New Roman"/>
                      <w:szCs w:val="21"/>
                    </w:rPr>
                  </w:pPr>
                </w:p>
              </w:tc>
              <w:tc>
                <w:tcPr>
                  <w:tcW w:w="379" w:type="pct"/>
                  <w:vMerge w:val="continue"/>
                  <w:noWrap w:val="0"/>
                  <w:vAlign w:val="center"/>
                </w:tcPr>
                <w:p w14:paraId="0C0462CA">
                  <w:pPr>
                    <w:adjustRightInd w:val="0"/>
                    <w:snapToGrid w:val="0"/>
                    <w:jc w:val="center"/>
                    <w:rPr>
                      <w:rFonts w:ascii="Times New Roman" w:hAnsi="Times New Roman"/>
                      <w:szCs w:val="21"/>
                    </w:rPr>
                  </w:pPr>
                </w:p>
              </w:tc>
              <w:tc>
                <w:tcPr>
                  <w:tcW w:w="520" w:type="pct"/>
                  <w:noWrap w:val="0"/>
                  <w:vAlign w:val="center"/>
                </w:tcPr>
                <w:p w14:paraId="59FE4998">
                  <w:pPr>
                    <w:adjustRightInd w:val="0"/>
                    <w:snapToGrid w:val="0"/>
                    <w:jc w:val="center"/>
                    <w:rPr>
                      <w:rFonts w:ascii="Times New Roman" w:hAnsi="Times New Roman"/>
                      <w:b/>
                      <w:bCs/>
                      <w:szCs w:val="21"/>
                    </w:rPr>
                  </w:pPr>
                  <w:r>
                    <w:rPr>
                      <w:rFonts w:ascii="Times New Roman" w:hAnsi="宋体"/>
                      <w:b/>
                      <w:bCs/>
                      <w:szCs w:val="21"/>
                    </w:rPr>
                    <w:t>污染治理设施编号</w:t>
                  </w:r>
                </w:p>
              </w:tc>
              <w:tc>
                <w:tcPr>
                  <w:tcW w:w="503" w:type="pct"/>
                  <w:noWrap w:val="0"/>
                  <w:vAlign w:val="center"/>
                </w:tcPr>
                <w:p w14:paraId="7DE49BD3">
                  <w:pPr>
                    <w:adjustRightInd w:val="0"/>
                    <w:snapToGrid w:val="0"/>
                    <w:jc w:val="center"/>
                    <w:rPr>
                      <w:rFonts w:ascii="Times New Roman" w:hAnsi="Times New Roman"/>
                      <w:b/>
                      <w:bCs/>
                      <w:szCs w:val="21"/>
                    </w:rPr>
                  </w:pPr>
                  <w:r>
                    <w:rPr>
                      <w:rFonts w:ascii="Times New Roman" w:hAnsi="宋体"/>
                      <w:b/>
                      <w:bCs/>
                      <w:szCs w:val="21"/>
                    </w:rPr>
                    <w:t>污染治理设施名称</w:t>
                  </w:r>
                </w:p>
              </w:tc>
              <w:tc>
                <w:tcPr>
                  <w:tcW w:w="482" w:type="pct"/>
                  <w:noWrap w:val="0"/>
                  <w:vAlign w:val="center"/>
                </w:tcPr>
                <w:p w14:paraId="60718EEC">
                  <w:pPr>
                    <w:adjustRightInd w:val="0"/>
                    <w:snapToGrid w:val="0"/>
                    <w:jc w:val="center"/>
                    <w:rPr>
                      <w:rFonts w:ascii="Times New Roman" w:hAnsi="Times New Roman"/>
                      <w:b/>
                      <w:bCs/>
                      <w:szCs w:val="21"/>
                    </w:rPr>
                  </w:pPr>
                  <w:r>
                    <w:rPr>
                      <w:rFonts w:ascii="Times New Roman" w:hAnsi="宋体"/>
                      <w:b/>
                      <w:bCs/>
                      <w:szCs w:val="21"/>
                    </w:rPr>
                    <w:t>污染治理设施工艺</w:t>
                  </w:r>
                </w:p>
              </w:tc>
              <w:tc>
                <w:tcPr>
                  <w:tcW w:w="357" w:type="pct"/>
                  <w:vMerge w:val="continue"/>
                  <w:noWrap w:val="0"/>
                  <w:vAlign w:val="center"/>
                </w:tcPr>
                <w:p w14:paraId="1427363D">
                  <w:pPr>
                    <w:adjustRightInd w:val="0"/>
                    <w:snapToGrid w:val="0"/>
                    <w:jc w:val="center"/>
                    <w:rPr>
                      <w:rFonts w:ascii="Times New Roman" w:hAnsi="Times New Roman"/>
                      <w:szCs w:val="21"/>
                    </w:rPr>
                  </w:pPr>
                </w:p>
              </w:tc>
              <w:tc>
                <w:tcPr>
                  <w:tcW w:w="480" w:type="pct"/>
                  <w:vMerge w:val="continue"/>
                  <w:noWrap w:val="0"/>
                  <w:vAlign w:val="center"/>
                </w:tcPr>
                <w:p w14:paraId="0A241A76">
                  <w:pPr>
                    <w:adjustRightInd w:val="0"/>
                    <w:snapToGrid w:val="0"/>
                    <w:jc w:val="center"/>
                    <w:rPr>
                      <w:rFonts w:ascii="Times New Roman" w:hAnsi="Times New Roman"/>
                      <w:szCs w:val="21"/>
                    </w:rPr>
                  </w:pPr>
                </w:p>
              </w:tc>
              <w:tc>
                <w:tcPr>
                  <w:tcW w:w="798" w:type="pct"/>
                  <w:vMerge w:val="continue"/>
                  <w:noWrap w:val="0"/>
                  <w:vAlign w:val="center"/>
                </w:tcPr>
                <w:p w14:paraId="25892807">
                  <w:pPr>
                    <w:adjustRightInd w:val="0"/>
                    <w:snapToGrid w:val="0"/>
                    <w:jc w:val="center"/>
                    <w:rPr>
                      <w:rFonts w:ascii="Times New Roman" w:hAnsi="Times New Roman"/>
                      <w:szCs w:val="21"/>
                    </w:rPr>
                  </w:pPr>
                </w:p>
              </w:tc>
            </w:tr>
            <w:tr w14:paraId="7EFBE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7" w:type="pct"/>
                  <w:noWrap w:val="0"/>
                  <w:vAlign w:val="center"/>
                </w:tcPr>
                <w:p w14:paraId="68EC3FA8">
                  <w:pPr>
                    <w:adjustRightInd w:val="0"/>
                    <w:snapToGrid w:val="0"/>
                    <w:jc w:val="center"/>
                    <w:rPr>
                      <w:rFonts w:ascii="Times New Roman" w:hAnsi="Times New Roman"/>
                      <w:szCs w:val="21"/>
                    </w:rPr>
                  </w:pPr>
                  <w:r>
                    <w:rPr>
                      <w:rFonts w:ascii="Times New Roman" w:hAnsi="Times New Roman"/>
                      <w:szCs w:val="21"/>
                    </w:rPr>
                    <w:t>1</w:t>
                  </w:r>
                </w:p>
              </w:tc>
              <w:tc>
                <w:tcPr>
                  <w:tcW w:w="341" w:type="pct"/>
                  <w:noWrap w:val="0"/>
                  <w:vAlign w:val="center"/>
                </w:tcPr>
                <w:p w14:paraId="34F73895">
                  <w:pPr>
                    <w:adjustRightInd w:val="0"/>
                    <w:snapToGrid w:val="0"/>
                    <w:jc w:val="center"/>
                    <w:rPr>
                      <w:rFonts w:ascii="Times New Roman" w:hAnsi="Times New Roman"/>
                      <w:szCs w:val="21"/>
                    </w:rPr>
                  </w:pPr>
                  <w:r>
                    <w:rPr>
                      <w:rFonts w:ascii="Times New Roman" w:hAnsi="宋体"/>
                      <w:szCs w:val="21"/>
                    </w:rPr>
                    <w:t>生活污水</w:t>
                  </w:r>
                </w:p>
              </w:tc>
              <w:tc>
                <w:tcPr>
                  <w:tcW w:w="484" w:type="pct"/>
                  <w:noWrap w:val="0"/>
                  <w:vAlign w:val="center"/>
                </w:tcPr>
                <w:p w14:paraId="3F57022E">
                  <w:pPr>
                    <w:adjustRightInd w:val="0"/>
                    <w:snapToGrid w:val="0"/>
                    <w:jc w:val="center"/>
                    <w:rPr>
                      <w:rFonts w:ascii="Times New Roman" w:hAnsi="Times New Roman"/>
                      <w:szCs w:val="21"/>
                    </w:rPr>
                  </w:pPr>
                  <w:r>
                    <w:rPr>
                      <w:rFonts w:ascii="Times New Roman" w:hAnsi="Times New Roman"/>
                      <w:szCs w:val="21"/>
                    </w:rPr>
                    <w:t>COD</w:t>
                  </w:r>
                  <w:r>
                    <w:rPr>
                      <w:rFonts w:ascii="Times New Roman" w:hAnsi="宋体"/>
                      <w:szCs w:val="21"/>
                    </w:rPr>
                    <w:t>、</w:t>
                  </w:r>
                  <w:r>
                    <w:rPr>
                      <w:rFonts w:ascii="Times New Roman" w:hAnsi="Times New Roman"/>
                      <w:szCs w:val="21"/>
                    </w:rPr>
                    <w:t>SS</w:t>
                  </w:r>
                  <w:r>
                    <w:rPr>
                      <w:rFonts w:ascii="Times New Roman" w:hAnsi="宋体"/>
                      <w:szCs w:val="21"/>
                    </w:rPr>
                    <w:t>、</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宋体"/>
                      <w:szCs w:val="21"/>
                    </w:rPr>
                    <w:t>、</w:t>
                  </w:r>
                  <w:r>
                    <w:rPr>
                      <w:rFonts w:ascii="Times New Roman" w:hAnsi="Times New Roman"/>
                      <w:szCs w:val="21"/>
                    </w:rPr>
                    <w:t>TN</w:t>
                  </w:r>
                  <w:r>
                    <w:rPr>
                      <w:rFonts w:ascii="Times New Roman" w:hAnsi="宋体"/>
                      <w:szCs w:val="21"/>
                    </w:rPr>
                    <w:t>、</w:t>
                  </w:r>
                  <w:r>
                    <w:rPr>
                      <w:rFonts w:ascii="Times New Roman" w:hAnsi="Times New Roman"/>
                      <w:szCs w:val="21"/>
                    </w:rPr>
                    <w:t>TP</w:t>
                  </w:r>
                </w:p>
              </w:tc>
              <w:tc>
                <w:tcPr>
                  <w:tcW w:w="422" w:type="pct"/>
                  <w:noWrap w:val="0"/>
                  <w:vAlign w:val="center"/>
                </w:tcPr>
                <w:p w14:paraId="4EC772ED">
                  <w:pPr>
                    <w:pStyle w:val="166"/>
                    <w:autoSpaceDE w:val="0"/>
                    <w:autoSpaceDN w:val="0"/>
                    <w:spacing w:line="0" w:lineRule="atLeast"/>
                    <w:jc w:val="center"/>
                    <w:rPr>
                      <w:rFonts w:ascii="Times New Roman" w:hAnsi="Times New Roman"/>
                      <w:sz w:val="21"/>
                      <w:szCs w:val="21"/>
                    </w:rPr>
                  </w:pPr>
                  <w:r>
                    <w:rPr>
                      <w:rFonts w:ascii="Times New Roman" w:hAnsi="宋体"/>
                      <w:sz w:val="21"/>
                      <w:szCs w:val="21"/>
                    </w:rPr>
                    <w:t>高沟镇污水处理厂</w:t>
                  </w:r>
                </w:p>
              </w:tc>
              <w:tc>
                <w:tcPr>
                  <w:tcW w:w="379" w:type="pct"/>
                  <w:noWrap w:val="0"/>
                  <w:vAlign w:val="center"/>
                </w:tcPr>
                <w:p w14:paraId="55EF3729">
                  <w:pPr>
                    <w:adjustRightInd w:val="0"/>
                    <w:snapToGrid w:val="0"/>
                    <w:jc w:val="center"/>
                    <w:rPr>
                      <w:rFonts w:ascii="Times New Roman" w:hAnsi="Times New Roman"/>
                      <w:szCs w:val="21"/>
                    </w:rPr>
                  </w:pPr>
                  <w:r>
                    <w:rPr>
                      <w:rFonts w:ascii="Times New Roman" w:hAnsi="宋体"/>
                      <w:szCs w:val="21"/>
                    </w:rPr>
                    <w:t>间断排放，排放期间流量不稳定</w:t>
                  </w:r>
                </w:p>
              </w:tc>
              <w:tc>
                <w:tcPr>
                  <w:tcW w:w="520" w:type="pct"/>
                  <w:noWrap w:val="0"/>
                  <w:vAlign w:val="center"/>
                </w:tcPr>
                <w:p w14:paraId="5E89F13B">
                  <w:pPr>
                    <w:adjustRightInd w:val="0"/>
                    <w:snapToGrid w:val="0"/>
                    <w:jc w:val="center"/>
                    <w:rPr>
                      <w:rFonts w:ascii="Times New Roman" w:hAnsi="Times New Roman"/>
                      <w:szCs w:val="21"/>
                    </w:rPr>
                  </w:pPr>
                  <w:r>
                    <w:rPr>
                      <w:rFonts w:ascii="Times New Roman" w:hAnsi="Times New Roman"/>
                      <w:szCs w:val="21"/>
                    </w:rPr>
                    <w:t>TW001</w:t>
                  </w:r>
                </w:p>
              </w:tc>
              <w:tc>
                <w:tcPr>
                  <w:tcW w:w="503" w:type="pct"/>
                  <w:noWrap w:val="0"/>
                  <w:vAlign w:val="center"/>
                </w:tcPr>
                <w:p w14:paraId="4899B0C1">
                  <w:pPr>
                    <w:adjustRightInd w:val="0"/>
                    <w:snapToGrid w:val="0"/>
                    <w:jc w:val="center"/>
                    <w:rPr>
                      <w:rFonts w:ascii="Times New Roman" w:hAnsi="Times New Roman"/>
                      <w:szCs w:val="21"/>
                    </w:rPr>
                  </w:pPr>
                  <w:r>
                    <w:rPr>
                      <w:rFonts w:ascii="Times New Roman" w:hAnsi="宋体"/>
                      <w:szCs w:val="21"/>
                    </w:rPr>
                    <w:t>隔油池、化粪池</w:t>
                  </w:r>
                </w:p>
              </w:tc>
              <w:tc>
                <w:tcPr>
                  <w:tcW w:w="482" w:type="pct"/>
                  <w:noWrap w:val="0"/>
                  <w:vAlign w:val="center"/>
                </w:tcPr>
                <w:p w14:paraId="2E40ADA9">
                  <w:pPr>
                    <w:adjustRightInd w:val="0"/>
                    <w:snapToGrid w:val="0"/>
                    <w:jc w:val="center"/>
                    <w:rPr>
                      <w:rFonts w:ascii="Times New Roman" w:hAnsi="Times New Roman"/>
                      <w:szCs w:val="21"/>
                    </w:rPr>
                  </w:pPr>
                  <w:r>
                    <w:rPr>
                      <w:rFonts w:ascii="Times New Roman" w:hAnsi="宋体"/>
                      <w:szCs w:val="21"/>
                    </w:rPr>
                    <w:t>生物氧化</w:t>
                  </w:r>
                </w:p>
              </w:tc>
              <w:tc>
                <w:tcPr>
                  <w:tcW w:w="357" w:type="pct"/>
                  <w:noWrap w:val="0"/>
                  <w:vAlign w:val="center"/>
                </w:tcPr>
                <w:p w14:paraId="20693555">
                  <w:pPr>
                    <w:adjustRightInd w:val="0"/>
                    <w:snapToGrid w:val="0"/>
                    <w:jc w:val="center"/>
                    <w:rPr>
                      <w:rFonts w:ascii="Times New Roman" w:hAnsi="Times New Roman"/>
                      <w:szCs w:val="21"/>
                    </w:rPr>
                  </w:pPr>
                  <w:r>
                    <w:rPr>
                      <w:rFonts w:ascii="Times New Roman" w:hAnsi="Times New Roman"/>
                      <w:szCs w:val="21"/>
                    </w:rPr>
                    <w:t>DW001</w:t>
                  </w:r>
                </w:p>
              </w:tc>
              <w:tc>
                <w:tcPr>
                  <w:tcW w:w="480" w:type="pct"/>
                  <w:noWrap w:val="0"/>
                  <w:vAlign w:val="center"/>
                </w:tcPr>
                <w:p w14:paraId="576C7E7D">
                  <w:pPr>
                    <w:adjustRightInd w:val="0"/>
                    <w:snapToGrid w:val="0"/>
                    <w:jc w:val="center"/>
                    <w:rPr>
                      <w:rFonts w:ascii="Times New Roman" w:hAnsi="Times New Roman"/>
                      <w:szCs w:val="21"/>
                    </w:rPr>
                  </w:pPr>
                  <w:r>
                    <w:rPr>
                      <w:rFonts w:ascii="Times New Roman" w:hAnsi="Times New Roman"/>
                      <w:szCs w:val="21"/>
                    </w:rPr>
                    <w:sym w:font="Wingdings 2" w:char="0052"/>
                  </w:r>
                  <w:r>
                    <w:rPr>
                      <w:rFonts w:ascii="Times New Roman" w:hAnsi="宋体"/>
                      <w:szCs w:val="21"/>
                    </w:rPr>
                    <w:t>是</w:t>
                  </w:r>
                </w:p>
                <w:p w14:paraId="7E9BF9D4">
                  <w:pPr>
                    <w:adjustRightInd w:val="0"/>
                    <w:snapToGrid w:val="0"/>
                    <w:jc w:val="center"/>
                    <w:rPr>
                      <w:rFonts w:ascii="Times New Roman" w:hAnsi="Times New Roman"/>
                      <w:szCs w:val="21"/>
                    </w:rPr>
                  </w:pPr>
                  <w:r>
                    <w:rPr>
                      <w:rFonts w:ascii="Times New Roman" w:hAnsi="Times New Roman"/>
                      <w:szCs w:val="21"/>
                    </w:rPr>
                    <w:sym w:font="Wingdings 2" w:char="00A3"/>
                  </w:r>
                  <w:r>
                    <w:rPr>
                      <w:rFonts w:ascii="Times New Roman" w:hAnsi="宋体"/>
                      <w:szCs w:val="21"/>
                    </w:rPr>
                    <w:t>否</w:t>
                  </w:r>
                </w:p>
              </w:tc>
              <w:tc>
                <w:tcPr>
                  <w:tcW w:w="798" w:type="pct"/>
                  <w:noWrap w:val="0"/>
                  <w:vAlign w:val="center"/>
                </w:tcPr>
                <w:p w14:paraId="30F95EE7">
                  <w:pPr>
                    <w:adjustRightInd w:val="0"/>
                    <w:snapToGrid w:val="0"/>
                    <w:jc w:val="center"/>
                    <w:rPr>
                      <w:rFonts w:ascii="Times New Roman" w:hAnsi="Times New Roman"/>
                      <w:szCs w:val="21"/>
                    </w:rPr>
                  </w:pPr>
                  <w:r>
                    <w:rPr>
                      <w:rFonts w:ascii="Times New Roman" w:hAnsi="Times New Roman"/>
                      <w:szCs w:val="21"/>
                    </w:rPr>
                    <w:sym w:font="Wingdings 2" w:char="0052"/>
                  </w:r>
                  <w:r>
                    <w:rPr>
                      <w:rFonts w:ascii="Times New Roman" w:hAnsi="宋体"/>
                      <w:szCs w:val="21"/>
                    </w:rPr>
                    <w:t>企业总排</w:t>
                  </w:r>
                </w:p>
                <w:p w14:paraId="75FF5699">
                  <w:pPr>
                    <w:adjustRightInd w:val="0"/>
                    <w:snapToGrid w:val="0"/>
                    <w:jc w:val="center"/>
                    <w:rPr>
                      <w:rFonts w:ascii="Times New Roman" w:hAnsi="Times New Roman"/>
                      <w:szCs w:val="21"/>
                    </w:rPr>
                  </w:pPr>
                  <w:r>
                    <w:rPr>
                      <w:rFonts w:ascii="Times New Roman" w:hAnsi="Times New Roman"/>
                      <w:szCs w:val="21"/>
                    </w:rPr>
                    <w:sym w:font="Wingdings 2" w:char="00A3"/>
                  </w:r>
                  <w:r>
                    <w:rPr>
                      <w:rFonts w:ascii="Times New Roman" w:hAnsi="宋体"/>
                      <w:szCs w:val="21"/>
                    </w:rPr>
                    <w:t>雨水排放</w:t>
                  </w:r>
                </w:p>
                <w:p w14:paraId="5F34B862">
                  <w:pPr>
                    <w:adjustRightInd w:val="0"/>
                    <w:snapToGrid w:val="0"/>
                    <w:jc w:val="center"/>
                    <w:rPr>
                      <w:rFonts w:ascii="Times New Roman" w:hAnsi="Times New Roman"/>
                      <w:szCs w:val="21"/>
                    </w:rPr>
                  </w:pPr>
                  <w:r>
                    <w:rPr>
                      <w:rFonts w:ascii="Times New Roman" w:hAnsi="Times New Roman"/>
                      <w:szCs w:val="21"/>
                    </w:rPr>
                    <w:sym w:font="Wingdings 2" w:char="00A3"/>
                  </w:r>
                  <w:r>
                    <w:rPr>
                      <w:rFonts w:ascii="Times New Roman" w:hAnsi="宋体"/>
                      <w:szCs w:val="21"/>
                    </w:rPr>
                    <w:t>清净下水排放</w:t>
                  </w:r>
                </w:p>
                <w:p w14:paraId="5B394581">
                  <w:pPr>
                    <w:adjustRightInd w:val="0"/>
                    <w:snapToGrid w:val="0"/>
                    <w:jc w:val="center"/>
                    <w:rPr>
                      <w:rFonts w:ascii="Times New Roman" w:hAnsi="Times New Roman"/>
                      <w:szCs w:val="21"/>
                    </w:rPr>
                  </w:pPr>
                  <w:r>
                    <w:rPr>
                      <w:rFonts w:ascii="Times New Roman" w:hAnsi="Times New Roman"/>
                      <w:szCs w:val="21"/>
                    </w:rPr>
                    <w:sym w:font="Wingdings 2" w:char="00A3"/>
                  </w:r>
                  <w:r>
                    <w:rPr>
                      <w:rFonts w:ascii="Times New Roman" w:hAnsi="宋体"/>
                      <w:szCs w:val="21"/>
                    </w:rPr>
                    <w:t>温排水排放</w:t>
                  </w:r>
                </w:p>
                <w:p w14:paraId="62460062">
                  <w:pPr>
                    <w:adjustRightInd w:val="0"/>
                    <w:snapToGrid w:val="0"/>
                    <w:jc w:val="center"/>
                    <w:rPr>
                      <w:rFonts w:ascii="Times New Roman" w:hAnsi="Times New Roman"/>
                      <w:szCs w:val="21"/>
                    </w:rPr>
                  </w:pPr>
                  <w:r>
                    <w:rPr>
                      <w:rFonts w:ascii="Times New Roman" w:hAnsi="Times New Roman"/>
                      <w:szCs w:val="21"/>
                    </w:rPr>
                    <w:sym w:font="Wingdings 2" w:char="00A3"/>
                  </w:r>
                  <w:r>
                    <w:rPr>
                      <w:rFonts w:ascii="Times New Roman" w:hAnsi="宋体"/>
                      <w:szCs w:val="21"/>
                    </w:rPr>
                    <w:t>厂房或厂房处理设施排放口</w:t>
                  </w:r>
                </w:p>
              </w:tc>
            </w:tr>
          </w:tbl>
          <w:p w14:paraId="65A8EE6F">
            <w:pPr>
              <w:adjustRightInd w:val="0"/>
              <w:snapToGrid w:val="0"/>
              <w:jc w:val="center"/>
              <w:rPr>
                <w:rFonts w:ascii="Times New Roman" w:hAnsi="Times New Roman"/>
                <w:b/>
                <w:sz w:val="24"/>
              </w:rPr>
            </w:pPr>
            <w:r>
              <w:rPr>
                <w:rFonts w:ascii="Times New Roman" w:hAnsi="宋体"/>
                <w:b/>
                <w:sz w:val="24"/>
              </w:rPr>
              <w:t>表</w:t>
            </w:r>
            <w:r>
              <w:rPr>
                <w:rFonts w:ascii="Times New Roman" w:hAnsi="Times New Roman"/>
                <w:b/>
                <w:sz w:val="24"/>
              </w:rPr>
              <w:t xml:space="preserve"> 4-</w:t>
            </w:r>
            <w:r>
              <w:rPr>
                <w:rFonts w:hint="eastAsia" w:ascii="Times New Roman" w:hAnsi="Times New Roman"/>
                <w:b/>
                <w:sz w:val="24"/>
                <w:lang w:val="en-US" w:eastAsia="zh-CN"/>
              </w:rPr>
              <w:t>3</w:t>
            </w:r>
            <w:r>
              <w:rPr>
                <w:rFonts w:ascii="Times New Roman" w:hAnsi="Times New Roman"/>
                <w:b/>
                <w:sz w:val="24"/>
              </w:rPr>
              <w:t xml:space="preserve">  </w:t>
            </w:r>
            <w:r>
              <w:rPr>
                <w:rFonts w:ascii="Times New Roman" w:hAnsi="宋体"/>
                <w:b/>
                <w:sz w:val="24"/>
              </w:rPr>
              <w:t>废水排放口基本情况表</w:t>
            </w:r>
          </w:p>
          <w:tbl>
            <w:tblPr>
              <w:tblStyle w:val="42"/>
              <w:tblW w:w="49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81"/>
              <w:gridCol w:w="681"/>
              <w:gridCol w:w="1214"/>
              <w:gridCol w:w="1109"/>
              <w:gridCol w:w="871"/>
              <w:gridCol w:w="645"/>
              <w:gridCol w:w="1471"/>
              <w:gridCol w:w="774"/>
              <w:gridCol w:w="728"/>
              <w:gridCol w:w="1304"/>
              <w:gridCol w:w="1929"/>
            </w:tblGrid>
            <w:tr w14:paraId="069FF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restart"/>
                  <w:noWrap w:val="0"/>
                  <w:vAlign w:val="center"/>
                </w:tcPr>
                <w:p w14:paraId="11C8116A">
                  <w:pPr>
                    <w:pStyle w:val="166"/>
                    <w:autoSpaceDE w:val="0"/>
                    <w:autoSpaceDN w:val="0"/>
                    <w:spacing w:line="0" w:lineRule="atLeast"/>
                    <w:jc w:val="center"/>
                    <w:rPr>
                      <w:rFonts w:ascii="Times New Roman" w:hAnsi="Times New Roman"/>
                      <w:b/>
                      <w:sz w:val="24"/>
                    </w:rPr>
                  </w:pPr>
                  <w:r>
                    <w:rPr>
                      <w:rFonts w:ascii="Times New Roman" w:hAnsi="宋体"/>
                      <w:b/>
                      <w:bCs/>
                      <w:sz w:val="21"/>
                      <w:szCs w:val="21"/>
                    </w:rPr>
                    <w:t>序</w:t>
                  </w:r>
                  <w:r>
                    <w:rPr>
                      <w:rFonts w:ascii="Times New Roman" w:hAnsi="Times New Roman"/>
                      <w:b/>
                      <w:bCs/>
                      <w:sz w:val="21"/>
                      <w:szCs w:val="21"/>
                    </w:rPr>
                    <w:t xml:space="preserve"> </w:t>
                  </w:r>
                  <w:r>
                    <w:rPr>
                      <w:rFonts w:ascii="Times New Roman" w:hAnsi="宋体"/>
                      <w:b/>
                      <w:bCs/>
                      <w:sz w:val="21"/>
                      <w:szCs w:val="21"/>
                    </w:rPr>
                    <w:t>号</w:t>
                  </w:r>
                </w:p>
              </w:tc>
              <w:tc>
                <w:tcPr>
                  <w:tcW w:w="352" w:type="pct"/>
                  <w:vMerge w:val="restart"/>
                  <w:noWrap w:val="0"/>
                  <w:vAlign w:val="center"/>
                </w:tcPr>
                <w:p w14:paraId="591600B3">
                  <w:pPr>
                    <w:pStyle w:val="166"/>
                    <w:autoSpaceDE w:val="0"/>
                    <w:autoSpaceDN w:val="0"/>
                    <w:spacing w:line="0" w:lineRule="atLeast"/>
                    <w:jc w:val="center"/>
                    <w:rPr>
                      <w:rFonts w:ascii="Times New Roman" w:hAnsi="Times New Roman"/>
                      <w:b/>
                      <w:sz w:val="24"/>
                    </w:rPr>
                  </w:pPr>
                  <w:r>
                    <w:rPr>
                      <w:rFonts w:ascii="Times New Roman" w:hAnsi="宋体"/>
                      <w:b/>
                      <w:bCs/>
                      <w:sz w:val="21"/>
                      <w:szCs w:val="21"/>
                    </w:rPr>
                    <w:t>排放口编号</w:t>
                  </w:r>
                </w:p>
              </w:tc>
              <w:tc>
                <w:tcPr>
                  <w:tcW w:w="286" w:type="pct"/>
                  <w:vMerge w:val="restart"/>
                  <w:noWrap w:val="0"/>
                  <w:vAlign w:val="center"/>
                </w:tcPr>
                <w:p w14:paraId="66949702">
                  <w:pPr>
                    <w:pStyle w:val="166"/>
                    <w:autoSpaceDE w:val="0"/>
                    <w:autoSpaceDN w:val="0"/>
                    <w:spacing w:line="0" w:lineRule="atLeast"/>
                    <w:jc w:val="center"/>
                    <w:rPr>
                      <w:rFonts w:ascii="Times New Roman" w:hAnsi="Times New Roman"/>
                      <w:b/>
                      <w:sz w:val="24"/>
                    </w:rPr>
                  </w:pPr>
                  <w:r>
                    <w:rPr>
                      <w:rFonts w:ascii="Times New Roman" w:hAnsi="宋体"/>
                      <w:b/>
                      <w:bCs/>
                      <w:sz w:val="21"/>
                      <w:szCs w:val="21"/>
                    </w:rPr>
                    <w:t>排放口类型</w:t>
                  </w:r>
                </w:p>
              </w:tc>
              <w:tc>
                <w:tcPr>
                  <w:tcW w:w="930" w:type="pct"/>
                  <w:gridSpan w:val="2"/>
                  <w:noWrap w:val="0"/>
                  <w:vAlign w:val="center"/>
                </w:tcPr>
                <w:p w14:paraId="21D28B8E">
                  <w:pPr>
                    <w:pStyle w:val="166"/>
                    <w:autoSpaceDE w:val="0"/>
                    <w:autoSpaceDN w:val="0"/>
                    <w:spacing w:line="0" w:lineRule="atLeast"/>
                    <w:jc w:val="center"/>
                    <w:rPr>
                      <w:rFonts w:ascii="Times New Roman" w:hAnsi="Times New Roman"/>
                      <w:b/>
                      <w:sz w:val="24"/>
                    </w:rPr>
                  </w:pPr>
                  <w:r>
                    <w:rPr>
                      <w:rFonts w:ascii="Times New Roman" w:hAnsi="宋体"/>
                      <w:b/>
                      <w:bCs/>
                      <w:sz w:val="21"/>
                      <w:szCs w:val="21"/>
                    </w:rPr>
                    <w:t>排放口地理坐标</w:t>
                  </w:r>
                </w:p>
              </w:tc>
              <w:tc>
                <w:tcPr>
                  <w:tcW w:w="348" w:type="pct"/>
                  <w:vMerge w:val="restart"/>
                  <w:noWrap w:val="0"/>
                  <w:vAlign w:val="center"/>
                </w:tcPr>
                <w:p w14:paraId="5A4F8A9E">
                  <w:pPr>
                    <w:pStyle w:val="166"/>
                    <w:autoSpaceDE w:val="0"/>
                    <w:autoSpaceDN w:val="0"/>
                    <w:spacing w:line="0" w:lineRule="atLeast"/>
                    <w:jc w:val="center"/>
                    <w:rPr>
                      <w:rFonts w:ascii="Times New Roman" w:hAnsi="Times New Roman"/>
                      <w:b/>
                      <w:sz w:val="24"/>
                    </w:rPr>
                  </w:pPr>
                  <w:r>
                    <w:rPr>
                      <w:rFonts w:ascii="Times New Roman" w:hAnsi="宋体"/>
                      <w:b/>
                      <w:bCs/>
                      <w:sz w:val="21"/>
                      <w:szCs w:val="21"/>
                    </w:rPr>
                    <w:t>废水排放量（</w:t>
                  </w:r>
                  <w:r>
                    <w:rPr>
                      <w:rFonts w:ascii="Times New Roman" w:hAnsi="Times New Roman"/>
                      <w:b/>
                      <w:bCs/>
                      <w:sz w:val="21"/>
                      <w:szCs w:val="21"/>
                    </w:rPr>
                    <w:t>t/a</w:t>
                  </w:r>
                  <w:r>
                    <w:rPr>
                      <w:rFonts w:ascii="Times New Roman" w:hAnsi="宋体"/>
                      <w:b/>
                      <w:bCs/>
                      <w:sz w:val="21"/>
                      <w:szCs w:val="21"/>
                    </w:rPr>
                    <w:t>）</w:t>
                  </w:r>
                </w:p>
              </w:tc>
              <w:tc>
                <w:tcPr>
                  <w:tcW w:w="271" w:type="pct"/>
                  <w:vMerge w:val="restart"/>
                  <w:noWrap w:val="0"/>
                  <w:vAlign w:val="center"/>
                </w:tcPr>
                <w:p w14:paraId="5BC9BB60">
                  <w:pPr>
                    <w:pStyle w:val="166"/>
                    <w:autoSpaceDE w:val="0"/>
                    <w:autoSpaceDN w:val="0"/>
                    <w:spacing w:line="0" w:lineRule="atLeast"/>
                    <w:jc w:val="center"/>
                    <w:rPr>
                      <w:rFonts w:ascii="Times New Roman" w:hAnsi="Times New Roman"/>
                      <w:b/>
                      <w:sz w:val="24"/>
                    </w:rPr>
                  </w:pPr>
                  <w:r>
                    <w:rPr>
                      <w:rFonts w:ascii="Times New Roman" w:hAnsi="宋体"/>
                      <w:b/>
                      <w:bCs/>
                      <w:sz w:val="21"/>
                      <w:szCs w:val="21"/>
                    </w:rPr>
                    <w:t>排放去向</w:t>
                  </w:r>
                </w:p>
              </w:tc>
              <w:tc>
                <w:tcPr>
                  <w:tcW w:w="611" w:type="pct"/>
                  <w:vMerge w:val="restart"/>
                  <w:noWrap w:val="0"/>
                  <w:vAlign w:val="center"/>
                </w:tcPr>
                <w:p w14:paraId="558CE5DB">
                  <w:pPr>
                    <w:pStyle w:val="166"/>
                    <w:autoSpaceDE w:val="0"/>
                    <w:autoSpaceDN w:val="0"/>
                    <w:spacing w:line="0" w:lineRule="atLeast"/>
                    <w:jc w:val="center"/>
                    <w:rPr>
                      <w:rFonts w:ascii="Times New Roman" w:hAnsi="Times New Roman"/>
                      <w:b/>
                      <w:sz w:val="24"/>
                    </w:rPr>
                  </w:pPr>
                  <w:r>
                    <w:rPr>
                      <w:rFonts w:ascii="Times New Roman" w:hAnsi="宋体"/>
                      <w:b/>
                      <w:bCs/>
                      <w:sz w:val="21"/>
                      <w:szCs w:val="21"/>
                    </w:rPr>
                    <w:t>排放规律</w:t>
                  </w:r>
                </w:p>
              </w:tc>
              <w:tc>
                <w:tcPr>
                  <w:tcW w:w="324" w:type="pct"/>
                  <w:vMerge w:val="restart"/>
                  <w:noWrap w:val="0"/>
                  <w:vAlign w:val="center"/>
                </w:tcPr>
                <w:p w14:paraId="14460E53">
                  <w:pPr>
                    <w:pStyle w:val="166"/>
                    <w:autoSpaceDE w:val="0"/>
                    <w:autoSpaceDN w:val="0"/>
                    <w:spacing w:line="0" w:lineRule="atLeast"/>
                    <w:jc w:val="center"/>
                    <w:rPr>
                      <w:rFonts w:ascii="Times New Roman" w:hAnsi="Times New Roman"/>
                      <w:b/>
                      <w:sz w:val="24"/>
                    </w:rPr>
                  </w:pPr>
                  <w:r>
                    <w:rPr>
                      <w:rFonts w:ascii="Times New Roman" w:hAnsi="宋体"/>
                      <w:b/>
                      <w:bCs/>
                      <w:sz w:val="21"/>
                      <w:szCs w:val="21"/>
                    </w:rPr>
                    <w:t>间歇排放时段</w:t>
                  </w:r>
                </w:p>
              </w:tc>
              <w:tc>
                <w:tcPr>
                  <w:tcW w:w="1641" w:type="pct"/>
                  <w:gridSpan w:val="3"/>
                  <w:noWrap w:val="0"/>
                  <w:vAlign w:val="center"/>
                </w:tcPr>
                <w:p w14:paraId="45E1971E">
                  <w:pPr>
                    <w:pStyle w:val="166"/>
                    <w:autoSpaceDE w:val="0"/>
                    <w:autoSpaceDN w:val="0"/>
                    <w:spacing w:line="0" w:lineRule="atLeast"/>
                    <w:jc w:val="center"/>
                    <w:rPr>
                      <w:rFonts w:ascii="Times New Roman" w:hAnsi="Times New Roman"/>
                      <w:b/>
                      <w:sz w:val="24"/>
                    </w:rPr>
                  </w:pPr>
                  <w:r>
                    <w:rPr>
                      <w:rFonts w:ascii="Times New Roman" w:hAnsi="宋体"/>
                      <w:b/>
                      <w:bCs/>
                      <w:sz w:val="21"/>
                      <w:szCs w:val="21"/>
                    </w:rPr>
                    <w:t>受纳污水处理厂信息</w:t>
                  </w:r>
                </w:p>
              </w:tc>
            </w:tr>
            <w:tr w14:paraId="07B47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025F8A7B">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6D9F5539">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6B1B89C5">
                  <w:pPr>
                    <w:pStyle w:val="166"/>
                    <w:autoSpaceDE w:val="0"/>
                    <w:autoSpaceDN w:val="0"/>
                    <w:spacing w:line="0" w:lineRule="atLeast"/>
                    <w:jc w:val="center"/>
                    <w:rPr>
                      <w:rFonts w:ascii="Times New Roman" w:hAnsi="Times New Roman"/>
                      <w:b/>
                      <w:sz w:val="24"/>
                    </w:rPr>
                  </w:pPr>
                </w:p>
              </w:tc>
              <w:tc>
                <w:tcPr>
                  <w:tcW w:w="486" w:type="pct"/>
                  <w:noWrap w:val="0"/>
                  <w:vAlign w:val="center"/>
                </w:tcPr>
                <w:p w14:paraId="3DAE8ED4">
                  <w:pPr>
                    <w:pStyle w:val="166"/>
                    <w:autoSpaceDE w:val="0"/>
                    <w:autoSpaceDN w:val="0"/>
                    <w:spacing w:line="0" w:lineRule="atLeast"/>
                    <w:jc w:val="center"/>
                    <w:rPr>
                      <w:rFonts w:ascii="Times New Roman" w:hAnsi="Times New Roman"/>
                      <w:b/>
                      <w:sz w:val="24"/>
                    </w:rPr>
                  </w:pPr>
                  <w:r>
                    <w:rPr>
                      <w:rFonts w:ascii="Times New Roman" w:hAnsi="Times New Roman"/>
                      <w:b/>
                      <w:bCs/>
                      <w:sz w:val="21"/>
                      <w:szCs w:val="21"/>
                    </w:rPr>
                    <w:t>X</w:t>
                  </w:r>
                </w:p>
              </w:tc>
              <w:tc>
                <w:tcPr>
                  <w:tcW w:w="444" w:type="pct"/>
                  <w:noWrap w:val="0"/>
                  <w:vAlign w:val="center"/>
                </w:tcPr>
                <w:p w14:paraId="470A6516">
                  <w:pPr>
                    <w:pStyle w:val="166"/>
                    <w:autoSpaceDE w:val="0"/>
                    <w:autoSpaceDN w:val="0"/>
                    <w:spacing w:line="0" w:lineRule="atLeast"/>
                    <w:jc w:val="center"/>
                    <w:rPr>
                      <w:rFonts w:ascii="Times New Roman" w:hAnsi="Times New Roman"/>
                    </w:rPr>
                  </w:pPr>
                  <w:r>
                    <w:rPr>
                      <w:rFonts w:ascii="Times New Roman" w:hAnsi="Times New Roman"/>
                      <w:b/>
                      <w:bCs/>
                      <w:sz w:val="21"/>
                      <w:szCs w:val="21"/>
                    </w:rPr>
                    <w:t>Y</w:t>
                  </w:r>
                </w:p>
              </w:tc>
              <w:tc>
                <w:tcPr>
                  <w:tcW w:w="348" w:type="pct"/>
                  <w:vMerge w:val="continue"/>
                  <w:noWrap w:val="0"/>
                  <w:vAlign w:val="center"/>
                </w:tcPr>
                <w:p w14:paraId="78351D23">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01E9B1C9">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6BBB84C4">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23A2E0D5">
                  <w:pPr>
                    <w:pStyle w:val="166"/>
                    <w:autoSpaceDE w:val="0"/>
                    <w:autoSpaceDN w:val="0"/>
                    <w:spacing w:line="0" w:lineRule="atLeast"/>
                    <w:jc w:val="center"/>
                    <w:rPr>
                      <w:rFonts w:ascii="Times New Roman" w:hAnsi="Times New Roman"/>
                      <w:b/>
                      <w:sz w:val="24"/>
                    </w:rPr>
                  </w:pPr>
                </w:p>
              </w:tc>
              <w:tc>
                <w:tcPr>
                  <w:tcW w:w="305" w:type="pct"/>
                  <w:noWrap w:val="0"/>
                  <w:vAlign w:val="center"/>
                </w:tcPr>
                <w:p w14:paraId="049AD666">
                  <w:pPr>
                    <w:pStyle w:val="166"/>
                    <w:autoSpaceDE w:val="0"/>
                    <w:autoSpaceDN w:val="0"/>
                    <w:spacing w:line="0" w:lineRule="atLeast"/>
                    <w:jc w:val="center"/>
                    <w:rPr>
                      <w:rFonts w:ascii="Times New Roman" w:hAnsi="Times New Roman"/>
                      <w:b/>
                      <w:sz w:val="24"/>
                    </w:rPr>
                  </w:pPr>
                  <w:r>
                    <w:rPr>
                      <w:rFonts w:ascii="Times New Roman" w:hAnsi="宋体"/>
                      <w:b/>
                      <w:bCs/>
                      <w:sz w:val="21"/>
                      <w:szCs w:val="21"/>
                    </w:rPr>
                    <w:t>名称</w:t>
                  </w:r>
                </w:p>
              </w:tc>
              <w:tc>
                <w:tcPr>
                  <w:tcW w:w="542" w:type="pct"/>
                  <w:noWrap w:val="0"/>
                  <w:vAlign w:val="center"/>
                </w:tcPr>
                <w:p w14:paraId="54744A98">
                  <w:pPr>
                    <w:pStyle w:val="166"/>
                    <w:autoSpaceDE w:val="0"/>
                    <w:autoSpaceDN w:val="0"/>
                    <w:spacing w:line="0" w:lineRule="atLeast"/>
                    <w:jc w:val="center"/>
                    <w:rPr>
                      <w:rFonts w:ascii="Times New Roman" w:hAnsi="Times New Roman"/>
                    </w:rPr>
                  </w:pPr>
                  <w:r>
                    <w:rPr>
                      <w:rFonts w:ascii="Times New Roman" w:hAnsi="宋体"/>
                      <w:b/>
                      <w:bCs/>
                      <w:sz w:val="21"/>
                      <w:szCs w:val="21"/>
                    </w:rPr>
                    <w:t>污染物种类</w:t>
                  </w:r>
                </w:p>
              </w:tc>
              <w:tc>
                <w:tcPr>
                  <w:tcW w:w="794" w:type="pct"/>
                  <w:noWrap w:val="0"/>
                  <w:vAlign w:val="center"/>
                </w:tcPr>
                <w:p w14:paraId="0CAD79A5">
                  <w:pPr>
                    <w:pStyle w:val="166"/>
                    <w:autoSpaceDE w:val="0"/>
                    <w:autoSpaceDN w:val="0"/>
                    <w:spacing w:line="0" w:lineRule="atLeast"/>
                    <w:jc w:val="center"/>
                    <w:rPr>
                      <w:rFonts w:ascii="Times New Roman" w:hAnsi="Times New Roman"/>
                      <w:lang w:eastAsia="zh-CN"/>
                    </w:rPr>
                  </w:pPr>
                  <w:r>
                    <w:rPr>
                      <w:rFonts w:ascii="Times New Roman" w:hAnsi="宋体"/>
                      <w:b/>
                      <w:bCs/>
                      <w:sz w:val="21"/>
                      <w:szCs w:val="21"/>
                      <w:lang w:eastAsia="zh-CN"/>
                    </w:rPr>
                    <w:t>排放标准浓度限值</w:t>
                  </w:r>
                  <w:r>
                    <w:rPr>
                      <w:rFonts w:ascii="Times New Roman" w:hAnsi="Times New Roman"/>
                      <w:b/>
                      <w:bCs/>
                      <w:sz w:val="21"/>
                      <w:szCs w:val="21"/>
                      <w:lang w:eastAsia="zh-CN"/>
                    </w:rPr>
                    <w:t>/(mg/L)</w:t>
                  </w:r>
                </w:p>
              </w:tc>
            </w:tr>
            <w:tr w14:paraId="58652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restart"/>
                  <w:noWrap w:val="0"/>
                  <w:vAlign w:val="center"/>
                </w:tcPr>
                <w:p w14:paraId="446712B5">
                  <w:pPr>
                    <w:pStyle w:val="166"/>
                    <w:autoSpaceDE w:val="0"/>
                    <w:autoSpaceDN w:val="0"/>
                    <w:spacing w:line="0" w:lineRule="atLeast"/>
                    <w:jc w:val="center"/>
                    <w:rPr>
                      <w:rFonts w:ascii="Times New Roman" w:hAnsi="Times New Roman"/>
                      <w:b/>
                      <w:sz w:val="24"/>
                    </w:rPr>
                  </w:pPr>
                  <w:r>
                    <w:rPr>
                      <w:rFonts w:ascii="Times New Roman" w:hAnsi="Times New Roman"/>
                      <w:sz w:val="21"/>
                      <w:szCs w:val="21"/>
                    </w:rPr>
                    <w:t>1</w:t>
                  </w:r>
                </w:p>
              </w:tc>
              <w:tc>
                <w:tcPr>
                  <w:tcW w:w="352" w:type="pct"/>
                  <w:vMerge w:val="restart"/>
                  <w:noWrap w:val="0"/>
                  <w:vAlign w:val="center"/>
                </w:tcPr>
                <w:p w14:paraId="5956AF9C">
                  <w:pPr>
                    <w:pStyle w:val="166"/>
                    <w:autoSpaceDE w:val="0"/>
                    <w:autoSpaceDN w:val="0"/>
                    <w:spacing w:line="0" w:lineRule="atLeast"/>
                    <w:jc w:val="center"/>
                    <w:rPr>
                      <w:rFonts w:ascii="Times New Roman" w:hAnsi="Times New Roman"/>
                      <w:b/>
                      <w:sz w:val="24"/>
                    </w:rPr>
                  </w:pPr>
                  <w:r>
                    <w:rPr>
                      <w:rFonts w:ascii="Times New Roman" w:hAnsi="Times New Roman"/>
                      <w:sz w:val="21"/>
                      <w:szCs w:val="21"/>
                    </w:rPr>
                    <w:t>DW001</w:t>
                  </w:r>
                </w:p>
              </w:tc>
              <w:tc>
                <w:tcPr>
                  <w:tcW w:w="286" w:type="pct"/>
                  <w:vMerge w:val="restart"/>
                  <w:noWrap w:val="0"/>
                  <w:vAlign w:val="center"/>
                </w:tcPr>
                <w:p w14:paraId="71D8CC9B">
                  <w:pPr>
                    <w:pStyle w:val="166"/>
                    <w:autoSpaceDE w:val="0"/>
                    <w:autoSpaceDN w:val="0"/>
                    <w:spacing w:line="0" w:lineRule="atLeast"/>
                    <w:jc w:val="center"/>
                    <w:rPr>
                      <w:rFonts w:ascii="Times New Roman" w:hAnsi="Times New Roman"/>
                      <w:b/>
                      <w:sz w:val="24"/>
                    </w:rPr>
                  </w:pPr>
                  <w:r>
                    <w:rPr>
                      <w:rFonts w:ascii="Times New Roman" w:hAnsi="宋体"/>
                      <w:sz w:val="21"/>
                      <w:szCs w:val="21"/>
                    </w:rPr>
                    <w:t>一般排放口</w:t>
                  </w:r>
                </w:p>
              </w:tc>
              <w:tc>
                <w:tcPr>
                  <w:tcW w:w="486" w:type="pct"/>
                  <w:vMerge w:val="restart"/>
                  <w:noWrap w:val="0"/>
                  <w:vAlign w:val="center"/>
                </w:tcPr>
                <w:p w14:paraId="42B02185">
                  <w:pPr>
                    <w:pStyle w:val="166"/>
                    <w:autoSpaceDE w:val="0"/>
                    <w:autoSpaceDN w:val="0"/>
                    <w:spacing w:line="0" w:lineRule="atLeast"/>
                    <w:jc w:val="center"/>
                    <w:rPr>
                      <w:rFonts w:ascii="Times New Roman" w:hAnsi="Times New Roman"/>
                      <w:b/>
                      <w:sz w:val="24"/>
                    </w:rPr>
                  </w:pPr>
                  <w:r>
                    <w:rPr>
                      <w:rFonts w:ascii="Times New Roman" w:hAnsi="Times New Roman"/>
                      <w:sz w:val="21"/>
                      <w:szCs w:val="21"/>
                    </w:rPr>
                    <w:t>119.265408</w:t>
                  </w:r>
                </w:p>
              </w:tc>
              <w:tc>
                <w:tcPr>
                  <w:tcW w:w="444" w:type="pct"/>
                  <w:vMerge w:val="restart"/>
                  <w:noWrap w:val="0"/>
                  <w:vAlign w:val="center"/>
                </w:tcPr>
                <w:p w14:paraId="3C099C01">
                  <w:pPr>
                    <w:pStyle w:val="166"/>
                    <w:autoSpaceDE w:val="0"/>
                    <w:autoSpaceDN w:val="0"/>
                    <w:spacing w:line="0" w:lineRule="atLeast"/>
                    <w:jc w:val="center"/>
                    <w:rPr>
                      <w:rFonts w:ascii="Times New Roman" w:hAnsi="Times New Roman"/>
                    </w:rPr>
                  </w:pPr>
                  <w:r>
                    <w:rPr>
                      <w:rFonts w:ascii="Times New Roman" w:hAnsi="Times New Roman"/>
                      <w:sz w:val="21"/>
                      <w:szCs w:val="21"/>
                    </w:rPr>
                    <w:t>33.999390</w:t>
                  </w:r>
                </w:p>
              </w:tc>
              <w:tc>
                <w:tcPr>
                  <w:tcW w:w="348" w:type="pct"/>
                  <w:vMerge w:val="restart"/>
                  <w:noWrap w:val="0"/>
                  <w:vAlign w:val="center"/>
                </w:tcPr>
                <w:p w14:paraId="562EEECF">
                  <w:pPr>
                    <w:pStyle w:val="166"/>
                    <w:autoSpaceDE w:val="0"/>
                    <w:autoSpaceDN w:val="0"/>
                    <w:spacing w:line="0" w:lineRule="atLeast"/>
                    <w:jc w:val="center"/>
                    <w:rPr>
                      <w:rFonts w:hint="default" w:ascii="Times New Roman" w:hAnsi="Times New Roman" w:eastAsia="宋体"/>
                      <w:b/>
                      <w:sz w:val="24"/>
                      <w:lang w:val="en-US" w:eastAsia="zh-CN"/>
                    </w:rPr>
                  </w:pPr>
                  <w:r>
                    <w:rPr>
                      <w:rFonts w:hint="eastAsia" w:ascii="Times New Roman" w:hAnsi="Times New Roman"/>
                      <w:sz w:val="21"/>
                      <w:szCs w:val="21"/>
                      <w:lang w:val="en-US" w:eastAsia="zh-CN"/>
                    </w:rPr>
                    <w:t>472.5</w:t>
                  </w:r>
                </w:p>
              </w:tc>
              <w:tc>
                <w:tcPr>
                  <w:tcW w:w="271" w:type="pct"/>
                  <w:vMerge w:val="restart"/>
                  <w:noWrap w:val="0"/>
                  <w:vAlign w:val="center"/>
                </w:tcPr>
                <w:p w14:paraId="01FE78DB">
                  <w:pPr>
                    <w:pStyle w:val="166"/>
                    <w:autoSpaceDE w:val="0"/>
                    <w:autoSpaceDN w:val="0"/>
                    <w:spacing w:line="0" w:lineRule="atLeast"/>
                    <w:jc w:val="center"/>
                    <w:rPr>
                      <w:rFonts w:ascii="Times New Roman" w:hAnsi="Times New Roman"/>
                      <w:b/>
                      <w:sz w:val="24"/>
                    </w:rPr>
                  </w:pPr>
                  <w:r>
                    <w:rPr>
                      <w:rFonts w:ascii="Times New Roman" w:hAnsi="宋体"/>
                      <w:sz w:val="21"/>
                      <w:szCs w:val="21"/>
                    </w:rPr>
                    <w:t>污水处理厂</w:t>
                  </w:r>
                </w:p>
              </w:tc>
              <w:tc>
                <w:tcPr>
                  <w:tcW w:w="611" w:type="pct"/>
                  <w:vMerge w:val="restart"/>
                  <w:noWrap w:val="0"/>
                  <w:vAlign w:val="center"/>
                </w:tcPr>
                <w:p w14:paraId="19883CC7">
                  <w:pPr>
                    <w:pStyle w:val="166"/>
                    <w:autoSpaceDE w:val="0"/>
                    <w:autoSpaceDN w:val="0"/>
                    <w:spacing w:line="0" w:lineRule="atLeast"/>
                    <w:jc w:val="center"/>
                    <w:rPr>
                      <w:rFonts w:ascii="Times New Roman" w:hAnsi="Times New Roman"/>
                      <w:b/>
                      <w:sz w:val="24"/>
                      <w:lang w:eastAsia="zh-CN"/>
                    </w:rPr>
                  </w:pPr>
                  <w:r>
                    <w:rPr>
                      <w:rFonts w:ascii="Times New Roman" w:hAnsi="宋体"/>
                      <w:sz w:val="21"/>
                      <w:szCs w:val="21"/>
                      <w:lang w:eastAsia="zh-CN"/>
                    </w:rPr>
                    <w:t>间断排放，排放期间流量不稳定，但有规律，且不属于非周期性规律</w:t>
                  </w:r>
                </w:p>
              </w:tc>
              <w:tc>
                <w:tcPr>
                  <w:tcW w:w="324" w:type="pct"/>
                  <w:vMerge w:val="restart"/>
                  <w:noWrap w:val="0"/>
                  <w:vAlign w:val="center"/>
                </w:tcPr>
                <w:p w14:paraId="05E63B08">
                  <w:pPr>
                    <w:pStyle w:val="166"/>
                    <w:autoSpaceDE w:val="0"/>
                    <w:autoSpaceDN w:val="0"/>
                    <w:spacing w:line="0" w:lineRule="atLeast"/>
                    <w:jc w:val="center"/>
                    <w:rPr>
                      <w:rFonts w:ascii="Times New Roman" w:hAnsi="Times New Roman"/>
                      <w:b/>
                      <w:sz w:val="24"/>
                    </w:rPr>
                  </w:pPr>
                  <w:r>
                    <w:rPr>
                      <w:rFonts w:ascii="Times New Roman" w:hAnsi="宋体"/>
                      <w:sz w:val="21"/>
                      <w:szCs w:val="21"/>
                    </w:rPr>
                    <w:t>工作日</w:t>
                  </w:r>
                </w:p>
              </w:tc>
              <w:tc>
                <w:tcPr>
                  <w:tcW w:w="305" w:type="pct"/>
                  <w:vMerge w:val="restart"/>
                  <w:noWrap w:val="0"/>
                  <w:vAlign w:val="center"/>
                </w:tcPr>
                <w:p w14:paraId="5B3A12E4">
                  <w:pPr>
                    <w:pStyle w:val="166"/>
                    <w:autoSpaceDE w:val="0"/>
                    <w:autoSpaceDN w:val="0"/>
                    <w:spacing w:line="0" w:lineRule="atLeast"/>
                    <w:jc w:val="center"/>
                    <w:rPr>
                      <w:rFonts w:ascii="Times New Roman" w:hAnsi="Times New Roman"/>
                      <w:b/>
                      <w:sz w:val="24"/>
                    </w:rPr>
                  </w:pPr>
                  <w:r>
                    <w:rPr>
                      <w:rFonts w:ascii="Times New Roman" w:hAnsi="宋体"/>
                      <w:sz w:val="21"/>
                      <w:szCs w:val="21"/>
                    </w:rPr>
                    <w:t>高沟镇污水处理厂</w:t>
                  </w:r>
                </w:p>
              </w:tc>
              <w:tc>
                <w:tcPr>
                  <w:tcW w:w="542" w:type="pct"/>
                  <w:noWrap w:val="0"/>
                  <w:vAlign w:val="center"/>
                </w:tcPr>
                <w:p w14:paraId="45870D88">
                  <w:pPr>
                    <w:tabs>
                      <w:tab w:val="left" w:pos="0"/>
                    </w:tabs>
                    <w:adjustRightInd w:val="0"/>
                    <w:snapToGrid w:val="0"/>
                    <w:jc w:val="center"/>
                    <w:rPr>
                      <w:rFonts w:ascii="Times New Roman" w:hAnsi="Times New Roman"/>
                      <w:szCs w:val="21"/>
                    </w:rPr>
                  </w:pPr>
                  <w:r>
                    <w:rPr>
                      <w:rFonts w:ascii="Times New Roman" w:hAnsi="Times New Roman"/>
                      <w:szCs w:val="21"/>
                    </w:rPr>
                    <w:t>pH</w:t>
                  </w:r>
                </w:p>
              </w:tc>
              <w:tc>
                <w:tcPr>
                  <w:tcW w:w="794" w:type="pct"/>
                  <w:noWrap w:val="0"/>
                  <w:vAlign w:val="center"/>
                </w:tcPr>
                <w:p w14:paraId="146ECD63">
                  <w:pPr>
                    <w:tabs>
                      <w:tab w:val="left" w:pos="0"/>
                    </w:tabs>
                    <w:adjustRightInd w:val="0"/>
                    <w:snapToGrid w:val="0"/>
                    <w:jc w:val="center"/>
                    <w:rPr>
                      <w:rFonts w:ascii="Times New Roman" w:hAnsi="Times New Roman"/>
                      <w:szCs w:val="21"/>
                    </w:rPr>
                  </w:pPr>
                  <w:r>
                    <w:rPr>
                      <w:rFonts w:ascii="Times New Roman" w:hAnsi="Times New Roman"/>
                      <w:szCs w:val="21"/>
                    </w:rPr>
                    <w:t>6</w:t>
                  </w:r>
                  <w:r>
                    <w:rPr>
                      <w:rFonts w:ascii="Times New Roman" w:hAnsi="宋体"/>
                      <w:szCs w:val="21"/>
                    </w:rPr>
                    <w:t>～</w:t>
                  </w:r>
                  <w:r>
                    <w:rPr>
                      <w:rFonts w:ascii="Times New Roman" w:hAnsi="Times New Roman"/>
                      <w:szCs w:val="21"/>
                    </w:rPr>
                    <w:t>9</w:t>
                  </w:r>
                </w:p>
              </w:tc>
            </w:tr>
            <w:tr w14:paraId="1EE37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79E4A4A8">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67B0BCE2">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152C804D">
                  <w:pPr>
                    <w:pStyle w:val="166"/>
                    <w:autoSpaceDE w:val="0"/>
                    <w:autoSpaceDN w:val="0"/>
                    <w:spacing w:line="0" w:lineRule="atLeast"/>
                    <w:jc w:val="center"/>
                    <w:rPr>
                      <w:rFonts w:ascii="Times New Roman" w:hAnsi="Times New Roman"/>
                      <w:b/>
                      <w:sz w:val="24"/>
                    </w:rPr>
                  </w:pPr>
                </w:p>
              </w:tc>
              <w:tc>
                <w:tcPr>
                  <w:tcW w:w="486" w:type="pct"/>
                  <w:vMerge w:val="continue"/>
                  <w:noWrap w:val="0"/>
                  <w:vAlign w:val="center"/>
                </w:tcPr>
                <w:p w14:paraId="2AE70D15">
                  <w:pPr>
                    <w:pStyle w:val="166"/>
                    <w:autoSpaceDE w:val="0"/>
                    <w:autoSpaceDN w:val="0"/>
                    <w:spacing w:line="0" w:lineRule="atLeast"/>
                    <w:jc w:val="center"/>
                    <w:rPr>
                      <w:rFonts w:ascii="Times New Roman" w:hAnsi="Times New Roman"/>
                      <w:b/>
                      <w:sz w:val="24"/>
                    </w:rPr>
                  </w:pPr>
                </w:p>
              </w:tc>
              <w:tc>
                <w:tcPr>
                  <w:tcW w:w="444" w:type="pct"/>
                  <w:vMerge w:val="continue"/>
                  <w:noWrap w:val="0"/>
                  <w:vAlign w:val="center"/>
                </w:tcPr>
                <w:p w14:paraId="3099CB33">
                  <w:pPr>
                    <w:pStyle w:val="166"/>
                    <w:autoSpaceDE w:val="0"/>
                    <w:autoSpaceDN w:val="0"/>
                    <w:spacing w:line="0" w:lineRule="atLeast"/>
                    <w:jc w:val="center"/>
                    <w:rPr>
                      <w:rFonts w:ascii="Times New Roman" w:hAnsi="Times New Roman"/>
                    </w:rPr>
                  </w:pPr>
                </w:p>
              </w:tc>
              <w:tc>
                <w:tcPr>
                  <w:tcW w:w="348" w:type="pct"/>
                  <w:vMerge w:val="continue"/>
                  <w:noWrap w:val="0"/>
                  <w:vAlign w:val="center"/>
                </w:tcPr>
                <w:p w14:paraId="724BCDF2">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42C146B9">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2A244379">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7060DEE5">
                  <w:pPr>
                    <w:pStyle w:val="166"/>
                    <w:autoSpaceDE w:val="0"/>
                    <w:autoSpaceDN w:val="0"/>
                    <w:spacing w:line="0" w:lineRule="atLeast"/>
                    <w:jc w:val="center"/>
                    <w:rPr>
                      <w:rFonts w:ascii="Times New Roman" w:hAnsi="Times New Roman"/>
                      <w:b/>
                      <w:sz w:val="24"/>
                    </w:rPr>
                  </w:pPr>
                </w:p>
              </w:tc>
              <w:tc>
                <w:tcPr>
                  <w:tcW w:w="305" w:type="pct"/>
                  <w:vMerge w:val="continue"/>
                  <w:noWrap w:val="0"/>
                  <w:vAlign w:val="center"/>
                </w:tcPr>
                <w:p w14:paraId="6BC8B3D5">
                  <w:pPr>
                    <w:pStyle w:val="166"/>
                    <w:autoSpaceDE w:val="0"/>
                    <w:autoSpaceDN w:val="0"/>
                    <w:spacing w:line="0" w:lineRule="atLeast"/>
                    <w:jc w:val="center"/>
                    <w:rPr>
                      <w:rFonts w:ascii="Times New Roman" w:hAnsi="Times New Roman"/>
                      <w:b/>
                      <w:sz w:val="24"/>
                    </w:rPr>
                  </w:pPr>
                </w:p>
              </w:tc>
              <w:tc>
                <w:tcPr>
                  <w:tcW w:w="542" w:type="pct"/>
                  <w:noWrap w:val="0"/>
                  <w:vAlign w:val="center"/>
                </w:tcPr>
                <w:p w14:paraId="655E6D0D">
                  <w:pPr>
                    <w:tabs>
                      <w:tab w:val="left" w:pos="0"/>
                    </w:tabs>
                    <w:adjustRightInd w:val="0"/>
                    <w:snapToGrid w:val="0"/>
                    <w:jc w:val="center"/>
                    <w:rPr>
                      <w:rFonts w:ascii="Times New Roman" w:hAnsi="Times New Roman"/>
                      <w:szCs w:val="21"/>
                    </w:rPr>
                  </w:pPr>
                  <w:r>
                    <w:rPr>
                      <w:rFonts w:ascii="Times New Roman" w:hAnsi="Times New Roman"/>
                      <w:szCs w:val="21"/>
                    </w:rPr>
                    <w:t>COD</w:t>
                  </w:r>
                </w:p>
              </w:tc>
              <w:tc>
                <w:tcPr>
                  <w:tcW w:w="794" w:type="pct"/>
                  <w:noWrap w:val="0"/>
                  <w:vAlign w:val="center"/>
                </w:tcPr>
                <w:p w14:paraId="71899BD9">
                  <w:pPr>
                    <w:tabs>
                      <w:tab w:val="left" w:pos="0"/>
                    </w:tabs>
                    <w:adjustRightInd w:val="0"/>
                    <w:snapToGrid w:val="0"/>
                    <w:jc w:val="center"/>
                    <w:rPr>
                      <w:rFonts w:ascii="Times New Roman" w:hAnsi="Times New Roman"/>
                      <w:szCs w:val="21"/>
                    </w:rPr>
                  </w:pPr>
                  <w:r>
                    <w:rPr>
                      <w:rFonts w:ascii="Times New Roman" w:hAnsi="Times New Roman"/>
                      <w:szCs w:val="21"/>
                    </w:rPr>
                    <w:t>50</w:t>
                  </w:r>
                </w:p>
              </w:tc>
            </w:tr>
            <w:tr w14:paraId="1F518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2316ABC5">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793FD09B">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2D77084B">
                  <w:pPr>
                    <w:pStyle w:val="166"/>
                    <w:autoSpaceDE w:val="0"/>
                    <w:autoSpaceDN w:val="0"/>
                    <w:spacing w:line="0" w:lineRule="atLeast"/>
                    <w:jc w:val="center"/>
                    <w:rPr>
                      <w:rFonts w:ascii="Times New Roman" w:hAnsi="Times New Roman"/>
                      <w:b/>
                      <w:sz w:val="24"/>
                    </w:rPr>
                  </w:pPr>
                </w:p>
              </w:tc>
              <w:tc>
                <w:tcPr>
                  <w:tcW w:w="486" w:type="pct"/>
                  <w:vMerge w:val="continue"/>
                  <w:noWrap w:val="0"/>
                  <w:vAlign w:val="center"/>
                </w:tcPr>
                <w:p w14:paraId="08F2A3F7">
                  <w:pPr>
                    <w:pStyle w:val="166"/>
                    <w:autoSpaceDE w:val="0"/>
                    <w:autoSpaceDN w:val="0"/>
                    <w:spacing w:line="0" w:lineRule="atLeast"/>
                    <w:jc w:val="center"/>
                    <w:rPr>
                      <w:rFonts w:ascii="Times New Roman" w:hAnsi="Times New Roman"/>
                      <w:b/>
                      <w:sz w:val="24"/>
                    </w:rPr>
                  </w:pPr>
                </w:p>
              </w:tc>
              <w:tc>
                <w:tcPr>
                  <w:tcW w:w="444" w:type="pct"/>
                  <w:vMerge w:val="continue"/>
                  <w:noWrap w:val="0"/>
                  <w:vAlign w:val="center"/>
                </w:tcPr>
                <w:p w14:paraId="71B56378">
                  <w:pPr>
                    <w:pStyle w:val="166"/>
                    <w:autoSpaceDE w:val="0"/>
                    <w:autoSpaceDN w:val="0"/>
                    <w:spacing w:line="0" w:lineRule="atLeast"/>
                    <w:jc w:val="center"/>
                    <w:rPr>
                      <w:rFonts w:ascii="Times New Roman" w:hAnsi="Times New Roman"/>
                    </w:rPr>
                  </w:pPr>
                </w:p>
              </w:tc>
              <w:tc>
                <w:tcPr>
                  <w:tcW w:w="348" w:type="pct"/>
                  <w:vMerge w:val="continue"/>
                  <w:noWrap w:val="0"/>
                  <w:vAlign w:val="center"/>
                </w:tcPr>
                <w:p w14:paraId="1B0E1B92">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580EE5A4">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1AE90BD1">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44A63FF8">
                  <w:pPr>
                    <w:pStyle w:val="166"/>
                    <w:autoSpaceDE w:val="0"/>
                    <w:autoSpaceDN w:val="0"/>
                    <w:spacing w:line="0" w:lineRule="atLeast"/>
                    <w:jc w:val="center"/>
                    <w:rPr>
                      <w:rFonts w:ascii="Times New Roman" w:hAnsi="Times New Roman"/>
                      <w:b/>
                      <w:sz w:val="24"/>
                    </w:rPr>
                  </w:pPr>
                </w:p>
              </w:tc>
              <w:tc>
                <w:tcPr>
                  <w:tcW w:w="305" w:type="pct"/>
                  <w:vMerge w:val="continue"/>
                  <w:noWrap w:val="0"/>
                  <w:vAlign w:val="center"/>
                </w:tcPr>
                <w:p w14:paraId="68A46676">
                  <w:pPr>
                    <w:pStyle w:val="166"/>
                    <w:autoSpaceDE w:val="0"/>
                    <w:autoSpaceDN w:val="0"/>
                    <w:spacing w:line="0" w:lineRule="atLeast"/>
                    <w:jc w:val="center"/>
                    <w:rPr>
                      <w:rFonts w:ascii="Times New Roman" w:hAnsi="Times New Roman"/>
                      <w:b/>
                      <w:sz w:val="24"/>
                    </w:rPr>
                  </w:pPr>
                </w:p>
              </w:tc>
              <w:tc>
                <w:tcPr>
                  <w:tcW w:w="542" w:type="pct"/>
                  <w:noWrap w:val="0"/>
                  <w:vAlign w:val="center"/>
                </w:tcPr>
                <w:p w14:paraId="5F87588D">
                  <w:pPr>
                    <w:tabs>
                      <w:tab w:val="left" w:pos="0"/>
                    </w:tabs>
                    <w:adjustRightInd w:val="0"/>
                    <w:snapToGrid w:val="0"/>
                    <w:jc w:val="center"/>
                    <w:rPr>
                      <w:rFonts w:ascii="Times New Roman" w:hAnsi="Times New Roman"/>
                      <w:szCs w:val="21"/>
                    </w:rPr>
                  </w:pPr>
                  <w:r>
                    <w:rPr>
                      <w:rFonts w:ascii="Times New Roman" w:hAnsi="Times New Roman"/>
                      <w:szCs w:val="21"/>
                    </w:rPr>
                    <w:t>SS</w:t>
                  </w:r>
                </w:p>
              </w:tc>
              <w:tc>
                <w:tcPr>
                  <w:tcW w:w="794" w:type="pct"/>
                  <w:noWrap w:val="0"/>
                  <w:vAlign w:val="center"/>
                </w:tcPr>
                <w:p w14:paraId="59697F4C">
                  <w:pPr>
                    <w:tabs>
                      <w:tab w:val="left" w:pos="0"/>
                    </w:tabs>
                    <w:adjustRightInd w:val="0"/>
                    <w:snapToGrid w:val="0"/>
                    <w:jc w:val="center"/>
                    <w:rPr>
                      <w:rFonts w:ascii="Times New Roman" w:hAnsi="Times New Roman"/>
                      <w:szCs w:val="21"/>
                    </w:rPr>
                  </w:pPr>
                  <w:r>
                    <w:rPr>
                      <w:rFonts w:ascii="Times New Roman" w:hAnsi="Times New Roman"/>
                      <w:szCs w:val="21"/>
                    </w:rPr>
                    <w:t>10</w:t>
                  </w:r>
                </w:p>
              </w:tc>
            </w:tr>
            <w:tr w14:paraId="147E1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5C8E83C4">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5BE233B3">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42EB1042">
                  <w:pPr>
                    <w:pStyle w:val="166"/>
                    <w:autoSpaceDE w:val="0"/>
                    <w:autoSpaceDN w:val="0"/>
                    <w:spacing w:line="0" w:lineRule="atLeast"/>
                    <w:jc w:val="center"/>
                    <w:rPr>
                      <w:rFonts w:ascii="Times New Roman" w:hAnsi="Times New Roman"/>
                      <w:b/>
                      <w:sz w:val="24"/>
                    </w:rPr>
                  </w:pPr>
                </w:p>
              </w:tc>
              <w:tc>
                <w:tcPr>
                  <w:tcW w:w="486" w:type="pct"/>
                  <w:vMerge w:val="continue"/>
                  <w:noWrap w:val="0"/>
                  <w:vAlign w:val="center"/>
                </w:tcPr>
                <w:p w14:paraId="1641DD5B">
                  <w:pPr>
                    <w:pStyle w:val="166"/>
                    <w:autoSpaceDE w:val="0"/>
                    <w:autoSpaceDN w:val="0"/>
                    <w:spacing w:line="0" w:lineRule="atLeast"/>
                    <w:jc w:val="center"/>
                    <w:rPr>
                      <w:rFonts w:ascii="Times New Roman" w:hAnsi="Times New Roman"/>
                      <w:b/>
                      <w:sz w:val="24"/>
                    </w:rPr>
                  </w:pPr>
                </w:p>
              </w:tc>
              <w:tc>
                <w:tcPr>
                  <w:tcW w:w="444" w:type="pct"/>
                  <w:vMerge w:val="continue"/>
                  <w:noWrap w:val="0"/>
                  <w:vAlign w:val="center"/>
                </w:tcPr>
                <w:p w14:paraId="6DF210E9">
                  <w:pPr>
                    <w:pStyle w:val="166"/>
                    <w:autoSpaceDE w:val="0"/>
                    <w:autoSpaceDN w:val="0"/>
                    <w:spacing w:line="0" w:lineRule="atLeast"/>
                    <w:jc w:val="center"/>
                    <w:rPr>
                      <w:rFonts w:ascii="Times New Roman" w:hAnsi="Times New Roman"/>
                    </w:rPr>
                  </w:pPr>
                </w:p>
              </w:tc>
              <w:tc>
                <w:tcPr>
                  <w:tcW w:w="348" w:type="pct"/>
                  <w:vMerge w:val="continue"/>
                  <w:noWrap w:val="0"/>
                  <w:vAlign w:val="center"/>
                </w:tcPr>
                <w:p w14:paraId="75B2C74D">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0FF52AF4">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076FF325">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57D09359">
                  <w:pPr>
                    <w:pStyle w:val="166"/>
                    <w:autoSpaceDE w:val="0"/>
                    <w:autoSpaceDN w:val="0"/>
                    <w:spacing w:line="0" w:lineRule="atLeast"/>
                    <w:jc w:val="center"/>
                    <w:rPr>
                      <w:rFonts w:ascii="Times New Roman" w:hAnsi="Times New Roman"/>
                      <w:b/>
                      <w:sz w:val="24"/>
                    </w:rPr>
                  </w:pPr>
                </w:p>
              </w:tc>
              <w:tc>
                <w:tcPr>
                  <w:tcW w:w="305" w:type="pct"/>
                  <w:vMerge w:val="continue"/>
                  <w:noWrap w:val="0"/>
                  <w:vAlign w:val="center"/>
                </w:tcPr>
                <w:p w14:paraId="52BACFD2">
                  <w:pPr>
                    <w:pStyle w:val="166"/>
                    <w:autoSpaceDE w:val="0"/>
                    <w:autoSpaceDN w:val="0"/>
                    <w:spacing w:line="0" w:lineRule="atLeast"/>
                    <w:jc w:val="center"/>
                    <w:rPr>
                      <w:rFonts w:ascii="Times New Roman" w:hAnsi="Times New Roman"/>
                      <w:b/>
                      <w:sz w:val="24"/>
                    </w:rPr>
                  </w:pPr>
                </w:p>
              </w:tc>
              <w:tc>
                <w:tcPr>
                  <w:tcW w:w="542" w:type="pct"/>
                  <w:noWrap w:val="0"/>
                  <w:vAlign w:val="center"/>
                </w:tcPr>
                <w:p w14:paraId="08ED0DC4">
                  <w:pPr>
                    <w:tabs>
                      <w:tab w:val="left" w:pos="0"/>
                    </w:tabs>
                    <w:adjustRightInd w:val="0"/>
                    <w:snapToGrid w:val="0"/>
                    <w:jc w:val="center"/>
                    <w:rPr>
                      <w:rFonts w:ascii="Times New Roman" w:hAnsi="Times New Roman"/>
                      <w:szCs w:val="21"/>
                    </w:rPr>
                  </w:pPr>
                  <w:r>
                    <w:rPr>
                      <w:rFonts w:ascii="Times New Roman" w:hAnsi="宋体"/>
                      <w:szCs w:val="21"/>
                    </w:rPr>
                    <w:t>氨氮</w:t>
                  </w:r>
                </w:p>
              </w:tc>
              <w:tc>
                <w:tcPr>
                  <w:tcW w:w="794" w:type="pct"/>
                  <w:noWrap w:val="0"/>
                  <w:vAlign w:val="center"/>
                </w:tcPr>
                <w:p w14:paraId="0A8F5834">
                  <w:pPr>
                    <w:tabs>
                      <w:tab w:val="left" w:pos="0"/>
                    </w:tabs>
                    <w:adjustRightInd w:val="0"/>
                    <w:snapToGrid w:val="0"/>
                    <w:jc w:val="center"/>
                    <w:rPr>
                      <w:rFonts w:ascii="Times New Roman" w:hAnsi="Times New Roman"/>
                      <w:szCs w:val="21"/>
                    </w:rPr>
                  </w:pPr>
                  <w:r>
                    <w:rPr>
                      <w:rFonts w:ascii="Times New Roman" w:hAnsi="Times New Roman"/>
                      <w:szCs w:val="21"/>
                    </w:rPr>
                    <w:t>5</w:t>
                  </w:r>
                </w:p>
              </w:tc>
            </w:tr>
            <w:tr w14:paraId="56ED1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53AB0272">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7B796EEC">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210CA9B0">
                  <w:pPr>
                    <w:pStyle w:val="166"/>
                    <w:autoSpaceDE w:val="0"/>
                    <w:autoSpaceDN w:val="0"/>
                    <w:spacing w:line="0" w:lineRule="atLeast"/>
                    <w:jc w:val="center"/>
                    <w:rPr>
                      <w:rFonts w:ascii="Times New Roman" w:hAnsi="Times New Roman"/>
                      <w:b/>
                      <w:sz w:val="24"/>
                    </w:rPr>
                  </w:pPr>
                </w:p>
              </w:tc>
              <w:tc>
                <w:tcPr>
                  <w:tcW w:w="486" w:type="pct"/>
                  <w:vMerge w:val="continue"/>
                  <w:noWrap w:val="0"/>
                  <w:vAlign w:val="center"/>
                </w:tcPr>
                <w:p w14:paraId="0853685F">
                  <w:pPr>
                    <w:pStyle w:val="166"/>
                    <w:autoSpaceDE w:val="0"/>
                    <w:autoSpaceDN w:val="0"/>
                    <w:spacing w:line="0" w:lineRule="atLeast"/>
                    <w:jc w:val="center"/>
                    <w:rPr>
                      <w:rFonts w:ascii="Times New Roman" w:hAnsi="Times New Roman"/>
                      <w:b/>
                      <w:sz w:val="24"/>
                    </w:rPr>
                  </w:pPr>
                </w:p>
              </w:tc>
              <w:tc>
                <w:tcPr>
                  <w:tcW w:w="444" w:type="pct"/>
                  <w:vMerge w:val="continue"/>
                  <w:noWrap w:val="0"/>
                  <w:vAlign w:val="center"/>
                </w:tcPr>
                <w:p w14:paraId="6923F190">
                  <w:pPr>
                    <w:pStyle w:val="166"/>
                    <w:autoSpaceDE w:val="0"/>
                    <w:autoSpaceDN w:val="0"/>
                    <w:spacing w:line="0" w:lineRule="atLeast"/>
                    <w:jc w:val="center"/>
                    <w:rPr>
                      <w:rFonts w:ascii="Times New Roman" w:hAnsi="Times New Roman"/>
                    </w:rPr>
                  </w:pPr>
                </w:p>
              </w:tc>
              <w:tc>
                <w:tcPr>
                  <w:tcW w:w="348" w:type="pct"/>
                  <w:vMerge w:val="continue"/>
                  <w:noWrap w:val="0"/>
                  <w:vAlign w:val="center"/>
                </w:tcPr>
                <w:p w14:paraId="0D75AD87">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46B6E1F7">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602329B7">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4ED385B4">
                  <w:pPr>
                    <w:pStyle w:val="166"/>
                    <w:autoSpaceDE w:val="0"/>
                    <w:autoSpaceDN w:val="0"/>
                    <w:spacing w:line="0" w:lineRule="atLeast"/>
                    <w:jc w:val="center"/>
                    <w:rPr>
                      <w:rFonts w:ascii="Times New Roman" w:hAnsi="Times New Roman"/>
                      <w:b/>
                      <w:sz w:val="24"/>
                    </w:rPr>
                  </w:pPr>
                </w:p>
              </w:tc>
              <w:tc>
                <w:tcPr>
                  <w:tcW w:w="305" w:type="pct"/>
                  <w:vMerge w:val="continue"/>
                  <w:noWrap w:val="0"/>
                  <w:vAlign w:val="center"/>
                </w:tcPr>
                <w:p w14:paraId="471F2B41">
                  <w:pPr>
                    <w:pStyle w:val="166"/>
                    <w:autoSpaceDE w:val="0"/>
                    <w:autoSpaceDN w:val="0"/>
                    <w:spacing w:line="0" w:lineRule="atLeast"/>
                    <w:jc w:val="center"/>
                    <w:rPr>
                      <w:rFonts w:ascii="Times New Roman" w:hAnsi="Times New Roman"/>
                      <w:b/>
                      <w:sz w:val="24"/>
                    </w:rPr>
                  </w:pPr>
                </w:p>
              </w:tc>
              <w:tc>
                <w:tcPr>
                  <w:tcW w:w="542" w:type="pct"/>
                  <w:noWrap w:val="0"/>
                  <w:vAlign w:val="center"/>
                </w:tcPr>
                <w:p w14:paraId="6BE73C4E">
                  <w:pPr>
                    <w:tabs>
                      <w:tab w:val="left" w:pos="0"/>
                    </w:tabs>
                    <w:adjustRightInd w:val="0"/>
                    <w:snapToGrid w:val="0"/>
                    <w:jc w:val="center"/>
                    <w:rPr>
                      <w:rFonts w:ascii="Times New Roman" w:hAnsi="Times New Roman"/>
                      <w:szCs w:val="21"/>
                    </w:rPr>
                  </w:pPr>
                  <w:r>
                    <w:rPr>
                      <w:rFonts w:ascii="Times New Roman" w:hAnsi="宋体"/>
                      <w:szCs w:val="21"/>
                    </w:rPr>
                    <w:t>总磷</w:t>
                  </w:r>
                </w:p>
              </w:tc>
              <w:tc>
                <w:tcPr>
                  <w:tcW w:w="794" w:type="pct"/>
                  <w:noWrap w:val="0"/>
                  <w:vAlign w:val="center"/>
                </w:tcPr>
                <w:p w14:paraId="73E87CAF">
                  <w:pPr>
                    <w:tabs>
                      <w:tab w:val="left" w:pos="0"/>
                    </w:tabs>
                    <w:adjustRightInd w:val="0"/>
                    <w:snapToGrid w:val="0"/>
                    <w:jc w:val="center"/>
                    <w:rPr>
                      <w:rFonts w:ascii="Times New Roman" w:hAnsi="Times New Roman"/>
                      <w:szCs w:val="21"/>
                    </w:rPr>
                  </w:pPr>
                  <w:r>
                    <w:rPr>
                      <w:rFonts w:ascii="Times New Roman" w:hAnsi="Times New Roman"/>
                      <w:szCs w:val="21"/>
                    </w:rPr>
                    <w:t>0.5</w:t>
                  </w:r>
                </w:p>
              </w:tc>
            </w:tr>
            <w:tr w14:paraId="0B897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noWrap w:val="0"/>
                  <w:vAlign w:val="center"/>
                </w:tcPr>
                <w:p w14:paraId="0E9A58D4">
                  <w:pPr>
                    <w:pStyle w:val="166"/>
                    <w:autoSpaceDE w:val="0"/>
                    <w:autoSpaceDN w:val="0"/>
                    <w:spacing w:line="0" w:lineRule="atLeast"/>
                    <w:jc w:val="center"/>
                    <w:rPr>
                      <w:rFonts w:ascii="Times New Roman" w:hAnsi="Times New Roman"/>
                      <w:b/>
                      <w:sz w:val="24"/>
                    </w:rPr>
                  </w:pPr>
                </w:p>
              </w:tc>
              <w:tc>
                <w:tcPr>
                  <w:tcW w:w="352" w:type="pct"/>
                  <w:vMerge w:val="continue"/>
                  <w:noWrap w:val="0"/>
                  <w:vAlign w:val="center"/>
                </w:tcPr>
                <w:p w14:paraId="293B9487">
                  <w:pPr>
                    <w:pStyle w:val="166"/>
                    <w:autoSpaceDE w:val="0"/>
                    <w:autoSpaceDN w:val="0"/>
                    <w:spacing w:line="0" w:lineRule="atLeast"/>
                    <w:jc w:val="center"/>
                    <w:rPr>
                      <w:rFonts w:ascii="Times New Roman" w:hAnsi="Times New Roman"/>
                      <w:b/>
                      <w:sz w:val="24"/>
                    </w:rPr>
                  </w:pPr>
                </w:p>
              </w:tc>
              <w:tc>
                <w:tcPr>
                  <w:tcW w:w="286" w:type="pct"/>
                  <w:vMerge w:val="continue"/>
                  <w:noWrap w:val="0"/>
                  <w:vAlign w:val="center"/>
                </w:tcPr>
                <w:p w14:paraId="31BB7BDE">
                  <w:pPr>
                    <w:pStyle w:val="166"/>
                    <w:autoSpaceDE w:val="0"/>
                    <w:autoSpaceDN w:val="0"/>
                    <w:spacing w:line="0" w:lineRule="atLeast"/>
                    <w:jc w:val="center"/>
                    <w:rPr>
                      <w:rFonts w:ascii="Times New Roman" w:hAnsi="Times New Roman"/>
                      <w:b/>
                      <w:sz w:val="24"/>
                    </w:rPr>
                  </w:pPr>
                </w:p>
              </w:tc>
              <w:tc>
                <w:tcPr>
                  <w:tcW w:w="486" w:type="pct"/>
                  <w:vMerge w:val="continue"/>
                  <w:noWrap w:val="0"/>
                  <w:vAlign w:val="center"/>
                </w:tcPr>
                <w:p w14:paraId="5D523638">
                  <w:pPr>
                    <w:pStyle w:val="166"/>
                    <w:autoSpaceDE w:val="0"/>
                    <w:autoSpaceDN w:val="0"/>
                    <w:spacing w:line="0" w:lineRule="atLeast"/>
                    <w:jc w:val="center"/>
                    <w:rPr>
                      <w:rFonts w:ascii="Times New Roman" w:hAnsi="Times New Roman"/>
                      <w:b/>
                      <w:sz w:val="24"/>
                    </w:rPr>
                  </w:pPr>
                </w:p>
              </w:tc>
              <w:tc>
                <w:tcPr>
                  <w:tcW w:w="444" w:type="pct"/>
                  <w:vMerge w:val="continue"/>
                  <w:noWrap w:val="0"/>
                  <w:vAlign w:val="center"/>
                </w:tcPr>
                <w:p w14:paraId="24FC6BC6">
                  <w:pPr>
                    <w:pStyle w:val="166"/>
                    <w:autoSpaceDE w:val="0"/>
                    <w:autoSpaceDN w:val="0"/>
                    <w:spacing w:line="0" w:lineRule="atLeast"/>
                    <w:jc w:val="center"/>
                    <w:rPr>
                      <w:rFonts w:ascii="Times New Roman" w:hAnsi="Times New Roman"/>
                    </w:rPr>
                  </w:pPr>
                </w:p>
              </w:tc>
              <w:tc>
                <w:tcPr>
                  <w:tcW w:w="348" w:type="pct"/>
                  <w:vMerge w:val="continue"/>
                  <w:noWrap w:val="0"/>
                  <w:vAlign w:val="center"/>
                </w:tcPr>
                <w:p w14:paraId="70E99AA5">
                  <w:pPr>
                    <w:pStyle w:val="166"/>
                    <w:autoSpaceDE w:val="0"/>
                    <w:autoSpaceDN w:val="0"/>
                    <w:spacing w:line="0" w:lineRule="atLeast"/>
                    <w:jc w:val="center"/>
                    <w:rPr>
                      <w:rFonts w:ascii="Times New Roman" w:hAnsi="Times New Roman"/>
                      <w:b/>
                      <w:sz w:val="24"/>
                    </w:rPr>
                  </w:pPr>
                </w:p>
              </w:tc>
              <w:tc>
                <w:tcPr>
                  <w:tcW w:w="271" w:type="pct"/>
                  <w:vMerge w:val="continue"/>
                  <w:noWrap w:val="0"/>
                  <w:vAlign w:val="center"/>
                </w:tcPr>
                <w:p w14:paraId="3290C1F0">
                  <w:pPr>
                    <w:pStyle w:val="166"/>
                    <w:autoSpaceDE w:val="0"/>
                    <w:autoSpaceDN w:val="0"/>
                    <w:spacing w:line="0" w:lineRule="atLeast"/>
                    <w:jc w:val="center"/>
                    <w:rPr>
                      <w:rFonts w:ascii="Times New Roman" w:hAnsi="Times New Roman"/>
                      <w:b/>
                      <w:sz w:val="24"/>
                    </w:rPr>
                  </w:pPr>
                </w:p>
              </w:tc>
              <w:tc>
                <w:tcPr>
                  <w:tcW w:w="611" w:type="pct"/>
                  <w:vMerge w:val="continue"/>
                  <w:noWrap w:val="0"/>
                  <w:vAlign w:val="center"/>
                </w:tcPr>
                <w:p w14:paraId="1E429B59">
                  <w:pPr>
                    <w:pStyle w:val="166"/>
                    <w:autoSpaceDE w:val="0"/>
                    <w:autoSpaceDN w:val="0"/>
                    <w:spacing w:line="0" w:lineRule="atLeast"/>
                    <w:jc w:val="center"/>
                    <w:rPr>
                      <w:rFonts w:ascii="Times New Roman" w:hAnsi="Times New Roman"/>
                      <w:b/>
                      <w:sz w:val="24"/>
                    </w:rPr>
                  </w:pPr>
                </w:p>
              </w:tc>
              <w:tc>
                <w:tcPr>
                  <w:tcW w:w="324" w:type="pct"/>
                  <w:vMerge w:val="continue"/>
                  <w:noWrap w:val="0"/>
                  <w:vAlign w:val="center"/>
                </w:tcPr>
                <w:p w14:paraId="0488B57E">
                  <w:pPr>
                    <w:pStyle w:val="166"/>
                    <w:autoSpaceDE w:val="0"/>
                    <w:autoSpaceDN w:val="0"/>
                    <w:spacing w:line="0" w:lineRule="atLeast"/>
                    <w:jc w:val="center"/>
                    <w:rPr>
                      <w:rFonts w:ascii="Times New Roman" w:hAnsi="Times New Roman"/>
                      <w:b/>
                      <w:sz w:val="24"/>
                    </w:rPr>
                  </w:pPr>
                </w:p>
              </w:tc>
              <w:tc>
                <w:tcPr>
                  <w:tcW w:w="305" w:type="pct"/>
                  <w:vMerge w:val="continue"/>
                  <w:noWrap w:val="0"/>
                  <w:vAlign w:val="center"/>
                </w:tcPr>
                <w:p w14:paraId="44274143">
                  <w:pPr>
                    <w:pStyle w:val="166"/>
                    <w:autoSpaceDE w:val="0"/>
                    <w:autoSpaceDN w:val="0"/>
                    <w:spacing w:line="0" w:lineRule="atLeast"/>
                    <w:jc w:val="center"/>
                    <w:rPr>
                      <w:rFonts w:ascii="Times New Roman" w:hAnsi="Times New Roman"/>
                      <w:b/>
                      <w:sz w:val="24"/>
                    </w:rPr>
                  </w:pPr>
                </w:p>
              </w:tc>
              <w:tc>
                <w:tcPr>
                  <w:tcW w:w="542" w:type="pct"/>
                  <w:noWrap w:val="0"/>
                  <w:vAlign w:val="center"/>
                </w:tcPr>
                <w:p w14:paraId="4BF01F71">
                  <w:pPr>
                    <w:tabs>
                      <w:tab w:val="left" w:pos="0"/>
                    </w:tabs>
                    <w:adjustRightInd w:val="0"/>
                    <w:snapToGrid w:val="0"/>
                    <w:jc w:val="center"/>
                    <w:rPr>
                      <w:rFonts w:ascii="Times New Roman" w:hAnsi="Times New Roman"/>
                      <w:szCs w:val="21"/>
                    </w:rPr>
                  </w:pPr>
                  <w:r>
                    <w:rPr>
                      <w:rFonts w:ascii="Times New Roman" w:hAnsi="Times New Roman"/>
                      <w:szCs w:val="21"/>
                    </w:rPr>
                    <w:t>TN</w:t>
                  </w:r>
                </w:p>
              </w:tc>
              <w:tc>
                <w:tcPr>
                  <w:tcW w:w="794" w:type="pct"/>
                  <w:noWrap w:val="0"/>
                  <w:vAlign w:val="center"/>
                </w:tcPr>
                <w:p w14:paraId="0A28EB89">
                  <w:pPr>
                    <w:tabs>
                      <w:tab w:val="left" w:pos="0"/>
                    </w:tabs>
                    <w:adjustRightInd w:val="0"/>
                    <w:snapToGrid w:val="0"/>
                    <w:jc w:val="center"/>
                    <w:rPr>
                      <w:rFonts w:ascii="Times New Roman" w:hAnsi="Times New Roman"/>
                      <w:szCs w:val="21"/>
                    </w:rPr>
                  </w:pPr>
                  <w:r>
                    <w:rPr>
                      <w:rFonts w:ascii="Times New Roman" w:hAnsi="Times New Roman"/>
                      <w:szCs w:val="21"/>
                    </w:rPr>
                    <w:t>15</w:t>
                  </w:r>
                </w:p>
              </w:tc>
            </w:tr>
            <w:tr w14:paraId="701BC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noWrap w:val="0"/>
                  <w:vAlign w:val="center"/>
                </w:tcPr>
                <w:p w14:paraId="68BA29BB">
                  <w:pPr>
                    <w:pStyle w:val="166"/>
                    <w:autoSpaceDE w:val="0"/>
                    <w:autoSpaceDN w:val="0"/>
                    <w:spacing w:line="0" w:lineRule="atLeast"/>
                    <w:rPr>
                      <w:rFonts w:ascii="Times New Roman" w:hAnsi="Times New Roman"/>
                      <w:sz w:val="21"/>
                      <w:szCs w:val="21"/>
                      <w:lang w:eastAsia="zh-CN"/>
                    </w:rPr>
                  </w:pPr>
                </w:p>
              </w:tc>
            </w:tr>
          </w:tbl>
          <w:p w14:paraId="5E9913AD">
            <w:pPr>
              <w:pStyle w:val="15"/>
              <w:rPr>
                <w:rFonts w:ascii="Times New Roman" w:hAnsi="Times New Roman" w:cs="Times New Roman"/>
              </w:rPr>
            </w:pPr>
          </w:p>
        </w:tc>
      </w:tr>
    </w:tbl>
    <w:p w14:paraId="0FEECA47"/>
    <w:p w14:paraId="3DC7DA1F">
      <w:pPr>
        <w:sectPr>
          <w:pgSz w:w="16840" w:h="11907" w:orient="landscape"/>
          <w:pgMar w:top="1531" w:right="1701" w:bottom="1531" w:left="2269" w:header="851" w:footer="851" w:gutter="0"/>
          <w:pgBorders>
            <w:top w:val="none" w:sz="0" w:space="0"/>
            <w:left w:val="none" w:sz="0" w:space="0"/>
            <w:bottom w:val="none" w:sz="0" w:space="0"/>
            <w:right w:val="none" w:sz="0" w:space="0"/>
          </w:pgBorders>
          <w:cols w:space="720" w:num="1"/>
          <w:docGrid w:linePitch="312" w:charSpace="0"/>
        </w:sectPr>
      </w:pPr>
    </w:p>
    <w:tbl>
      <w:tblPr>
        <w:tblStyle w:val="42"/>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604"/>
      </w:tblGrid>
      <w:tr w14:paraId="638C7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45" w:hRule="atLeast"/>
          <w:jc w:val="center"/>
        </w:trPr>
        <w:tc>
          <w:tcPr>
            <w:tcW w:w="741" w:type="dxa"/>
            <w:tcMar>
              <w:left w:w="28" w:type="dxa"/>
              <w:right w:w="28" w:type="dxa"/>
            </w:tcMar>
            <w:vAlign w:val="center"/>
          </w:tcPr>
          <w:p w14:paraId="10154C36">
            <w:pPr>
              <w:adjustRightInd w:val="0"/>
              <w:snapToGrid w:val="0"/>
              <w:jc w:val="center"/>
              <w:rPr>
                <w:bCs/>
                <w:color w:val="auto"/>
                <w:sz w:val="24"/>
              </w:rPr>
            </w:pPr>
            <w:r>
              <w:rPr>
                <w:bCs/>
                <w:color w:val="auto"/>
                <w:sz w:val="24"/>
              </w:rPr>
              <w:t>运营</w:t>
            </w:r>
          </w:p>
          <w:p w14:paraId="6F266DE3">
            <w:pPr>
              <w:adjustRightInd w:val="0"/>
              <w:snapToGrid w:val="0"/>
              <w:jc w:val="center"/>
              <w:rPr>
                <w:bCs/>
                <w:color w:val="auto"/>
                <w:sz w:val="24"/>
              </w:rPr>
            </w:pPr>
            <w:r>
              <w:rPr>
                <w:bCs/>
                <w:color w:val="auto"/>
                <w:sz w:val="24"/>
              </w:rPr>
              <w:t>期环</w:t>
            </w:r>
          </w:p>
          <w:p w14:paraId="2853FEBF">
            <w:pPr>
              <w:adjustRightInd w:val="0"/>
              <w:snapToGrid w:val="0"/>
              <w:jc w:val="center"/>
              <w:rPr>
                <w:bCs/>
                <w:color w:val="auto"/>
                <w:sz w:val="24"/>
              </w:rPr>
            </w:pPr>
            <w:r>
              <w:rPr>
                <w:bCs/>
                <w:color w:val="auto"/>
                <w:sz w:val="24"/>
              </w:rPr>
              <w:t>境影</w:t>
            </w:r>
          </w:p>
          <w:p w14:paraId="3804FC0E">
            <w:pPr>
              <w:adjustRightInd w:val="0"/>
              <w:snapToGrid w:val="0"/>
              <w:jc w:val="center"/>
              <w:rPr>
                <w:bCs/>
                <w:color w:val="auto"/>
                <w:sz w:val="24"/>
              </w:rPr>
            </w:pPr>
            <w:r>
              <w:rPr>
                <w:bCs/>
                <w:color w:val="auto"/>
                <w:sz w:val="24"/>
              </w:rPr>
              <w:t>响和</w:t>
            </w:r>
          </w:p>
          <w:p w14:paraId="667074C4">
            <w:pPr>
              <w:adjustRightInd w:val="0"/>
              <w:snapToGrid w:val="0"/>
              <w:jc w:val="center"/>
              <w:rPr>
                <w:bCs/>
                <w:color w:val="auto"/>
                <w:sz w:val="24"/>
              </w:rPr>
            </w:pPr>
            <w:r>
              <w:rPr>
                <w:bCs/>
                <w:color w:val="auto"/>
                <w:sz w:val="24"/>
              </w:rPr>
              <w:t>保护</w:t>
            </w:r>
          </w:p>
          <w:p w14:paraId="6F743887">
            <w:pPr>
              <w:adjustRightInd w:val="0"/>
              <w:snapToGrid w:val="0"/>
              <w:jc w:val="center"/>
              <w:rPr>
                <w:bCs/>
                <w:color w:val="auto"/>
                <w:szCs w:val="21"/>
              </w:rPr>
            </w:pPr>
            <w:r>
              <w:rPr>
                <w:bCs/>
                <w:color w:val="auto"/>
                <w:sz w:val="24"/>
              </w:rPr>
              <w:t>措施</w:t>
            </w:r>
          </w:p>
        </w:tc>
        <w:tc>
          <w:tcPr>
            <w:tcW w:w="8298" w:type="dxa"/>
            <w:vAlign w:val="center"/>
          </w:tcPr>
          <w:p w14:paraId="13C53E6C">
            <w:pPr>
              <w:spacing w:line="360" w:lineRule="auto"/>
              <w:ind w:firstLine="482" w:firstLineChars="200"/>
              <w:contextualSpacing/>
              <w:rPr>
                <w:b/>
                <w:bCs/>
                <w:color w:val="auto"/>
                <w:sz w:val="24"/>
              </w:rPr>
            </w:pPr>
            <w:r>
              <w:rPr>
                <w:b/>
                <w:bCs/>
                <w:color w:val="auto"/>
                <w:sz w:val="24"/>
              </w:rPr>
              <w:t>（2）治理措施技术可行性分析</w:t>
            </w:r>
          </w:p>
          <w:p w14:paraId="6DA25E6E">
            <w:pPr>
              <w:adjustRightInd w:val="0"/>
              <w:snapToGrid w:val="0"/>
              <w:spacing w:line="360" w:lineRule="auto"/>
              <w:ind w:firstLine="480" w:firstLineChars="200"/>
              <w:jc w:val="left"/>
              <w:rPr>
                <w:rFonts w:hint="eastAsia" w:ascii="Times New Roman" w:hAnsi="宋体" w:eastAsia="宋体"/>
                <w:color w:val="auto"/>
                <w:sz w:val="24"/>
                <w:lang w:val="en-US" w:eastAsia="zh-CN"/>
              </w:rPr>
            </w:pPr>
            <w:r>
              <w:rPr>
                <w:rFonts w:hint="eastAsia" w:hAnsi="宋体"/>
                <w:color w:val="auto"/>
                <w:sz w:val="24"/>
                <w:lang w:eastAsia="zh-CN"/>
              </w:rPr>
              <w:t>生活污水排口和化粪池依托原奥峰木业化粪池及排口，根据原奥峰木业环评描述，从业人数</w:t>
            </w:r>
            <w:r>
              <w:rPr>
                <w:rFonts w:hint="eastAsia" w:hAnsi="宋体"/>
                <w:color w:val="auto"/>
                <w:sz w:val="24"/>
                <w:lang w:val="en-US" w:eastAsia="zh-CN"/>
              </w:rPr>
              <w:t>40名，</w:t>
            </w:r>
            <w:r>
              <w:rPr>
                <w:rFonts w:hint="eastAsia"/>
                <w:color w:val="auto"/>
                <w:sz w:val="24"/>
                <w:szCs w:val="24"/>
              </w:rPr>
              <w:t>生活污水产生量为540m</w:t>
            </w:r>
            <w:r>
              <w:rPr>
                <w:rFonts w:hint="eastAsia"/>
                <w:color w:val="auto"/>
                <w:sz w:val="24"/>
                <w:szCs w:val="24"/>
                <w:vertAlign w:val="superscript"/>
              </w:rPr>
              <w:t>3</w:t>
            </w:r>
            <w:r>
              <w:rPr>
                <w:color w:val="auto"/>
                <w:sz w:val="24"/>
                <w:szCs w:val="24"/>
              </w:rPr>
              <w:t>/a</w:t>
            </w:r>
            <w:r>
              <w:rPr>
                <w:rFonts w:hint="eastAsia"/>
                <w:color w:val="auto"/>
                <w:sz w:val="24"/>
                <w:szCs w:val="24"/>
              </w:rPr>
              <w:t>，</w:t>
            </w:r>
            <w:r>
              <w:rPr>
                <w:rFonts w:hint="eastAsia"/>
                <w:color w:val="auto"/>
                <w:sz w:val="24"/>
                <w:szCs w:val="24"/>
                <w:lang w:eastAsia="zh-CN"/>
              </w:rPr>
              <w:t>由于奥峰木业经济问题，企业关停，人员解散，现鲁班木业租赁奥峰木业厂房，从业人数</w:t>
            </w:r>
            <w:r>
              <w:rPr>
                <w:rFonts w:hint="eastAsia"/>
                <w:color w:val="auto"/>
                <w:sz w:val="24"/>
                <w:szCs w:val="24"/>
                <w:lang w:val="en-US" w:eastAsia="zh-CN"/>
              </w:rPr>
              <w:t>35人，产生废水量472.5</w:t>
            </w:r>
            <w:r>
              <w:rPr>
                <w:rFonts w:hint="eastAsia"/>
                <w:color w:val="auto"/>
                <w:sz w:val="24"/>
                <w:szCs w:val="24"/>
              </w:rPr>
              <w:t>m</w:t>
            </w:r>
            <w:r>
              <w:rPr>
                <w:rFonts w:hint="eastAsia"/>
                <w:color w:val="auto"/>
                <w:sz w:val="24"/>
                <w:szCs w:val="24"/>
                <w:vertAlign w:val="superscript"/>
              </w:rPr>
              <w:t>3</w:t>
            </w:r>
            <w:r>
              <w:rPr>
                <w:color w:val="auto"/>
                <w:sz w:val="24"/>
                <w:szCs w:val="24"/>
              </w:rPr>
              <w:t>/a</w:t>
            </w:r>
            <w:r>
              <w:rPr>
                <w:rFonts w:hint="eastAsia"/>
                <w:color w:val="auto"/>
                <w:sz w:val="24"/>
                <w:szCs w:val="24"/>
                <w:lang w:eastAsia="zh-CN"/>
              </w:rPr>
              <w:t>。因此可以依托原有化粪池及排口。</w:t>
            </w:r>
          </w:p>
          <w:p w14:paraId="17461C88">
            <w:pPr>
              <w:adjustRightInd w:val="0"/>
              <w:snapToGrid w:val="0"/>
              <w:spacing w:line="360" w:lineRule="auto"/>
              <w:ind w:firstLine="480" w:firstLineChars="200"/>
              <w:jc w:val="left"/>
              <w:rPr>
                <w:rStyle w:val="50"/>
                <w:rFonts w:ascii="Times New Roman" w:hAnsi="Times New Roman"/>
                <w:color w:val="auto"/>
              </w:rPr>
            </w:pPr>
            <w:r>
              <w:rPr>
                <w:rFonts w:ascii="Times New Roman" w:hAnsi="宋体"/>
                <w:color w:val="auto"/>
                <w:sz w:val="24"/>
              </w:rPr>
              <w:t>化粪池是一种利用沉淀和厌氧发酵的原理，去除生活污水中悬浮性有机物的处理设施，属于初级的</w:t>
            </w:r>
            <w:r>
              <w:rPr>
                <w:rFonts w:hint="eastAsia" w:hAnsi="宋体"/>
                <w:color w:val="auto"/>
                <w:sz w:val="24"/>
                <w:lang w:eastAsia="zh-CN"/>
              </w:rPr>
              <w:t>过渡型</w:t>
            </w:r>
            <w:r>
              <w:rPr>
                <w:rFonts w:ascii="Times New Roman" w:hAnsi="宋体"/>
                <w:color w:val="auto"/>
                <w:sz w:val="24"/>
              </w:rPr>
              <w:t>生活处理构筑物。生活污水中含有大量粪便、纸屑、病原虫等，悬浮物固体浓度为</w:t>
            </w:r>
            <w:r>
              <w:rPr>
                <w:rFonts w:ascii="Times New Roman" w:hAnsi="Times New Roman"/>
                <w:color w:val="auto"/>
                <w:sz w:val="24"/>
              </w:rPr>
              <w:t>100</w:t>
            </w:r>
            <w:r>
              <w:rPr>
                <w:rFonts w:hint="eastAsia"/>
                <w:color w:val="auto"/>
                <w:sz w:val="24"/>
                <w:lang w:eastAsia="zh-CN"/>
              </w:rPr>
              <w:t>—</w:t>
            </w:r>
            <w:r>
              <w:rPr>
                <w:rFonts w:ascii="Times New Roman" w:hAnsi="Times New Roman"/>
                <w:color w:val="auto"/>
                <w:sz w:val="24"/>
              </w:rPr>
              <w:t>350mg/L</w:t>
            </w:r>
            <w:r>
              <w:rPr>
                <w:rFonts w:ascii="Times New Roman" w:hAnsi="宋体"/>
                <w:color w:val="auto"/>
                <w:sz w:val="24"/>
              </w:rPr>
              <w:t>，有机物浓度</w:t>
            </w:r>
            <w:r>
              <w:rPr>
                <w:rFonts w:ascii="Times New Roman" w:hAnsi="Times New Roman"/>
                <w:color w:val="auto"/>
                <w:sz w:val="24"/>
              </w:rPr>
              <w:t>CODCr</w:t>
            </w:r>
            <w:r>
              <w:rPr>
                <w:rFonts w:ascii="Times New Roman" w:hAnsi="宋体"/>
                <w:color w:val="auto"/>
                <w:sz w:val="24"/>
              </w:rPr>
              <w:t>在</w:t>
            </w:r>
            <w:r>
              <w:rPr>
                <w:rFonts w:ascii="Times New Roman" w:hAnsi="Times New Roman"/>
                <w:color w:val="auto"/>
                <w:sz w:val="24"/>
              </w:rPr>
              <w:t>100</w:t>
            </w:r>
            <w:r>
              <w:rPr>
                <w:rFonts w:hint="eastAsia"/>
                <w:color w:val="auto"/>
                <w:sz w:val="24"/>
                <w:lang w:eastAsia="zh-CN"/>
              </w:rPr>
              <w:t>—</w:t>
            </w:r>
            <w:r>
              <w:rPr>
                <w:rFonts w:ascii="Times New Roman" w:hAnsi="Times New Roman"/>
                <w:color w:val="auto"/>
                <w:sz w:val="24"/>
              </w:rPr>
              <w:t>400mg/L</w:t>
            </w:r>
            <w:r>
              <w:rPr>
                <w:rFonts w:ascii="Times New Roman" w:hAnsi="宋体"/>
                <w:color w:val="auto"/>
                <w:sz w:val="24"/>
              </w:rPr>
              <w:t>之间。污水进入化粪池经过</w:t>
            </w:r>
            <w:r>
              <w:rPr>
                <w:rFonts w:ascii="Times New Roman" w:hAnsi="Times New Roman"/>
                <w:color w:val="auto"/>
                <w:sz w:val="24"/>
              </w:rPr>
              <w:t>12</w:t>
            </w:r>
            <w:r>
              <w:rPr>
                <w:rFonts w:hint="eastAsia"/>
                <w:color w:val="auto"/>
                <w:sz w:val="24"/>
                <w:lang w:eastAsia="zh-CN"/>
              </w:rPr>
              <w:t>—</w:t>
            </w:r>
            <w:r>
              <w:rPr>
                <w:rFonts w:ascii="Times New Roman" w:hAnsi="Times New Roman"/>
                <w:color w:val="auto"/>
                <w:sz w:val="24"/>
              </w:rPr>
              <w:t>24h</w:t>
            </w:r>
            <w:r>
              <w:rPr>
                <w:rFonts w:ascii="Times New Roman" w:hAnsi="宋体"/>
                <w:color w:val="auto"/>
                <w:sz w:val="24"/>
              </w:rPr>
              <w:t>的沉淀，可去除</w:t>
            </w:r>
            <w:r>
              <w:rPr>
                <w:rFonts w:ascii="Times New Roman" w:hAnsi="Times New Roman"/>
                <w:color w:val="auto"/>
                <w:sz w:val="24"/>
              </w:rPr>
              <w:t>60%</w:t>
            </w:r>
            <w:r>
              <w:rPr>
                <w:rFonts w:hint="eastAsia"/>
                <w:color w:val="auto"/>
                <w:sz w:val="24"/>
                <w:lang w:eastAsia="zh-CN"/>
              </w:rPr>
              <w:t>～</w:t>
            </w:r>
            <w:r>
              <w:rPr>
                <w:rFonts w:ascii="Times New Roman" w:hAnsi="Times New Roman"/>
                <w:color w:val="auto"/>
                <w:sz w:val="24"/>
              </w:rPr>
              <w:t>70%</w:t>
            </w:r>
            <w:r>
              <w:rPr>
                <w:rFonts w:ascii="Times New Roman" w:hAnsi="宋体"/>
                <w:color w:val="auto"/>
                <w:sz w:val="24"/>
              </w:rPr>
              <w:t>的悬浮物。沉淀下来的污泥经过</w:t>
            </w:r>
            <w:r>
              <w:rPr>
                <w:rFonts w:ascii="Times New Roman" w:hAnsi="Times New Roman"/>
                <w:color w:val="auto"/>
                <w:sz w:val="24"/>
              </w:rPr>
              <w:t>3</w:t>
            </w:r>
            <w:r>
              <w:rPr>
                <w:rFonts w:ascii="Times New Roman" w:hAnsi="宋体"/>
                <w:color w:val="auto"/>
                <w:sz w:val="24"/>
              </w:rPr>
              <w:t>个月以上的厌氧发酵分解，使污泥中的有机物分解成稳定的无机物，易腐败的生污泥转化为稳定的熟污泥，改变了污泥的结构，降低了污泥的含水率。定期将污泥清掏外运，填埋或用作肥料。</w:t>
            </w:r>
          </w:p>
          <w:p w14:paraId="5478DBCA">
            <w:pPr>
              <w:adjustRightInd w:val="0"/>
              <w:snapToGrid w:val="0"/>
              <w:spacing w:line="360" w:lineRule="auto"/>
              <w:ind w:firstLine="480" w:firstLineChars="200"/>
              <w:jc w:val="left"/>
              <w:rPr>
                <w:rFonts w:ascii="Times New Roman" w:hAnsi="宋体"/>
                <w:color w:val="auto"/>
                <w:sz w:val="24"/>
              </w:rPr>
            </w:pPr>
            <w:r>
              <w:rPr>
                <w:rFonts w:ascii="Times New Roman" w:hAnsi="宋体"/>
                <w:color w:val="auto"/>
                <w:sz w:val="24"/>
              </w:rPr>
              <w:t>生活污水采用化粪池处理，根据《排污许可证申请与核发技术规范</w:t>
            </w:r>
            <w:r>
              <w:rPr>
                <w:rFonts w:ascii="Times New Roman" w:hAnsi="Times New Roman"/>
                <w:color w:val="auto"/>
                <w:sz w:val="24"/>
              </w:rPr>
              <w:t xml:space="preserve"> </w:t>
            </w:r>
            <w:r>
              <w:rPr>
                <w:rFonts w:ascii="Times New Roman" w:hAnsi="宋体"/>
                <w:color w:val="auto"/>
                <w:sz w:val="24"/>
              </w:rPr>
              <w:t>橡胶和塑料制品工业》（</w:t>
            </w:r>
            <w:r>
              <w:rPr>
                <w:rFonts w:ascii="Times New Roman" w:hAnsi="Times New Roman"/>
                <w:color w:val="auto"/>
                <w:sz w:val="24"/>
              </w:rPr>
              <w:t>HJ1122—2020</w:t>
            </w:r>
            <w:r>
              <w:rPr>
                <w:rFonts w:ascii="Times New Roman" w:hAnsi="宋体"/>
                <w:color w:val="auto"/>
                <w:sz w:val="24"/>
              </w:rPr>
              <w:t>），单独排放的职工生活污水采用</w:t>
            </w:r>
            <w:r>
              <w:rPr>
                <w:rFonts w:ascii="Times New Roman" w:hAnsi="Times New Roman"/>
                <w:color w:val="auto"/>
                <w:sz w:val="24"/>
              </w:rPr>
              <w:t>“</w:t>
            </w:r>
            <w:r>
              <w:rPr>
                <w:rFonts w:ascii="Times New Roman" w:hAnsi="宋体"/>
                <w:color w:val="auto"/>
                <w:sz w:val="24"/>
              </w:rPr>
              <w:t>化粪池</w:t>
            </w:r>
            <w:r>
              <w:rPr>
                <w:rFonts w:ascii="Times New Roman" w:hAnsi="Times New Roman"/>
                <w:color w:val="auto"/>
                <w:sz w:val="24"/>
              </w:rPr>
              <w:t>”</w:t>
            </w:r>
            <w:r>
              <w:rPr>
                <w:rFonts w:ascii="Times New Roman" w:hAnsi="宋体"/>
                <w:color w:val="auto"/>
                <w:sz w:val="24"/>
              </w:rPr>
              <w:t>处理为</w:t>
            </w:r>
            <w:r>
              <w:rPr>
                <w:rFonts w:ascii="Times New Roman" w:hAnsi="Times New Roman"/>
                <w:color w:val="auto"/>
                <w:sz w:val="24"/>
              </w:rPr>
              <w:t>“</w:t>
            </w:r>
            <w:r>
              <w:rPr>
                <w:rFonts w:ascii="Times New Roman" w:hAnsi="宋体"/>
                <w:color w:val="auto"/>
                <w:sz w:val="24"/>
              </w:rPr>
              <w:t>可行技术</w:t>
            </w:r>
            <w:r>
              <w:rPr>
                <w:rFonts w:ascii="Times New Roman" w:hAnsi="Times New Roman"/>
                <w:color w:val="auto"/>
                <w:sz w:val="24"/>
              </w:rPr>
              <w:t>”</w:t>
            </w:r>
            <w:r>
              <w:rPr>
                <w:rFonts w:ascii="Times New Roman" w:hAnsi="宋体"/>
                <w:color w:val="auto"/>
                <w:sz w:val="24"/>
              </w:rPr>
              <w:t>，是常规成熟稳定的工艺，处理后达到高沟镇污水处理厂接管标准，在技术上是完全可行的，可以做到稳定运行及达标排放。</w:t>
            </w:r>
          </w:p>
          <w:p w14:paraId="1C4F8B76">
            <w:pPr>
              <w:wordWrap w:val="0"/>
              <w:snapToGrid w:val="0"/>
              <w:spacing w:line="360" w:lineRule="auto"/>
              <w:ind w:firstLine="480" w:firstLineChars="200"/>
              <w:rPr>
                <w:rFonts w:hint="eastAsia" w:eastAsia="宋体"/>
                <w:color w:val="auto"/>
                <w:sz w:val="24"/>
                <w:lang w:val="en-US" w:eastAsia="zh-CN"/>
              </w:rPr>
            </w:pPr>
            <w:r>
              <w:rPr>
                <w:rFonts w:hint="eastAsia"/>
                <w:color w:val="auto"/>
                <w:sz w:val="24"/>
                <w:lang w:val="en-US" w:eastAsia="zh-CN"/>
              </w:rPr>
              <w:t>蒸汽冷凝水回用可行性分析：建设项目生产过程中产生蒸汽冷凝水，冷凝水通常保持较高温度（60-90℃），水质纯净：相较于原水，冷凝水杂质含量低（如硬度、溶解固体较少），蒸汽冷凝水水质较好</w:t>
            </w:r>
            <w:r>
              <w:rPr>
                <w:rFonts w:hint="default"/>
                <w:color w:val="auto"/>
                <w:sz w:val="24"/>
                <w:lang w:val="en-US" w:eastAsia="zh-CN"/>
              </w:rPr>
              <w:t>：蒸汽冷凝水是蒸汽在热交换过程中冷却凝结而成的水，一般杂质含量较低，硬度、酸碱度等指标相对稳定，且通常不含有毒有害物质。与其他一些工业废水相比，其水质更接近纯水</w:t>
            </w:r>
            <w:r>
              <w:rPr>
                <w:rFonts w:hint="eastAsia"/>
                <w:color w:val="auto"/>
                <w:sz w:val="24"/>
                <w:lang w:val="en-US" w:eastAsia="zh-CN"/>
              </w:rPr>
              <w:t>，根据经验，污染物COD产生浓度为8</w:t>
            </w:r>
            <w:r>
              <w:rPr>
                <w:rFonts w:hint="eastAsia"/>
                <w:color w:val="auto"/>
                <w:sz w:val="24"/>
              </w:rPr>
              <w:t>mg/L</w:t>
            </w:r>
            <w:r>
              <w:rPr>
                <w:rFonts w:hint="eastAsia"/>
                <w:color w:val="auto"/>
                <w:sz w:val="24"/>
                <w:lang w:eastAsia="zh-CN"/>
              </w:rPr>
              <w:t>、</w:t>
            </w:r>
            <w:r>
              <w:rPr>
                <w:rFonts w:hint="eastAsia"/>
                <w:color w:val="auto"/>
                <w:sz w:val="24"/>
                <w:lang w:val="en-US" w:eastAsia="zh-CN"/>
              </w:rPr>
              <w:t>SS产生浓度约</w:t>
            </w:r>
            <w:r>
              <w:rPr>
                <w:rFonts w:hint="eastAsia"/>
                <w:color w:val="auto"/>
                <w:sz w:val="24"/>
              </w:rPr>
              <w:t>5mg/L</w:t>
            </w:r>
            <w:r>
              <w:rPr>
                <w:rFonts w:hint="eastAsia"/>
                <w:color w:val="auto"/>
                <w:sz w:val="24"/>
                <w:lang w:eastAsia="zh-CN"/>
              </w:rPr>
              <w:t>，符合厂区绿化标准。</w:t>
            </w:r>
          </w:p>
          <w:p w14:paraId="5A1CD020">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（3）</w:t>
            </w:r>
            <w:r>
              <w:rPr>
                <w:rFonts w:ascii="Times New Roman" w:hAnsi="宋体"/>
                <w:color w:val="auto"/>
                <w:sz w:val="24"/>
              </w:rPr>
              <w:t>依托污水处理厂可行性分析</w:t>
            </w:r>
          </w:p>
          <w:p w14:paraId="022A636D">
            <w:pPr>
              <w:adjustRightInd w:val="0"/>
              <w:snapToGrid w:val="0"/>
              <w:spacing w:line="360" w:lineRule="auto"/>
              <w:ind w:firstLine="480" w:firstLineChars="200"/>
              <w:jc w:val="left"/>
              <w:rPr>
                <w:rFonts w:ascii="Times New Roman" w:hAnsi="Times New Roman"/>
                <w:color w:val="auto"/>
                <w:sz w:val="24"/>
              </w:rPr>
            </w:pPr>
            <w:r>
              <w:rPr>
                <w:rFonts w:hint="eastAsia" w:ascii="Times New Roman" w:hAnsi="宋体"/>
                <w:color w:val="auto"/>
                <w:sz w:val="24"/>
              </w:rPr>
              <w:t>①</w:t>
            </w:r>
            <w:r>
              <w:rPr>
                <w:rFonts w:ascii="Times New Roman" w:hAnsi="宋体"/>
                <w:color w:val="auto"/>
                <w:sz w:val="24"/>
              </w:rPr>
              <w:t>废水污染物浓度接管可行性分析</w:t>
            </w:r>
          </w:p>
          <w:p w14:paraId="4D68EA44">
            <w:pPr>
              <w:adjustRightInd w:val="0"/>
              <w:snapToGrid w:val="0"/>
              <w:spacing w:line="360" w:lineRule="auto"/>
              <w:ind w:firstLine="480" w:firstLineChars="200"/>
              <w:jc w:val="left"/>
              <w:rPr>
                <w:color w:val="auto"/>
                <w:sz w:val="24"/>
              </w:rPr>
            </w:pPr>
            <w:r>
              <w:rPr>
                <w:color w:val="auto"/>
                <w:sz w:val="24"/>
              </w:rPr>
              <w:t>项目产生的</w:t>
            </w:r>
            <w:r>
              <w:rPr>
                <w:rFonts w:hint="eastAsia"/>
                <w:color w:val="auto"/>
                <w:sz w:val="24"/>
              </w:rPr>
              <w:t>生活污水</w:t>
            </w:r>
            <w:r>
              <w:rPr>
                <w:color w:val="auto"/>
                <w:sz w:val="24"/>
              </w:rPr>
              <w:t>经厂内</w:t>
            </w:r>
            <w:r>
              <w:rPr>
                <w:rFonts w:hint="eastAsia"/>
                <w:color w:val="auto"/>
                <w:sz w:val="24"/>
              </w:rPr>
              <w:t>化粪池</w:t>
            </w:r>
            <w:r>
              <w:rPr>
                <w:color w:val="auto"/>
                <w:sz w:val="24"/>
              </w:rPr>
              <w:t>预处理后，可以达到高沟镇污水处理厂接管浓度要求，不会影响污水处理厂的正常运营。</w:t>
            </w:r>
          </w:p>
          <w:p w14:paraId="3114BA84">
            <w:pPr>
              <w:adjustRightInd w:val="0"/>
              <w:snapToGrid w:val="0"/>
              <w:spacing w:line="360" w:lineRule="auto"/>
              <w:ind w:firstLine="480" w:firstLineChars="200"/>
              <w:jc w:val="left"/>
              <w:rPr>
                <w:rFonts w:hint="eastAsia" w:ascii="Times New Roman" w:hAnsi="宋体"/>
                <w:color w:val="auto"/>
                <w:sz w:val="24"/>
              </w:rPr>
            </w:pPr>
            <w:r>
              <w:rPr>
                <w:rFonts w:hint="eastAsia"/>
                <w:color w:val="auto"/>
                <w:sz w:val="24"/>
              </w:rPr>
              <w:t>②</w:t>
            </w:r>
            <w:r>
              <w:rPr>
                <w:rFonts w:hint="eastAsia" w:ascii="Times New Roman" w:hAnsi="宋体"/>
                <w:color w:val="auto"/>
                <w:sz w:val="24"/>
              </w:rPr>
              <w:t>水量接管可行性</w:t>
            </w:r>
          </w:p>
          <w:p w14:paraId="4CAA2201">
            <w:pPr>
              <w:adjustRightInd w:val="0"/>
              <w:snapToGrid w:val="0"/>
              <w:spacing w:line="360" w:lineRule="auto"/>
              <w:ind w:firstLine="480" w:firstLineChars="200"/>
              <w:rPr>
                <w:rFonts w:ascii="Times New Roman" w:hAnsi="Times New Roman"/>
                <w:color w:val="auto"/>
                <w:sz w:val="24"/>
              </w:rPr>
            </w:pPr>
            <w:r>
              <w:rPr>
                <w:rFonts w:ascii="Times New Roman" w:hAnsi="宋体"/>
                <w:color w:val="auto"/>
                <w:sz w:val="24"/>
              </w:rPr>
              <w:t>污水由高沟镇污水处理厂集中处理，高沟镇污水处理厂设计规模为</w:t>
            </w:r>
            <w:r>
              <w:rPr>
                <w:rFonts w:ascii="Times New Roman" w:hAnsi="Times New Roman"/>
                <w:color w:val="auto"/>
                <w:sz w:val="24"/>
              </w:rPr>
              <w:t>6000m³/d</w:t>
            </w:r>
            <w:r>
              <w:rPr>
                <w:rFonts w:ascii="Times New Roman" w:hAnsi="宋体"/>
                <w:color w:val="auto"/>
                <w:sz w:val="24"/>
              </w:rPr>
              <w:t>，厂区主体工艺采用</w:t>
            </w:r>
            <w:r>
              <w:rPr>
                <w:rFonts w:ascii="Times New Roman" w:hAnsi="Times New Roman"/>
                <w:color w:val="auto"/>
                <w:sz w:val="24"/>
              </w:rPr>
              <w:t>A</w:t>
            </w:r>
            <w:r>
              <w:rPr>
                <w:rFonts w:ascii="Times New Roman" w:hAnsi="Times New Roman"/>
                <w:color w:val="auto"/>
                <w:sz w:val="24"/>
                <w:vertAlign w:val="superscript"/>
              </w:rPr>
              <w:t>2</w:t>
            </w:r>
            <w:r>
              <w:rPr>
                <w:rFonts w:ascii="Times New Roman" w:hAnsi="Times New Roman"/>
                <w:color w:val="auto"/>
                <w:sz w:val="24"/>
              </w:rPr>
              <w:t>/O+</w:t>
            </w:r>
            <w:r>
              <w:rPr>
                <w:rFonts w:ascii="Times New Roman" w:hAnsi="宋体"/>
                <w:color w:val="auto"/>
                <w:sz w:val="24"/>
              </w:rPr>
              <w:t>生物脱氮除磷处理工艺，设计出水水质执行《城镇污水处理厂污染物排放标准》（</w:t>
            </w:r>
            <w:r>
              <w:rPr>
                <w:rFonts w:ascii="Times New Roman" w:hAnsi="Times New Roman"/>
                <w:color w:val="auto"/>
                <w:sz w:val="24"/>
              </w:rPr>
              <w:t>GB18918-2002</w:t>
            </w:r>
            <w:r>
              <w:rPr>
                <w:rFonts w:ascii="Times New Roman" w:hAnsi="宋体"/>
                <w:color w:val="auto"/>
                <w:sz w:val="24"/>
              </w:rPr>
              <w:t>）中的一级</w:t>
            </w:r>
            <w:r>
              <w:rPr>
                <w:rFonts w:ascii="Times New Roman" w:hAnsi="Times New Roman"/>
                <w:color w:val="auto"/>
                <w:sz w:val="24"/>
              </w:rPr>
              <w:t>A</w:t>
            </w:r>
            <w:r>
              <w:rPr>
                <w:rFonts w:ascii="Times New Roman" w:hAnsi="宋体"/>
                <w:color w:val="auto"/>
                <w:sz w:val="24"/>
              </w:rPr>
              <w:t>排放标准。本项目废水量为</w:t>
            </w:r>
            <w:r>
              <w:rPr>
                <w:rFonts w:hint="eastAsia"/>
                <w:color w:val="auto"/>
                <w:sz w:val="24"/>
                <w:lang w:val="en-US" w:eastAsia="zh-CN"/>
              </w:rPr>
              <w:t>472.5</w:t>
            </w:r>
            <w:r>
              <w:rPr>
                <w:rFonts w:ascii="Times New Roman" w:hAnsi="Times New Roman"/>
                <w:color w:val="auto"/>
                <w:sz w:val="24"/>
              </w:rPr>
              <w:t>m³/a</w:t>
            </w:r>
            <w:r>
              <w:rPr>
                <w:rFonts w:ascii="Times New Roman" w:hAnsi="宋体"/>
                <w:color w:val="auto"/>
                <w:sz w:val="24"/>
              </w:rPr>
              <w:t>（</w:t>
            </w:r>
            <w:r>
              <w:rPr>
                <w:rFonts w:hint="eastAsia" w:ascii="Times New Roman" w:hAnsi="Times New Roman"/>
                <w:color w:val="auto"/>
                <w:sz w:val="24"/>
                <w:lang w:val="en-US" w:eastAsia="zh-CN"/>
              </w:rPr>
              <w:t>3.1</w:t>
            </w:r>
            <w:r>
              <w:rPr>
                <w:rFonts w:ascii="Times New Roman" w:hAnsi="Times New Roman"/>
                <w:color w:val="auto"/>
                <w:sz w:val="24"/>
              </w:rPr>
              <w:t>m³/d</w:t>
            </w:r>
            <w:r>
              <w:rPr>
                <w:rFonts w:ascii="Times New Roman" w:hAnsi="宋体"/>
                <w:color w:val="auto"/>
                <w:sz w:val="24"/>
              </w:rPr>
              <w:t>），占污水处理厂处理水量负荷的</w:t>
            </w:r>
            <w:r>
              <w:rPr>
                <w:rFonts w:ascii="Times New Roman" w:hAnsi="Times New Roman"/>
                <w:color w:val="auto"/>
                <w:sz w:val="24"/>
              </w:rPr>
              <w:t>0.0</w:t>
            </w:r>
            <w:r>
              <w:rPr>
                <w:rFonts w:hint="eastAsia" w:ascii="Times New Roman" w:hAnsi="Times New Roman"/>
                <w:color w:val="auto"/>
                <w:sz w:val="24"/>
                <w:lang w:val="en-US" w:eastAsia="zh-CN"/>
              </w:rPr>
              <w:t>5</w:t>
            </w:r>
            <w:r>
              <w:rPr>
                <w:rFonts w:ascii="Times New Roman" w:hAnsi="Times New Roman"/>
                <w:color w:val="auto"/>
                <w:sz w:val="24"/>
              </w:rPr>
              <w:t>%</w:t>
            </w:r>
            <w:r>
              <w:rPr>
                <w:rFonts w:ascii="Times New Roman" w:hAnsi="宋体"/>
                <w:color w:val="auto"/>
                <w:sz w:val="24"/>
              </w:rPr>
              <w:t>，因此，高沟镇污水处理厂有能力接管本项目的</w:t>
            </w:r>
            <w:r>
              <w:rPr>
                <w:rFonts w:hint="eastAsia" w:hAnsi="宋体"/>
                <w:color w:val="auto"/>
                <w:sz w:val="24"/>
                <w:lang w:eastAsia="zh-CN"/>
              </w:rPr>
              <w:t>生活污水</w:t>
            </w:r>
            <w:r>
              <w:rPr>
                <w:rFonts w:ascii="Times New Roman" w:hAnsi="宋体"/>
                <w:color w:val="auto"/>
                <w:sz w:val="24"/>
              </w:rPr>
              <w:t>。</w:t>
            </w:r>
          </w:p>
          <w:p w14:paraId="479366FF">
            <w:pPr>
              <w:adjustRightInd w:val="0"/>
              <w:snapToGrid w:val="0"/>
              <w:spacing w:line="360" w:lineRule="auto"/>
              <w:ind w:firstLine="480" w:firstLineChars="200"/>
              <w:jc w:val="left"/>
              <w:rPr>
                <w:rFonts w:ascii="Times New Roman" w:hAnsi="Times New Roman"/>
                <w:color w:val="auto"/>
                <w:sz w:val="24"/>
              </w:rPr>
            </w:pPr>
            <w:r>
              <w:rPr>
                <w:rFonts w:ascii="Times New Roman" w:hAnsi="宋体"/>
                <w:color w:val="auto"/>
                <w:sz w:val="24"/>
              </w:rPr>
              <w:t>综上所述，建设项目排放的废水无论水量、水质均能满足高沟镇污水处理厂的接管要求，预计不会对污水处理厂的正常运行造成不良影响，因而废水进行接管处理是可行的。</w:t>
            </w:r>
          </w:p>
          <w:p w14:paraId="4BAE753C">
            <w:pPr>
              <w:spacing w:line="360" w:lineRule="auto"/>
              <w:ind w:firstLine="482" w:firstLineChars="200"/>
              <w:contextualSpacing/>
              <w:rPr>
                <w:b/>
                <w:bCs/>
                <w:color w:val="auto"/>
                <w:sz w:val="24"/>
              </w:rPr>
            </w:pPr>
            <w:r>
              <w:rPr>
                <w:b/>
                <w:bCs/>
                <w:color w:val="auto"/>
                <w:sz w:val="24"/>
              </w:rPr>
              <w:t>3、噪声</w:t>
            </w:r>
          </w:p>
          <w:p w14:paraId="44BF4BB6">
            <w:pPr>
              <w:widowControl/>
              <w:adjustRightInd w:val="0"/>
              <w:snapToGrid w:val="0"/>
              <w:spacing w:line="360" w:lineRule="auto"/>
              <w:ind w:firstLine="480" w:firstLineChars="200"/>
              <w:jc w:val="left"/>
              <w:rPr>
                <w:rFonts w:eastAsiaTheme="minorEastAsia"/>
                <w:color w:val="auto"/>
                <w:kern w:val="0"/>
                <w:sz w:val="24"/>
                <w:lang w:bidi="en-US"/>
              </w:rPr>
            </w:pPr>
            <w:r>
              <w:rPr>
                <w:rFonts w:eastAsiaTheme="minorEastAsia"/>
                <w:color w:val="auto"/>
                <w:kern w:val="0"/>
                <w:sz w:val="24"/>
                <w:lang w:bidi="en-US"/>
              </w:rPr>
              <w:t>企业周边50m范围内无声环境保护目标，</w:t>
            </w:r>
            <w:r>
              <w:rPr>
                <w:rFonts w:hint="eastAsia" w:eastAsiaTheme="minorEastAsia"/>
                <w:color w:val="auto"/>
                <w:kern w:val="0"/>
                <w:sz w:val="24"/>
                <w:lang w:bidi="en-US"/>
              </w:rPr>
              <w:t>建设</w:t>
            </w:r>
            <w:r>
              <w:rPr>
                <w:rFonts w:eastAsiaTheme="minorEastAsia"/>
                <w:color w:val="auto"/>
                <w:kern w:val="0"/>
                <w:sz w:val="24"/>
                <w:lang w:bidi="en-US"/>
              </w:rPr>
              <w:t>项目噪声主要来自</w:t>
            </w:r>
            <w:r>
              <w:rPr>
                <w:rFonts w:hint="eastAsia" w:eastAsiaTheme="minorEastAsia"/>
                <w:color w:val="auto"/>
                <w:kern w:val="0"/>
                <w:sz w:val="24"/>
                <w:lang w:bidi="en-US"/>
              </w:rPr>
              <w:t>空压机等</w:t>
            </w:r>
            <w:r>
              <w:rPr>
                <w:rFonts w:eastAsiaTheme="minorEastAsia"/>
                <w:color w:val="auto"/>
                <w:kern w:val="0"/>
                <w:sz w:val="24"/>
                <w:lang w:bidi="en-US"/>
              </w:rPr>
              <w:t>生产设备、废气处理风机等运行过程中产生的噪声，噪声源强为</w:t>
            </w:r>
            <w:r>
              <w:rPr>
                <w:rFonts w:hint="eastAsia" w:eastAsiaTheme="minorEastAsia"/>
                <w:color w:val="auto"/>
                <w:kern w:val="0"/>
                <w:sz w:val="24"/>
                <w:lang w:bidi="en-US"/>
              </w:rPr>
              <w:t>6</w:t>
            </w:r>
            <w:r>
              <w:rPr>
                <w:rFonts w:eastAsiaTheme="minorEastAsia"/>
                <w:color w:val="auto"/>
                <w:kern w:val="0"/>
                <w:sz w:val="24"/>
                <w:lang w:bidi="en-US"/>
              </w:rPr>
              <w:t>5~95dB(A)之间，主要噪声设备及排放情况见表4.3-1</w:t>
            </w:r>
            <w:r>
              <w:rPr>
                <w:rFonts w:hint="eastAsia" w:eastAsiaTheme="minorEastAsia"/>
                <w:color w:val="auto"/>
                <w:kern w:val="0"/>
                <w:sz w:val="24"/>
                <w:lang w:bidi="en-US"/>
              </w:rPr>
              <w:t>、4.3-2</w:t>
            </w:r>
            <w:r>
              <w:rPr>
                <w:rFonts w:eastAsiaTheme="minorEastAsia"/>
                <w:color w:val="auto"/>
                <w:kern w:val="0"/>
                <w:sz w:val="24"/>
                <w:lang w:bidi="en-US"/>
              </w:rPr>
              <w:t>。</w:t>
            </w:r>
          </w:p>
          <w:p w14:paraId="49971DDF">
            <w:pPr>
              <w:adjustRightInd w:val="0"/>
              <w:snapToGrid w:val="0"/>
              <w:jc w:val="center"/>
              <w:rPr>
                <w:rFonts w:eastAsiaTheme="minorEastAsia"/>
                <w:color w:val="auto"/>
              </w:rPr>
            </w:pPr>
            <w:r>
              <w:rPr>
                <w:rFonts w:eastAsiaTheme="minorEastAsia"/>
                <w:b/>
                <w:snapToGrid w:val="0"/>
                <w:color w:val="auto"/>
                <w:kern w:val="0"/>
                <w:sz w:val="24"/>
              </w:rPr>
              <w:t>表4.3-1</w:t>
            </w:r>
            <w:r>
              <w:rPr>
                <w:rFonts w:eastAsiaTheme="minorEastAsia"/>
                <w:b/>
                <w:color w:val="auto"/>
                <w:kern w:val="0"/>
                <w:sz w:val="24"/>
              </w:rPr>
              <w:t>建设项目</w:t>
            </w:r>
            <w:r>
              <w:rPr>
                <w:rFonts w:eastAsiaTheme="minorEastAsia"/>
                <w:b/>
                <w:bCs/>
                <w:color w:val="auto"/>
                <w:kern w:val="0"/>
                <w:sz w:val="24"/>
              </w:rPr>
              <w:t>噪声源强调查清单（室内声源）</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1195"/>
              <w:gridCol w:w="478"/>
              <w:gridCol w:w="1032"/>
              <w:gridCol w:w="568"/>
              <w:gridCol w:w="395"/>
              <w:gridCol w:w="430"/>
              <w:gridCol w:w="435"/>
              <w:gridCol w:w="625"/>
              <w:gridCol w:w="631"/>
              <w:gridCol w:w="596"/>
              <w:gridCol w:w="631"/>
              <w:gridCol w:w="631"/>
              <w:gridCol w:w="474"/>
            </w:tblGrid>
            <w:tr w14:paraId="208E5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vMerge w:val="restart"/>
                  <w:shd w:val="clear" w:color="auto" w:fill="auto"/>
                  <w:vAlign w:val="center"/>
                </w:tcPr>
                <w:p w14:paraId="60EC908B">
                  <w:pPr>
                    <w:jc w:val="center"/>
                    <w:rPr>
                      <w:rFonts w:eastAsiaTheme="minorEastAsia"/>
                      <w:color w:val="auto"/>
                      <w:szCs w:val="21"/>
                    </w:rPr>
                  </w:pPr>
                  <w:r>
                    <w:rPr>
                      <w:rFonts w:eastAsiaTheme="minorEastAsia"/>
                      <w:b/>
                      <w:color w:val="auto"/>
                      <w:szCs w:val="21"/>
                    </w:rPr>
                    <w:t>序号</w:t>
                  </w:r>
                </w:p>
              </w:tc>
              <w:tc>
                <w:tcPr>
                  <w:tcW w:w="712" w:type="pct"/>
                  <w:vMerge w:val="restart"/>
                  <w:shd w:val="clear" w:color="auto" w:fill="auto"/>
                  <w:vAlign w:val="center"/>
                </w:tcPr>
                <w:p w14:paraId="01F98FB5">
                  <w:pPr>
                    <w:jc w:val="center"/>
                    <w:rPr>
                      <w:rFonts w:eastAsiaTheme="minorEastAsia"/>
                      <w:color w:val="auto"/>
                      <w:szCs w:val="21"/>
                    </w:rPr>
                  </w:pPr>
                  <w:r>
                    <w:rPr>
                      <w:rFonts w:eastAsiaTheme="minorEastAsia"/>
                      <w:b/>
                      <w:color w:val="auto"/>
                      <w:szCs w:val="21"/>
                    </w:rPr>
                    <w:t>声源名称</w:t>
                  </w:r>
                </w:p>
              </w:tc>
              <w:tc>
                <w:tcPr>
                  <w:tcW w:w="284" w:type="pct"/>
                  <w:vMerge w:val="restart"/>
                  <w:shd w:val="clear" w:color="auto" w:fill="auto"/>
                  <w:vAlign w:val="center"/>
                </w:tcPr>
                <w:p w14:paraId="202E20EE">
                  <w:pPr>
                    <w:jc w:val="center"/>
                    <w:rPr>
                      <w:rFonts w:eastAsiaTheme="minorEastAsia"/>
                      <w:b/>
                      <w:color w:val="auto"/>
                      <w:szCs w:val="21"/>
                    </w:rPr>
                  </w:pPr>
                  <w:r>
                    <w:rPr>
                      <w:rFonts w:eastAsiaTheme="minorEastAsia"/>
                      <w:b/>
                      <w:bCs/>
                      <w:color w:val="auto"/>
                      <w:kern w:val="0"/>
                      <w:szCs w:val="21"/>
                      <w:lang w:bidi="en-US"/>
                    </w:rPr>
                    <w:t>数量（台/套）</w:t>
                  </w:r>
                </w:p>
              </w:tc>
              <w:tc>
                <w:tcPr>
                  <w:tcW w:w="615" w:type="pct"/>
                  <w:vMerge w:val="restart"/>
                  <w:shd w:val="clear" w:color="auto" w:fill="auto"/>
                  <w:vAlign w:val="center"/>
                </w:tcPr>
                <w:p w14:paraId="026C08C9">
                  <w:pPr>
                    <w:jc w:val="center"/>
                    <w:rPr>
                      <w:rFonts w:eastAsiaTheme="minorEastAsia"/>
                      <w:b/>
                      <w:color w:val="auto"/>
                      <w:szCs w:val="21"/>
                    </w:rPr>
                  </w:pPr>
                  <w:r>
                    <w:rPr>
                      <w:rFonts w:eastAsiaTheme="minorEastAsia"/>
                      <w:b/>
                      <w:color w:val="auto"/>
                      <w:szCs w:val="21"/>
                    </w:rPr>
                    <w:t>（声压级/距声源距离）/（dB（A）/m）</w:t>
                  </w:r>
                </w:p>
              </w:tc>
              <w:tc>
                <w:tcPr>
                  <w:tcW w:w="338" w:type="pct"/>
                  <w:vMerge w:val="restart"/>
                  <w:shd w:val="clear" w:color="auto" w:fill="auto"/>
                  <w:vAlign w:val="center"/>
                </w:tcPr>
                <w:p w14:paraId="129F64C5">
                  <w:pPr>
                    <w:jc w:val="center"/>
                    <w:rPr>
                      <w:rFonts w:eastAsiaTheme="minorEastAsia"/>
                      <w:b/>
                      <w:color w:val="auto"/>
                      <w:szCs w:val="21"/>
                    </w:rPr>
                  </w:pPr>
                  <w:r>
                    <w:rPr>
                      <w:rFonts w:eastAsiaTheme="minorEastAsia"/>
                      <w:b/>
                      <w:color w:val="auto"/>
                      <w:szCs w:val="21"/>
                    </w:rPr>
                    <w:t>声源控制措施</w:t>
                  </w:r>
                </w:p>
              </w:tc>
              <w:tc>
                <w:tcPr>
                  <w:tcW w:w="750" w:type="pct"/>
                  <w:gridSpan w:val="3"/>
                  <w:shd w:val="clear" w:color="auto" w:fill="auto"/>
                  <w:vAlign w:val="center"/>
                </w:tcPr>
                <w:p w14:paraId="5C6461B0">
                  <w:pPr>
                    <w:jc w:val="center"/>
                    <w:rPr>
                      <w:rFonts w:eastAsiaTheme="minorEastAsia"/>
                      <w:b/>
                      <w:color w:val="auto"/>
                      <w:szCs w:val="21"/>
                    </w:rPr>
                  </w:pPr>
                  <w:r>
                    <w:rPr>
                      <w:rFonts w:eastAsiaTheme="minorEastAsia"/>
                      <w:b/>
                      <w:color w:val="auto"/>
                      <w:szCs w:val="21"/>
                    </w:rPr>
                    <w:t>空间相对位置</w:t>
                  </w:r>
                  <w:r>
                    <w:rPr>
                      <w:rFonts w:hint="eastAsia" w:ascii="宋体" w:hAnsi="宋体" w:cs="宋体"/>
                      <w:b/>
                      <w:color w:val="auto"/>
                      <w:szCs w:val="21"/>
                      <w:vertAlign w:val="superscript"/>
                    </w:rPr>
                    <w:t>①</w:t>
                  </w:r>
                  <w:r>
                    <w:rPr>
                      <w:rFonts w:eastAsiaTheme="minorEastAsia"/>
                      <w:b/>
                      <w:color w:val="auto"/>
                      <w:szCs w:val="21"/>
                    </w:rPr>
                    <w:t>/m</w:t>
                  </w:r>
                </w:p>
              </w:tc>
              <w:tc>
                <w:tcPr>
                  <w:tcW w:w="372" w:type="pct"/>
                  <w:vMerge w:val="restart"/>
                  <w:shd w:val="clear" w:color="auto" w:fill="auto"/>
                  <w:vAlign w:val="center"/>
                </w:tcPr>
                <w:p w14:paraId="325118D1">
                  <w:pPr>
                    <w:jc w:val="center"/>
                    <w:rPr>
                      <w:rFonts w:eastAsiaTheme="minorEastAsia"/>
                      <w:b/>
                      <w:color w:val="auto"/>
                      <w:szCs w:val="21"/>
                    </w:rPr>
                  </w:pPr>
                  <w:r>
                    <w:rPr>
                      <w:rFonts w:eastAsiaTheme="minorEastAsia"/>
                      <w:b/>
                      <w:color w:val="auto"/>
                      <w:szCs w:val="21"/>
                    </w:rPr>
                    <w:t>*距室内边界距离/m</w:t>
                  </w:r>
                </w:p>
              </w:tc>
              <w:tc>
                <w:tcPr>
                  <w:tcW w:w="376" w:type="pct"/>
                  <w:vMerge w:val="restart"/>
                  <w:shd w:val="clear" w:color="auto" w:fill="auto"/>
                  <w:vAlign w:val="center"/>
                </w:tcPr>
                <w:p w14:paraId="214FDBF8">
                  <w:pPr>
                    <w:jc w:val="center"/>
                    <w:rPr>
                      <w:rFonts w:eastAsiaTheme="minorEastAsia"/>
                      <w:b/>
                      <w:color w:val="auto"/>
                      <w:szCs w:val="21"/>
                    </w:rPr>
                  </w:pPr>
                  <w:r>
                    <w:rPr>
                      <w:rFonts w:eastAsiaTheme="minorEastAsia"/>
                      <w:b/>
                      <w:color w:val="auto"/>
                      <w:szCs w:val="21"/>
                    </w:rPr>
                    <w:t>*室内边界声级/dB（A）</w:t>
                  </w:r>
                </w:p>
              </w:tc>
              <w:tc>
                <w:tcPr>
                  <w:tcW w:w="355" w:type="pct"/>
                  <w:vMerge w:val="restart"/>
                  <w:shd w:val="clear" w:color="auto" w:fill="auto"/>
                  <w:vAlign w:val="center"/>
                </w:tcPr>
                <w:p w14:paraId="04B6220F">
                  <w:pPr>
                    <w:jc w:val="center"/>
                    <w:rPr>
                      <w:rFonts w:eastAsiaTheme="minorEastAsia"/>
                      <w:b/>
                      <w:color w:val="auto"/>
                      <w:szCs w:val="21"/>
                    </w:rPr>
                  </w:pPr>
                  <w:r>
                    <w:rPr>
                      <w:rFonts w:eastAsiaTheme="minorEastAsia"/>
                      <w:b/>
                      <w:color w:val="auto"/>
                      <w:szCs w:val="21"/>
                    </w:rPr>
                    <w:t>运行时段（h）</w:t>
                  </w:r>
                </w:p>
              </w:tc>
              <w:tc>
                <w:tcPr>
                  <w:tcW w:w="376" w:type="pct"/>
                  <w:vMerge w:val="restart"/>
                  <w:shd w:val="clear" w:color="auto" w:fill="auto"/>
                  <w:vAlign w:val="center"/>
                </w:tcPr>
                <w:p w14:paraId="775A006F">
                  <w:pPr>
                    <w:jc w:val="center"/>
                    <w:rPr>
                      <w:rFonts w:eastAsiaTheme="minorEastAsia"/>
                      <w:b/>
                      <w:color w:val="auto"/>
                      <w:szCs w:val="21"/>
                    </w:rPr>
                  </w:pPr>
                  <w:r>
                    <w:rPr>
                      <w:rFonts w:eastAsiaTheme="minorEastAsia"/>
                      <w:b/>
                      <w:color w:val="auto"/>
                      <w:szCs w:val="21"/>
                    </w:rPr>
                    <w:t>建筑物插入损失/dB（A）</w:t>
                  </w:r>
                </w:p>
              </w:tc>
              <w:tc>
                <w:tcPr>
                  <w:tcW w:w="658" w:type="pct"/>
                  <w:gridSpan w:val="2"/>
                  <w:shd w:val="clear" w:color="auto" w:fill="auto"/>
                  <w:vAlign w:val="center"/>
                </w:tcPr>
                <w:p w14:paraId="2E4F7754">
                  <w:pPr>
                    <w:jc w:val="center"/>
                    <w:rPr>
                      <w:rFonts w:eastAsiaTheme="minorEastAsia"/>
                      <w:b/>
                      <w:color w:val="auto"/>
                      <w:szCs w:val="21"/>
                    </w:rPr>
                  </w:pPr>
                  <w:r>
                    <w:rPr>
                      <w:rFonts w:eastAsiaTheme="minorEastAsia"/>
                      <w:b/>
                      <w:color w:val="auto"/>
                      <w:szCs w:val="21"/>
                    </w:rPr>
                    <w:t>建筑物外噪声</w:t>
                  </w:r>
                </w:p>
              </w:tc>
            </w:tr>
            <w:tr w14:paraId="52A71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vMerge w:val="continue"/>
                  <w:shd w:val="clear" w:color="auto" w:fill="auto"/>
                  <w:vAlign w:val="center"/>
                </w:tcPr>
                <w:p w14:paraId="7AE4213A">
                  <w:pPr>
                    <w:widowControl/>
                    <w:jc w:val="center"/>
                    <w:rPr>
                      <w:rFonts w:eastAsiaTheme="minorEastAsia"/>
                      <w:color w:val="auto"/>
                      <w:szCs w:val="21"/>
                    </w:rPr>
                  </w:pPr>
                </w:p>
              </w:tc>
              <w:tc>
                <w:tcPr>
                  <w:tcW w:w="712" w:type="pct"/>
                  <w:vMerge w:val="continue"/>
                  <w:shd w:val="clear" w:color="auto" w:fill="auto"/>
                  <w:vAlign w:val="center"/>
                </w:tcPr>
                <w:p w14:paraId="64374D6C">
                  <w:pPr>
                    <w:widowControl/>
                    <w:jc w:val="center"/>
                    <w:rPr>
                      <w:rFonts w:eastAsiaTheme="minorEastAsia"/>
                      <w:color w:val="auto"/>
                      <w:szCs w:val="21"/>
                    </w:rPr>
                  </w:pPr>
                </w:p>
              </w:tc>
              <w:tc>
                <w:tcPr>
                  <w:tcW w:w="284" w:type="pct"/>
                  <w:vMerge w:val="continue"/>
                  <w:shd w:val="clear" w:color="auto" w:fill="auto"/>
                  <w:vAlign w:val="center"/>
                </w:tcPr>
                <w:p w14:paraId="6B44BE34">
                  <w:pPr>
                    <w:widowControl/>
                    <w:jc w:val="center"/>
                    <w:rPr>
                      <w:rFonts w:eastAsiaTheme="minorEastAsia"/>
                      <w:b/>
                      <w:color w:val="auto"/>
                      <w:szCs w:val="21"/>
                    </w:rPr>
                  </w:pPr>
                </w:p>
              </w:tc>
              <w:tc>
                <w:tcPr>
                  <w:tcW w:w="615" w:type="pct"/>
                  <w:vMerge w:val="continue"/>
                  <w:shd w:val="clear" w:color="auto" w:fill="auto"/>
                  <w:vAlign w:val="center"/>
                </w:tcPr>
                <w:p w14:paraId="06D77D61">
                  <w:pPr>
                    <w:widowControl/>
                    <w:jc w:val="center"/>
                    <w:rPr>
                      <w:rFonts w:eastAsiaTheme="minorEastAsia"/>
                      <w:b/>
                      <w:color w:val="auto"/>
                      <w:szCs w:val="21"/>
                    </w:rPr>
                  </w:pPr>
                </w:p>
              </w:tc>
              <w:tc>
                <w:tcPr>
                  <w:tcW w:w="338" w:type="pct"/>
                  <w:vMerge w:val="continue"/>
                  <w:shd w:val="clear" w:color="auto" w:fill="auto"/>
                  <w:vAlign w:val="center"/>
                </w:tcPr>
                <w:p w14:paraId="788C64F2">
                  <w:pPr>
                    <w:widowControl/>
                    <w:jc w:val="center"/>
                    <w:rPr>
                      <w:rFonts w:eastAsiaTheme="minorEastAsia"/>
                      <w:b/>
                      <w:color w:val="auto"/>
                      <w:szCs w:val="21"/>
                    </w:rPr>
                  </w:pPr>
                </w:p>
              </w:tc>
              <w:tc>
                <w:tcPr>
                  <w:tcW w:w="235" w:type="pct"/>
                  <w:shd w:val="clear" w:color="auto" w:fill="auto"/>
                  <w:vAlign w:val="center"/>
                </w:tcPr>
                <w:p w14:paraId="0B460108">
                  <w:pPr>
                    <w:jc w:val="center"/>
                    <w:rPr>
                      <w:rFonts w:eastAsiaTheme="minorEastAsia"/>
                      <w:b/>
                      <w:color w:val="auto"/>
                      <w:szCs w:val="21"/>
                    </w:rPr>
                  </w:pPr>
                  <w:r>
                    <w:rPr>
                      <w:rFonts w:eastAsiaTheme="minorEastAsia"/>
                      <w:b/>
                      <w:color w:val="auto"/>
                      <w:szCs w:val="21"/>
                    </w:rPr>
                    <w:t>X</w:t>
                  </w:r>
                </w:p>
              </w:tc>
              <w:tc>
                <w:tcPr>
                  <w:tcW w:w="256" w:type="pct"/>
                  <w:shd w:val="clear" w:color="auto" w:fill="auto"/>
                  <w:vAlign w:val="center"/>
                </w:tcPr>
                <w:p w14:paraId="7D68C8A6">
                  <w:pPr>
                    <w:jc w:val="center"/>
                    <w:rPr>
                      <w:rFonts w:eastAsiaTheme="minorEastAsia"/>
                      <w:b/>
                      <w:color w:val="auto"/>
                      <w:szCs w:val="21"/>
                    </w:rPr>
                  </w:pPr>
                  <w:r>
                    <w:rPr>
                      <w:rFonts w:eastAsiaTheme="minorEastAsia"/>
                      <w:b/>
                      <w:color w:val="auto"/>
                      <w:szCs w:val="21"/>
                    </w:rPr>
                    <w:t>Y</w:t>
                  </w:r>
                </w:p>
              </w:tc>
              <w:tc>
                <w:tcPr>
                  <w:tcW w:w="258" w:type="pct"/>
                  <w:shd w:val="clear" w:color="auto" w:fill="auto"/>
                  <w:vAlign w:val="center"/>
                </w:tcPr>
                <w:p w14:paraId="6DB21889">
                  <w:pPr>
                    <w:jc w:val="center"/>
                    <w:rPr>
                      <w:rFonts w:eastAsiaTheme="minorEastAsia"/>
                      <w:b/>
                      <w:color w:val="auto"/>
                      <w:szCs w:val="21"/>
                    </w:rPr>
                  </w:pPr>
                  <w:r>
                    <w:rPr>
                      <w:rFonts w:eastAsiaTheme="minorEastAsia"/>
                      <w:b/>
                      <w:color w:val="auto"/>
                      <w:szCs w:val="21"/>
                    </w:rPr>
                    <w:t>Z</w:t>
                  </w:r>
                </w:p>
              </w:tc>
              <w:tc>
                <w:tcPr>
                  <w:tcW w:w="372" w:type="pct"/>
                  <w:vMerge w:val="continue"/>
                  <w:shd w:val="clear" w:color="auto" w:fill="auto"/>
                  <w:vAlign w:val="center"/>
                </w:tcPr>
                <w:p w14:paraId="31176FFB">
                  <w:pPr>
                    <w:widowControl/>
                    <w:jc w:val="center"/>
                    <w:rPr>
                      <w:rFonts w:eastAsiaTheme="minorEastAsia"/>
                      <w:b/>
                      <w:color w:val="auto"/>
                      <w:szCs w:val="21"/>
                    </w:rPr>
                  </w:pPr>
                </w:p>
              </w:tc>
              <w:tc>
                <w:tcPr>
                  <w:tcW w:w="376" w:type="pct"/>
                  <w:vMerge w:val="continue"/>
                  <w:shd w:val="clear" w:color="auto" w:fill="auto"/>
                  <w:vAlign w:val="center"/>
                </w:tcPr>
                <w:p w14:paraId="4EF63050">
                  <w:pPr>
                    <w:widowControl/>
                    <w:jc w:val="center"/>
                    <w:rPr>
                      <w:rFonts w:eastAsiaTheme="minorEastAsia"/>
                      <w:b/>
                      <w:color w:val="auto"/>
                      <w:szCs w:val="21"/>
                    </w:rPr>
                  </w:pPr>
                </w:p>
              </w:tc>
              <w:tc>
                <w:tcPr>
                  <w:tcW w:w="355" w:type="pct"/>
                  <w:vMerge w:val="continue"/>
                  <w:shd w:val="clear" w:color="auto" w:fill="auto"/>
                  <w:vAlign w:val="center"/>
                </w:tcPr>
                <w:p w14:paraId="0F1B7721">
                  <w:pPr>
                    <w:widowControl/>
                    <w:jc w:val="center"/>
                    <w:rPr>
                      <w:rFonts w:eastAsiaTheme="minorEastAsia"/>
                      <w:b/>
                      <w:color w:val="auto"/>
                      <w:szCs w:val="21"/>
                    </w:rPr>
                  </w:pPr>
                </w:p>
              </w:tc>
              <w:tc>
                <w:tcPr>
                  <w:tcW w:w="376" w:type="pct"/>
                  <w:vMerge w:val="continue"/>
                  <w:shd w:val="clear" w:color="auto" w:fill="auto"/>
                  <w:vAlign w:val="center"/>
                </w:tcPr>
                <w:p w14:paraId="74B2E2B3">
                  <w:pPr>
                    <w:widowControl/>
                    <w:jc w:val="center"/>
                    <w:rPr>
                      <w:rFonts w:eastAsiaTheme="minorEastAsia"/>
                      <w:b/>
                      <w:color w:val="auto"/>
                      <w:szCs w:val="21"/>
                    </w:rPr>
                  </w:pPr>
                </w:p>
              </w:tc>
              <w:tc>
                <w:tcPr>
                  <w:tcW w:w="376" w:type="pct"/>
                  <w:shd w:val="clear" w:color="auto" w:fill="auto"/>
                  <w:vAlign w:val="center"/>
                </w:tcPr>
                <w:p w14:paraId="2926892C">
                  <w:pPr>
                    <w:jc w:val="center"/>
                    <w:rPr>
                      <w:rFonts w:eastAsiaTheme="minorEastAsia"/>
                      <w:b/>
                      <w:color w:val="auto"/>
                      <w:szCs w:val="21"/>
                    </w:rPr>
                  </w:pPr>
                  <w:r>
                    <w:rPr>
                      <w:rFonts w:eastAsiaTheme="minorEastAsia"/>
                      <w:b/>
                      <w:color w:val="auto"/>
                      <w:szCs w:val="21"/>
                    </w:rPr>
                    <w:t>声压级/dB（A）</w:t>
                  </w:r>
                </w:p>
              </w:tc>
              <w:tc>
                <w:tcPr>
                  <w:tcW w:w="281" w:type="pct"/>
                  <w:shd w:val="clear" w:color="auto" w:fill="auto"/>
                  <w:vAlign w:val="center"/>
                </w:tcPr>
                <w:p w14:paraId="39CBC5B4">
                  <w:pPr>
                    <w:jc w:val="center"/>
                    <w:rPr>
                      <w:rFonts w:eastAsiaTheme="minorEastAsia"/>
                      <w:b/>
                      <w:color w:val="auto"/>
                      <w:szCs w:val="21"/>
                    </w:rPr>
                  </w:pPr>
                  <w:r>
                    <w:rPr>
                      <w:rFonts w:eastAsiaTheme="minorEastAsia"/>
                      <w:b/>
                      <w:color w:val="auto"/>
                      <w:szCs w:val="21"/>
                    </w:rPr>
                    <w:t>建筑物外距离</w:t>
                  </w:r>
                </w:p>
              </w:tc>
            </w:tr>
            <w:tr w14:paraId="2ECFD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shd w:val="clear" w:color="auto" w:fill="auto"/>
                  <w:vAlign w:val="center"/>
                </w:tcPr>
                <w:p w14:paraId="24E2C703">
                  <w:pPr>
                    <w:jc w:val="center"/>
                    <w:rPr>
                      <w:rFonts w:eastAsiaTheme="minorEastAsia"/>
                      <w:color w:val="auto"/>
                      <w:szCs w:val="21"/>
                    </w:rPr>
                  </w:pPr>
                  <w:r>
                    <w:rPr>
                      <w:rFonts w:eastAsiaTheme="minorEastAsia"/>
                      <w:color w:val="auto"/>
                      <w:szCs w:val="21"/>
                    </w:rPr>
                    <w:t>1</w:t>
                  </w:r>
                </w:p>
              </w:tc>
              <w:tc>
                <w:tcPr>
                  <w:tcW w:w="712" w:type="pct"/>
                  <w:shd w:val="clear" w:color="auto" w:fill="auto"/>
                  <w:vAlign w:val="center"/>
                </w:tcPr>
                <w:p w14:paraId="38F95DAD">
                  <w:pPr>
                    <w:jc w:val="center"/>
                    <w:rPr>
                      <w:rFonts w:eastAsiaTheme="minorEastAsia"/>
                      <w:color w:val="auto"/>
                      <w:szCs w:val="21"/>
                    </w:rPr>
                  </w:pPr>
                  <w:r>
                    <w:rPr>
                      <w:rFonts w:hint="eastAsia" w:eastAsiaTheme="minorEastAsia"/>
                      <w:color w:val="auto"/>
                      <w:szCs w:val="21"/>
                    </w:rPr>
                    <w:t>调胶机</w:t>
                  </w:r>
                </w:p>
              </w:tc>
              <w:tc>
                <w:tcPr>
                  <w:tcW w:w="284" w:type="pct"/>
                  <w:shd w:val="clear" w:color="auto" w:fill="auto"/>
                  <w:vAlign w:val="center"/>
                </w:tcPr>
                <w:p w14:paraId="3EBF1707">
                  <w:pPr>
                    <w:jc w:val="center"/>
                    <w:rPr>
                      <w:rFonts w:eastAsiaTheme="minorEastAsia"/>
                      <w:color w:val="auto"/>
                      <w:szCs w:val="21"/>
                    </w:rPr>
                  </w:pPr>
                  <w:r>
                    <w:rPr>
                      <w:rFonts w:hint="eastAsia" w:eastAsiaTheme="minorEastAsia"/>
                      <w:color w:val="auto"/>
                      <w:szCs w:val="21"/>
                    </w:rPr>
                    <w:t>2</w:t>
                  </w:r>
                </w:p>
              </w:tc>
              <w:tc>
                <w:tcPr>
                  <w:tcW w:w="615" w:type="pct"/>
                  <w:shd w:val="clear" w:color="auto" w:fill="auto"/>
                  <w:vAlign w:val="center"/>
                </w:tcPr>
                <w:p w14:paraId="06FE0377">
                  <w:pPr>
                    <w:jc w:val="center"/>
                    <w:rPr>
                      <w:rFonts w:eastAsiaTheme="minorEastAsia"/>
                      <w:color w:val="auto"/>
                      <w:szCs w:val="21"/>
                    </w:rPr>
                  </w:pPr>
                  <w:r>
                    <w:rPr>
                      <w:rFonts w:eastAsiaTheme="minorEastAsia"/>
                      <w:color w:val="auto"/>
                      <w:szCs w:val="21"/>
                    </w:rPr>
                    <w:t>65~75/1</w:t>
                  </w:r>
                </w:p>
              </w:tc>
              <w:tc>
                <w:tcPr>
                  <w:tcW w:w="338" w:type="pct"/>
                  <w:vMerge w:val="restart"/>
                  <w:shd w:val="clear" w:color="auto" w:fill="auto"/>
                  <w:vAlign w:val="center"/>
                </w:tcPr>
                <w:p w14:paraId="6A435EF5">
                  <w:pPr>
                    <w:jc w:val="center"/>
                    <w:rPr>
                      <w:rFonts w:eastAsiaTheme="minorEastAsia"/>
                      <w:color w:val="auto"/>
                      <w:szCs w:val="21"/>
                    </w:rPr>
                  </w:pPr>
                  <w:r>
                    <w:rPr>
                      <w:rFonts w:eastAsiaTheme="minorEastAsia"/>
                      <w:color w:val="auto"/>
                      <w:szCs w:val="21"/>
                    </w:rPr>
                    <w:t>隔声、减振</w:t>
                  </w:r>
                </w:p>
              </w:tc>
              <w:tc>
                <w:tcPr>
                  <w:tcW w:w="235" w:type="pct"/>
                  <w:shd w:val="clear" w:color="auto" w:fill="auto"/>
                  <w:vAlign w:val="center"/>
                </w:tcPr>
                <w:p w14:paraId="29E8E67A">
                  <w:pPr>
                    <w:autoSpaceDE w:val="0"/>
                    <w:autoSpaceDN w:val="0"/>
                    <w:jc w:val="center"/>
                    <w:rPr>
                      <w:rFonts w:eastAsiaTheme="minorEastAsia"/>
                      <w:color w:val="auto"/>
                      <w:szCs w:val="21"/>
                    </w:rPr>
                  </w:pPr>
                  <w:r>
                    <w:rPr>
                      <w:rFonts w:hint="eastAsia" w:eastAsiaTheme="minorEastAsia"/>
                      <w:color w:val="auto"/>
                      <w:szCs w:val="21"/>
                    </w:rPr>
                    <w:t>30</w:t>
                  </w:r>
                </w:p>
              </w:tc>
              <w:tc>
                <w:tcPr>
                  <w:tcW w:w="256" w:type="pct"/>
                  <w:shd w:val="clear" w:color="auto" w:fill="auto"/>
                  <w:vAlign w:val="center"/>
                </w:tcPr>
                <w:p w14:paraId="53BFE7D8">
                  <w:pPr>
                    <w:autoSpaceDE w:val="0"/>
                    <w:autoSpaceDN w:val="0"/>
                    <w:jc w:val="center"/>
                    <w:rPr>
                      <w:rFonts w:eastAsiaTheme="minorEastAsia"/>
                      <w:color w:val="auto"/>
                      <w:szCs w:val="21"/>
                    </w:rPr>
                  </w:pPr>
                  <w:r>
                    <w:rPr>
                      <w:rFonts w:hint="eastAsia" w:eastAsiaTheme="minorEastAsia"/>
                      <w:color w:val="auto"/>
                      <w:szCs w:val="21"/>
                    </w:rPr>
                    <w:t>60</w:t>
                  </w:r>
                </w:p>
              </w:tc>
              <w:tc>
                <w:tcPr>
                  <w:tcW w:w="258" w:type="pct"/>
                  <w:shd w:val="clear" w:color="auto" w:fill="auto"/>
                  <w:vAlign w:val="center"/>
                </w:tcPr>
                <w:p w14:paraId="39DC3C56">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07D71C22">
                  <w:pPr>
                    <w:autoSpaceDE w:val="0"/>
                    <w:autoSpaceDN w:val="0"/>
                    <w:jc w:val="center"/>
                    <w:rPr>
                      <w:rFonts w:eastAsiaTheme="minorEastAsia"/>
                      <w:color w:val="auto"/>
                      <w:szCs w:val="21"/>
                    </w:rPr>
                  </w:pPr>
                  <w:r>
                    <w:rPr>
                      <w:rFonts w:hint="eastAsia" w:eastAsiaTheme="minorEastAsia"/>
                      <w:color w:val="auto"/>
                      <w:szCs w:val="21"/>
                    </w:rPr>
                    <w:t>W3</w:t>
                  </w:r>
                </w:p>
              </w:tc>
              <w:tc>
                <w:tcPr>
                  <w:tcW w:w="376" w:type="pct"/>
                  <w:shd w:val="clear" w:color="auto" w:fill="auto"/>
                  <w:vAlign w:val="center"/>
                </w:tcPr>
                <w:p w14:paraId="3D893512">
                  <w:pPr>
                    <w:autoSpaceDE w:val="0"/>
                    <w:autoSpaceDN w:val="0"/>
                    <w:jc w:val="center"/>
                    <w:rPr>
                      <w:rFonts w:eastAsiaTheme="minorEastAsia"/>
                      <w:color w:val="auto"/>
                      <w:szCs w:val="21"/>
                    </w:rPr>
                  </w:pPr>
                  <w:r>
                    <w:rPr>
                      <w:rFonts w:hint="eastAsia" w:eastAsiaTheme="minorEastAsia"/>
                      <w:color w:val="auto"/>
                      <w:szCs w:val="21"/>
                    </w:rPr>
                    <w:t>68.5</w:t>
                  </w:r>
                </w:p>
              </w:tc>
              <w:tc>
                <w:tcPr>
                  <w:tcW w:w="355" w:type="pct"/>
                  <w:vMerge w:val="restart"/>
                  <w:shd w:val="clear" w:color="auto" w:fill="auto"/>
                  <w:vAlign w:val="center"/>
                </w:tcPr>
                <w:p w14:paraId="343ECE18">
                  <w:pPr>
                    <w:autoSpaceDE w:val="0"/>
                    <w:autoSpaceDN w:val="0"/>
                    <w:jc w:val="center"/>
                    <w:rPr>
                      <w:rFonts w:eastAsiaTheme="minorEastAsia"/>
                      <w:color w:val="auto"/>
                      <w:szCs w:val="21"/>
                    </w:rPr>
                  </w:pPr>
                  <w:r>
                    <w:rPr>
                      <w:rFonts w:hint="eastAsia" w:eastAsiaTheme="minorEastAsia"/>
                      <w:color w:val="auto"/>
                      <w:szCs w:val="21"/>
                    </w:rPr>
                    <w:t>8：00</w:t>
                  </w:r>
                </w:p>
                <w:p w14:paraId="7E74591E">
                  <w:pPr>
                    <w:autoSpaceDE w:val="0"/>
                    <w:autoSpaceDN w:val="0"/>
                    <w:jc w:val="center"/>
                    <w:rPr>
                      <w:rFonts w:eastAsiaTheme="minorEastAsia"/>
                      <w:color w:val="auto"/>
                      <w:szCs w:val="21"/>
                    </w:rPr>
                  </w:pPr>
                  <w:r>
                    <w:rPr>
                      <w:rFonts w:hint="eastAsia" w:eastAsiaTheme="minorEastAsia"/>
                      <w:color w:val="auto"/>
                      <w:szCs w:val="21"/>
                    </w:rPr>
                    <w:t>-</w:t>
                  </w:r>
                  <w:r>
                    <w:rPr>
                      <w:rFonts w:hint="eastAsia" w:eastAsiaTheme="minorEastAsia"/>
                      <w:color w:val="auto"/>
                      <w:szCs w:val="21"/>
                      <w:lang w:val="en-US" w:eastAsia="zh-CN"/>
                    </w:rPr>
                    <w:t>次日8</w:t>
                  </w:r>
                  <w:r>
                    <w:rPr>
                      <w:rFonts w:hint="eastAsia" w:eastAsiaTheme="minorEastAsia"/>
                      <w:color w:val="auto"/>
                      <w:szCs w:val="21"/>
                    </w:rPr>
                    <w:t>：00</w:t>
                  </w:r>
                </w:p>
              </w:tc>
              <w:tc>
                <w:tcPr>
                  <w:tcW w:w="376" w:type="pct"/>
                  <w:shd w:val="clear" w:color="auto" w:fill="auto"/>
                  <w:vAlign w:val="center"/>
                </w:tcPr>
                <w:p w14:paraId="7D3AE109">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4FD0EA7A">
                  <w:pPr>
                    <w:autoSpaceDE w:val="0"/>
                    <w:autoSpaceDN w:val="0"/>
                    <w:jc w:val="center"/>
                    <w:rPr>
                      <w:rFonts w:eastAsiaTheme="minorEastAsia"/>
                      <w:color w:val="auto"/>
                      <w:szCs w:val="21"/>
                    </w:rPr>
                  </w:pPr>
                  <w:r>
                    <w:rPr>
                      <w:rFonts w:hint="eastAsia" w:eastAsiaTheme="minorEastAsia"/>
                      <w:color w:val="auto"/>
                      <w:szCs w:val="21"/>
                    </w:rPr>
                    <w:t>43.5</w:t>
                  </w:r>
                </w:p>
              </w:tc>
              <w:tc>
                <w:tcPr>
                  <w:tcW w:w="281" w:type="pct"/>
                  <w:vMerge w:val="restart"/>
                  <w:shd w:val="clear" w:color="auto" w:fill="auto"/>
                  <w:vAlign w:val="center"/>
                </w:tcPr>
                <w:p w14:paraId="375E1FBF">
                  <w:pPr>
                    <w:jc w:val="center"/>
                    <w:rPr>
                      <w:rFonts w:eastAsiaTheme="minorEastAsia"/>
                      <w:color w:val="auto"/>
                      <w:szCs w:val="21"/>
                    </w:rPr>
                  </w:pPr>
                  <w:r>
                    <w:rPr>
                      <w:rFonts w:eastAsiaTheme="minorEastAsia"/>
                      <w:color w:val="auto"/>
                      <w:szCs w:val="21"/>
                    </w:rPr>
                    <w:t>1m</w:t>
                  </w:r>
                </w:p>
              </w:tc>
            </w:tr>
            <w:tr w14:paraId="76EEB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shd w:val="clear" w:color="auto" w:fill="auto"/>
                  <w:vAlign w:val="center"/>
                </w:tcPr>
                <w:p w14:paraId="6FC5321E">
                  <w:pPr>
                    <w:jc w:val="center"/>
                    <w:rPr>
                      <w:rFonts w:eastAsiaTheme="minorEastAsia"/>
                      <w:color w:val="auto"/>
                      <w:szCs w:val="21"/>
                    </w:rPr>
                  </w:pPr>
                  <w:r>
                    <w:rPr>
                      <w:rFonts w:eastAsiaTheme="minorEastAsia"/>
                      <w:color w:val="auto"/>
                      <w:szCs w:val="21"/>
                    </w:rPr>
                    <w:t>2</w:t>
                  </w:r>
                </w:p>
              </w:tc>
              <w:tc>
                <w:tcPr>
                  <w:tcW w:w="712" w:type="pct"/>
                  <w:shd w:val="clear" w:color="auto" w:fill="auto"/>
                  <w:vAlign w:val="center"/>
                </w:tcPr>
                <w:p w14:paraId="17CBDEFE">
                  <w:pPr>
                    <w:jc w:val="center"/>
                    <w:rPr>
                      <w:rFonts w:eastAsiaTheme="minorEastAsia"/>
                      <w:color w:val="auto"/>
                      <w:szCs w:val="21"/>
                    </w:rPr>
                  </w:pPr>
                  <w:r>
                    <w:rPr>
                      <w:rFonts w:hint="eastAsia" w:eastAsiaTheme="minorEastAsia"/>
                      <w:color w:val="auto"/>
                      <w:szCs w:val="21"/>
                    </w:rPr>
                    <w:t>涂胶机</w:t>
                  </w:r>
                </w:p>
              </w:tc>
              <w:tc>
                <w:tcPr>
                  <w:tcW w:w="284" w:type="pct"/>
                  <w:shd w:val="clear" w:color="auto" w:fill="auto"/>
                  <w:vAlign w:val="center"/>
                </w:tcPr>
                <w:p w14:paraId="454BAD7A">
                  <w:pPr>
                    <w:jc w:val="center"/>
                    <w:rPr>
                      <w:rFonts w:eastAsiaTheme="minorEastAsia"/>
                      <w:color w:val="auto"/>
                      <w:szCs w:val="21"/>
                    </w:rPr>
                  </w:pPr>
                  <w:r>
                    <w:rPr>
                      <w:rFonts w:hint="eastAsia" w:eastAsiaTheme="minorEastAsia"/>
                      <w:color w:val="auto"/>
                      <w:szCs w:val="21"/>
                    </w:rPr>
                    <w:t>2</w:t>
                  </w:r>
                </w:p>
              </w:tc>
              <w:tc>
                <w:tcPr>
                  <w:tcW w:w="615" w:type="pct"/>
                  <w:shd w:val="clear" w:color="auto" w:fill="auto"/>
                  <w:vAlign w:val="center"/>
                </w:tcPr>
                <w:p w14:paraId="7CB1190A">
                  <w:pPr>
                    <w:jc w:val="center"/>
                    <w:rPr>
                      <w:rFonts w:eastAsiaTheme="minorEastAsia"/>
                      <w:color w:val="auto"/>
                      <w:szCs w:val="21"/>
                    </w:rPr>
                  </w:pPr>
                  <w:r>
                    <w:rPr>
                      <w:rFonts w:eastAsiaTheme="minorEastAsia"/>
                      <w:color w:val="auto"/>
                      <w:szCs w:val="21"/>
                    </w:rPr>
                    <w:t>65~75/1</w:t>
                  </w:r>
                </w:p>
              </w:tc>
              <w:tc>
                <w:tcPr>
                  <w:tcW w:w="338" w:type="pct"/>
                  <w:vMerge w:val="continue"/>
                  <w:shd w:val="clear" w:color="auto" w:fill="auto"/>
                  <w:vAlign w:val="center"/>
                </w:tcPr>
                <w:p w14:paraId="25C58269">
                  <w:pPr>
                    <w:jc w:val="center"/>
                    <w:rPr>
                      <w:rFonts w:eastAsiaTheme="minorEastAsia"/>
                      <w:color w:val="auto"/>
                      <w:szCs w:val="21"/>
                    </w:rPr>
                  </w:pPr>
                </w:p>
              </w:tc>
              <w:tc>
                <w:tcPr>
                  <w:tcW w:w="235" w:type="pct"/>
                  <w:shd w:val="clear" w:color="auto" w:fill="auto"/>
                  <w:vAlign w:val="center"/>
                </w:tcPr>
                <w:p w14:paraId="6E61065A">
                  <w:pPr>
                    <w:autoSpaceDE w:val="0"/>
                    <w:autoSpaceDN w:val="0"/>
                    <w:jc w:val="center"/>
                    <w:rPr>
                      <w:rFonts w:eastAsiaTheme="minorEastAsia"/>
                      <w:color w:val="auto"/>
                      <w:szCs w:val="21"/>
                    </w:rPr>
                  </w:pPr>
                  <w:r>
                    <w:rPr>
                      <w:rFonts w:hint="eastAsia" w:eastAsiaTheme="minorEastAsia"/>
                      <w:color w:val="auto"/>
                      <w:szCs w:val="21"/>
                    </w:rPr>
                    <w:t>30</w:t>
                  </w:r>
                </w:p>
              </w:tc>
              <w:tc>
                <w:tcPr>
                  <w:tcW w:w="256" w:type="pct"/>
                  <w:shd w:val="clear" w:color="auto" w:fill="auto"/>
                  <w:vAlign w:val="center"/>
                </w:tcPr>
                <w:p w14:paraId="60882828">
                  <w:pPr>
                    <w:autoSpaceDE w:val="0"/>
                    <w:autoSpaceDN w:val="0"/>
                    <w:jc w:val="center"/>
                    <w:rPr>
                      <w:rFonts w:eastAsiaTheme="minorEastAsia"/>
                      <w:color w:val="auto"/>
                      <w:szCs w:val="21"/>
                    </w:rPr>
                  </w:pPr>
                  <w:r>
                    <w:rPr>
                      <w:rFonts w:hint="eastAsia" w:eastAsiaTheme="minorEastAsia"/>
                      <w:color w:val="auto"/>
                      <w:szCs w:val="21"/>
                    </w:rPr>
                    <w:t>60</w:t>
                  </w:r>
                </w:p>
              </w:tc>
              <w:tc>
                <w:tcPr>
                  <w:tcW w:w="258" w:type="pct"/>
                  <w:shd w:val="clear" w:color="auto" w:fill="auto"/>
                  <w:vAlign w:val="center"/>
                </w:tcPr>
                <w:p w14:paraId="65929151">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176D6EBE">
                  <w:pPr>
                    <w:autoSpaceDE w:val="0"/>
                    <w:autoSpaceDN w:val="0"/>
                    <w:jc w:val="center"/>
                    <w:rPr>
                      <w:rFonts w:eastAsiaTheme="minorEastAsia"/>
                      <w:color w:val="auto"/>
                      <w:szCs w:val="21"/>
                    </w:rPr>
                  </w:pPr>
                  <w:r>
                    <w:rPr>
                      <w:rFonts w:hint="eastAsia" w:eastAsiaTheme="minorEastAsia"/>
                      <w:color w:val="auto"/>
                      <w:szCs w:val="21"/>
                    </w:rPr>
                    <w:t>E15</w:t>
                  </w:r>
                </w:p>
              </w:tc>
              <w:tc>
                <w:tcPr>
                  <w:tcW w:w="376" w:type="pct"/>
                  <w:shd w:val="clear" w:color="auto" w:fill="auto"/>
                  <w:vAlign w:val="center"/>
                </w:tcPr>
                <w:p w14:paraId="060A97B0">
                  <w:pPr>
                    <w:autoSpaceDE w:val="0"/>
                    <w:autoSpaceDN w:val="0"/>
                    <w:jc w:val="center"/>
                    <w:rPr>
                      <w:rFonts w:eastAsiaTheme="minorEastAsia"/>
                      <w:color w:val="auto"/>
                      <w:szCs w:val="21"/>
                    </w:rPr>
                  </w:pPr>
                  <w:r>
                    <w:rPr>
                      <w:rFonts w:hint="eastAsia" w:eastAsiaTheme="minorEastAsia"/>
                      <w:color w:val="auto"/>
                      <w:szCs w:val="21"/>
                    </w:rPr>
                    <w:t>65.9</w:t>
                  </w:r>
                </w:p>
              </w:tc>
              <w:tc>
                <w:tcPr>
                  <w:tcW w:w="355" w:type="pct"/>
                  <w:vMerge w:val="continue"/>
                  <w:shd w:val="clear" w:color="auto" w:fill="auto"/>
                  <w:vAlign w:val="center"/>
                </w:tcPr>
                <w:p w14:paraId="3D4E5C34">
                  <w:pPr>
                    <w:autoSpaceDE w:val="0"/>
                    <w:autoSpaceDN w:val="0"/>
                    <w:jc w:val="center"/>
                    <w:rPr>
                      <w:rFonts w:eastAsiaTheme="minorEastAsia"/>
                      <w:color w:val="auto"/>
                      <w:szCs w:val="21"/>
                    </w:rPr>
                  </w:pPr>
                </w:p>
              </w:tc>
              <w:tc>
                <w:tcPr>
                  <w:tcW w:w="376" w:type="pct"/>
                  <w:shd w:val="clear" w:color="auto" w:fill="auto"/>
                  <w:vAlign w:val="center"/>
                </w:tcPr>
                <w:p w14:paraId="34E7A437">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3A8F84E4">
                  <w:pPr>
                    <w:autoSpaceDE w:val="0"/>
                    <w:autoSpaceDN w:val="0"/>
                    <w:jc w:val="center"/>
                    <w:rPr>
                      <w:rFonts w:eastAsiaTheme="minorEastAsia"/>
                      <w:color w:val="auto"/>
                      <w:szCs w:val="21"/>
                    </w:rPr>
                  </w:pPr>
                  <w:r>
                    <w:rPr>
                      <w:rFonts w:hint="eastAsia" w:eastAsiaTheme="minorEastAsia"/>
                      <w:color w:val="auto"/>
                      <w:szCs w:val="21"/>
                    </w:rPr>
                    <w:t>40.9</w:t>
                  </w:r>
                </w:p>
              </w:tc>
              <w:tc>
                <w:tcPr>
                  <w:tcW w:w="281" w:type="pct"/>
                  <w:vMerge w:val="continue"/>
                  <w:shd w:val="clear" w:color="auto" w:fill="auto"/>
                  <w:vAlign w:val="center"/>
                </w:tcPr>
                <w:p w14:paraId="140FB6AE">
                  <w:pPr>
                    <w:jc w:val="center"/>
                    <w:rPr>
                      <w:rFonts w:eastAsiaTheme="minorEastAsia"/>
                      <w:color w:val="auto"/>
                      <w:szCs w:val="21"/>
                    </w:rPr>
                  </w:pPr>
                </w:p>
              </w:tc>
            </w:tr>
            <w:tr w14:paraId="3170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9" w:type="pct"/>
                  <w:shd w:val="clear" w:color="auto" w:fill="auto"/>
                  <w:vAlign w:val="center"/>
                </w:tcPr>
                <w:p w14:paraId="4162FBEA">
                  <w:pPr>
                    <w:jc w:val="center"/>
                    <w:rPr>
                      <w:rFonts w:eastAsiaTheme="minorEastAsia"/>
                      <w:color w:val="auto"/>
                      <w:szCs w:val="21"/>
                    </w:rPr>
                  </w:pPr>
                  <w:r>
                    <w:rPr>
                      <w:rFonts w:eastAsiaTheme="minorEastAsia"/>
                      <w:color w:val="auto"/>
                      <w:szCs w:val="21"/>
                    </w:rPr>
                    <w:t>3</w:t>
                  </w:r>
                </w:p>
              </w:tc>
              <w:tc>
                <w:tcPr>
                  <w:tcW w:w="712" w:type="pct"/>
                  <w:shd w:val="clear" w:color="auto" w:fill="auto"/>
                  <w:vAlign w:val="center"/>
                </w:tcPr>
                <w:p w14:paraId="65245E51">
                  <w:pPr>
                    <w:jc w:val="center"/>
                    <w:rPr>
                      <w:rFonts w:eastAsiaTheme="minorEastAsia"/>
                      <w:color w:val="auto"/>
                      <w:szCs w:val="21"/>
                    </w:rPr>
                  </w:pPr>
                  <w:r>
                    <w:rPr>
                      <w:rFonts w:hint="eastAsia" w:eastAsiaTheme="minorEastAsia"/>
                      <w:color w:val="auto"/>
                      <w:szCs w:val="21"/>
                    </w:rPr>
                    <w:t>旋切机</w:t>
                  </w:r>
                </w:p>
              </w:tc>
              <w:tc>
                <w:tcPr>
                  <w:tcW w:w="284" w:type="pct"/>
                  <w:shd w:val="clear" w:color="auto" w:fill="auto"/>
                  <w:vAlign w:val="center"/>
                </w:tcPr>
                <w:p w14:paraId="47334614">
                  <w:pPr>
                    <w:jc w:val="center"/>
                    <w:rPr>
                      <w:rFonts w:eastAsiaTheme="minorEastAsia"/>
                      <w:color w:val="auto"/>
                      <w:szCs w:val="21"/>
                    </w:rPr>
                  </w:pPr>
                  <w:r>
                    <w:rPr>
                      <w:rFonts w:hint="eastAsia" w:eastAsiaTheme="minorEastAsia"/>
                      <w:color w:val="auto"/>
                      <w:szCs w:val="21"/>
                    </w:rPr>
                    <w:t>1</w:t>
                  </w:r>
                </w:p>
              </w:tc>
              <w:tc>
                <w:tcPr>
                  <w:tcW w:w="615" w:type="pct"/>
                  <w:shd w:val="clear" w:color="auto" w:fill="auto"/>
                  <w:vAlign w:val="center"/>
                </w:tcPr>
                <w:p w14:paraId="6F0496F5">
                  <w:pPr>
                    <w:jc w:val="center"/>
                    <w:rPr>
                      <w:rFonts w:eastAsiaTheme="minorEastAsia"/>
                      <w:color w:val="auto"/>
                      <w:szCs w:val="21"/>
                    </w:rPr>
                  </w:pPr>
                  <w:r>
                    <w:rPr>
                      <w:rFonts w:eastAsiaTheme="minorEastAsia"/>
                      <w:color w:val="auto"/>
                      <w:szCs w:val="21"/>
                    </w:rPr>
                    <w:t>65~75/1</w:t>
                  </w:r>
                </w:p>
              </w:tc>
              <w:tc>
                <w:tcPr>
                  <w:tcW w:w="338" w:type="pct"/>
                  <w:vMerge w:val="continue"/>
                  <w:shd w:val="clear" w:color="auto" w:fill="auto"/>
                  <w:vAlign w:val="center"/>
                </w:tcPr>
                <w:p w14:paraId="633B575D">
                  <w:pPr>
                    <w:jc w:val="center"/>
                    <w:rPr>
                      <w:rFonts w:eastAsiaTheme="minorEastAsia"/>
                      <w:color w:val="auto"/>
                      <w:szCs w:val="21"/>
                    </w:rPr>
                  </w:pPr>
                </w:p>
              </w:tc>
              <w:tc>
                <w:tcPr>
                  <w:tcW w:w="235" w:type="pct"/>
                  <w:shd w:val="clear" w:color="auto" w:fill="auto"/>
                  <w:vAlign w:val="center"/>
                </w:tcPr>
                <w:p w14:paraId="252964FE">
                  <w:pPr>
                    <w:autoSpaceDE w:val="0"/>
                    <w:autoSpaceDN w:val="0"/>
                    <w:jc w:val="center"/>
                    <w:rPr>
                      <w:rFonts w:eastAsiaTheme="minorEastAsia"/>
                      <w:color w:val="auto"/>
                      <w:szCs w:val="21"/>
                    </w:rPr>
                  </w:pPr>
                  <w:r>
                    <w:rPr>
                      <w:rFonts w:hint="eastAsia" w:eastAsiaTheme="minorEastAsia"/>
                      <w:color w:val="auto"/>
                      <w:szCs w:val="21"/>
                    </w:rPr>
                    <w:t>6</w:t>
                  </w:r>
                </w:p>
              </w:tc>
              <w:tc>
                <w:tcPr>
                  <w:tcW w:w="256" w:type="pct"/>
                  <w:shd w:val="clear" w:color="auto" w:fill="auto"/>
                  <w:vAlign w:val="center"/>
                </w:tcPr>
                <w:p w14:paraId="234AE4B3">
                  <w:pPr>
                    <w:autoSpaceDE w:val="0"/>
                    <w:autoSpaceDN w:val="0"/>
                    <w:jc w:val="center"/>
                    <w:rPr>
                      <w:rFonts w:eastAsiaTheme="minorEastAsia"/>
                      <w:color w:val="auto"/>
                      <w:szCs w:val="21"/>
                    </w:rPr>
                  </w:pPr>
                  <w:r>
                    <w:rPr>
                      <w:rFonts w:hint="eastAsia" w:eastAsiaTheme="minorEastAsia"/>
                      <w:color w:val="auto"/>
                      <w:szCs w:val="21"/>
                    </w:rPr>
                    <w:t>12</w:t>
                  </w:r>
                </w:p>
              </w:tc>
              <w:tc>
                <w:tcPr>
                  <w:tcW w:w="258" w:type="pct"/>
                  <w:shd w:val="clear" w:color="auto" w:fill="auto"/>
                  <w:vAlign w:val="center"/>
                </w:tcPr>
                <w:p w14:paraId="590E587F">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49D381D3">
                  <w:pPr>
                    <w:autoSpaceDE w:val="0"/>
                    <w:autoSpaceDN w:val="0"/>
                    <w:jc w:val="center"/>
                    <w:rPr>
                      <w:rFonts w:eastAsiaTheme="minorEastAsia"/>
                      <w:color w:val="auto"/>
                      <w:szCs w:val="21"/>
                    </w:rPr>
                  </w:pPr>
                  <w:r>
                    <w:rPr>
                      <w:rFonts w:hint="eastAsia" w:eastAsiaTheme="minorEastAsia"/>
                      <w:color w:val="auto"/>
                      <w:szCs w:val="21"/>
                    </w:rPr>
                    <w:t>E15</w:t>
                  </w:r>
                </w:p>
              </w:tc>
              <w:tc>
                <w:tcPr>
                  <w:tcW w:w="376" w:type="pct"/>
                  <w:shd w:val="clear" w:color="auto" w:fill="auto"/>
                  <w:vAlign w:val="center"/>
                </w:tcPr>
                <w:p w14:paraId="6BD87FF6">
                  <w:pPr>
                    <w:autoSpaceDE w:val="0"/>
                    <w:autoSpaceDN w:val="0"/>
                    <w:jc w:val="center"/>
                    <w:rPr>
                      <w:rFonts w:eastAsiaTheme="minorEastAsia"/>
                      <w:color w:val="auto"/>
                      <w:szCs w:val="21"/>
                    </w:rPr>
                  </w:pPr>
                  <w:r>
                    <w:rPr>
                      <w:rFonts w:hint="eastAsia" w:eastAsiaTheme="minorEastAsia"/>
                      <w:color w:val="auto"/>
                      <w:szCs w:val="21"/>
                    </w:rPr>
                    <w:t>61.5</w:t>
                  </w:r>
                </w:p>
              </w:tc>
              <w:tc>
                <w:tcPr>
                  <w:tcW w:w="355" w:type="pct"/>
                  <w:vMerge w:val="continue"/>
                  <w:shd w:val="clear" w:color="auto" w:fill="auto"/>
                  <w:vAlign w:val="center"/>
                </w:tcPr>
                <w:p w14:paraId="57529E1F">
                  <w:pPr>
                    <w:autoSpaceDE w:val="0"/>
                    <w:autoSpaceDN w:val="0"/>
                    <w:jc w:val="center"/>
                    <w:rPr>
                      <w:rFonts w:eastAsiaTheme="minorEastAsia"/>
                      <w:color w:val="auto"/>
                      <w:szCs w:val="21"/>
                    </w:rPr>
                  </w:pPr>
                </w:p>
              </w:tc>
              <w:tc>
                <w:tcPr>
                  <w:tcW w:w="376" w:type="pct"/>
                  <w:shd w:val="clear" w:color="auto" w:fill="auto"/>
                  <w:vAlign w:val="center"/>
                </w:tcPr>
                <w:p w14:paraId="283ECCC4">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37C54BE8">
                  <w:pPr>
                    <w:autoSpaceDE w:val="0"/>
                    <w:autoSpaceDN w:val="0"/>
                    <w:jc w:val="center"/>
                    <w:rPr>
                      <w:rFonts w:eastAsiaTheme="minorEastAsia"/>
                      <w:color w:val="auto"/>
                      <w:szCs w:val="21"/>
                    </w:rPr>
                  </w:pPr>
                  <w:r>
                    <w:rPr>
                      <w:rFonts w:hint="eastAsia" w:eastAsiaTheme="minorEastAsia"/>
                      <w:color w:val="auto"/>
                      <w:szCs w:val="21"/>
                    </w:rPr>
                    <w:t>36.5</w:t>
                  </w:r>
                </w:p>
              </w:tc>
              <w:tc>
                <w:tcPr>
                  <w:tcW w:w="281" w:type="pct"/>
                  <w:vMerge w:val="continue"/>
                  <w:shd w:val="clear" w:color="auto" w:fill="auto"/>
                  <w:vAlign w:val="center"/>
                </w:tcPr>
                <w:p w14:paraId="761F8A8A">
                  <w:pPr>
                    <w:widowControl/>
                    <w:jc w:val="center"/>
                    <w:rPr>
                      <w:rFonts w:eastAsiaTheme="minorEastAsia"/>
                      <w:color w:val="auto"/>
                      <w:szCs w:val="21"/>
                    </w:rPr>
                  </w:pPr>
                </w:p>
              </w:tc>
            </w:tr>
            <w:tr w14:paraId="39824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shd w:val="clear" w:color="auto" w:fill="auto"/>
                  <w:vAlign w:val="center"/>
                </w:tcPr>
                <w:p w14:paraId="15A35A58">
                  <w:pPr>
                    <w:jc w:val="center"/>
                    <w:rPr>
                      <w:rFonts w:eastAsiaTheme="minorEastAsia"/>
                      <w:color w:val="auto"/>
                      <w:szCs w:val="21"/>
                    </w:rPr>
                  </w:pPr>
                  <w:r>
                    <w:rPr>
                      <w:rFonts w:eastAsiaTheme="minorEastAsia"/>
                      <w:color w:val="auto"/>
                      <w:szCs w:val="21"/>
                    </w:rPr>
                    <w:t>4</w:t>
                  </w:r>
                </w:p>
              </w:tc>
              <w:tc>
                <w:tcPr>
                  <w:tcW w:w="712" w:type="pct"/>
                  <w:shd w:val="clear" w:color="auto" w:fill="auto"/>
                  <w:vAlign w:val="center"/>
                </w:tcPr>
                <w:p w14:paraId="5D6C051A">
                  <w:pPr>
                    <w:jc w:val="center"/>
                    <w:rPr>
                      <w:rFonts w:eastAsiaTheme="minorEastAsia"/>
                      <w:color w:val="auto"/>
                      <w:szCs w:val="21"/>
                    </w:rPr>
                  </w:pPr>
                  <w:r>
                    <w:rPr>
                      <w:rFonts w:hint="eastAsia" w:eastAsiaTheme="minorEastAsia"/>
                      <w:color w:val="auto"/>
                      <w:szCs w:val="21"/>
                    </w:rPr>
                    <w:t>四面锯</w:t>
                  </w:r>
                </w:p>
              </w:tc>
              <w:tc>
                <w:tcPr>
                  <w:tcW w:w="284" w:type="pct"/>
                  <w:shd w:val="clear" w:color="auto" w:fill="auto"/>
                  <w:vAlign w:val="center"/>
                </w:tcPr>
                <w:p w14:paraId="65945282">
                  <w:pPr>
                    <w:jc w:val="center"/>
                    <w:rPr>
                      <w:rFonts w:eastAsiaTheme="minorEastAsia"/>
                      <w:color w:val="auto"/>
                      <w:szCs w:val="21"/>
                    </w:rPr>
                  </w:pPr>
                  <w:r>
                    <w:rPr>
                      <w:rFonts w:hint="eastAsia" w:eastAsiaTheme="minorEastAsia"/>
                      <w:color w:val="auto"/>
                      <w:szCs w:val="21"/>
                    </w:rPr>
                    <w:t>1</w:t>
                  </w:r>
                </w:p>
              </w:tc>
              <w:tc>
                <w:tcPr>
                  <w:tcW w:w="615" w:type="pct"/>
                  <w:shd w:val="clear" w:color="auto" w:fill="auto"/>
                  <w:vAlign w:val="center"/>
                </w:tcPr>
                <w:p w14:paraId="0EAA2A39">
                  <w:pPr>
                    <w:jc w:val="center"/>
                    <w:rPr>
                      <w:rFonts w:eastAsiaTheme="minorEastAsia"/>
                      <w:color w:val="auto"/>
                      <w:szCs w:val="21"/>
                    </w:rPr>
                  </w:pPr>
                  <w:r>
                    <w:rPr>
                      <w:rFonts w:eastAsiaTheme="minorEastAsia"/>
                      <w:color w:val="auto"/>
                      <w:szCs w:val="21"/>
                    </w:rPr>
                    <w:t>65~75/1</w:t>
                  </w:r>
                </w:p>
              </w:tc>
              <w:tc>
                <w:tcPr>
                  <w:tcW w:w="338" w:type="pct"/>
                  <w:vMerge w:val="continue"/>
                  <w:shd w:val="clear" w:color="auto" w:fill="auto"/>
                  <w:vAlign w:val="center"/>
                </w:tcPr>
                <w:p w14:paraId="6635667B">
                  <w:pPr>
                    <w:jc w:val="center"/>
                    <w:rPr>
                      <w:rFonts w:eastAsiaTheme="minorEastAsia"/>
                      <w:color w:val="auto"/>
                      <w:szCs w:val="21"/>
                    </w:rPr>
                  </w:pPr>
                </w:p>
              </w:tc>
              <w:tc>
                <w:tcPr>
                  <w:tcW w:w="235" w:type="pct"/>
                  <w:shd w:val="clear" w:color="auto" w:fill="auto"/>
                  <w:vAlign w:val="center"/>
                </w:tcPr>
                <w:p w14:paraId="5D8F981E">
                  <w:pPr>
                    <w:autoSpaceDE w:val="0"/>
                    <w:autoSpaceDN w:val="0"/>
                    <w:jc w:val="center"/>
                    <w:rPr>
                      <w:rFonts w:eastAsiaTheme="minorEastAsia"/>
                      <w:color w:val="auto"/>
                      <w:szCs w:val="21"/>
                    </w:rPr>
                  </w:pPr>
                  <w:r>
                    <w:rPr>
                      <w:rFonts w:hint="eastAsia" w:eastAsiaTheme="minorEastAsia"/>
                      <w:color w:val="auto"/>
                      <w:szCs w:val="21"/>
                    </w:rPr>
                    <w:t>20</w:t>
                  </w:r>
                </w:p>
              </w:tc>
              <w:tc>
                <w:tcPr>
                  <w:tcW w:w="256" w:type="pct"/>
                  <w:shd w:val="clear" w:color="auto" w:fill="auto"/>
                  <w:vAlign w:val="center"/>
                </w:tcPr>
                <w:p w14:paraId="65DC7B5E">
                  <w:pPr>
                    <w:autoSpaceDE w:val="0"/>
                    <w:autoSpaceDN w:val="0"/>
                    <w:jc w:val="center"/>
                    <w:rPr>
                      <w:rFonts w:eastAsiaTheme="minorEastAsia"/>
                      <w:color w:val="auto"/>
                      <w:szCs w:val="21"/>
                    </w:rPr>
                  </w:pPr>
                  <w:r>
                    <w:rPr>
                      <w:rFonts w:hint="eastAsia" w:eastAsiaTheme="minorEastAsia"/>
                      <w:color w:val="auto"/>
                      <w:szCs w:val="21"/>
                    </w:rPr>
                    <w:t>80</w:t>
                  </w:r>
                </w:p>
              </w:tc>
              <w:tc>
                <w:tcPr>
                  <w:tcW w:w="258" w:type="pct"/>
                  <w:shd w:val="clear" w:color="auto" w:fill="auto"/>
                  <w:vAlign w:val="center"/>
                </w:tcPr>
                <w:p w14:paraId="1FE5FF40">
                  <w:pPr>
                    <w:autoSpaceDE w:val="0"/>
                    <w:autoSpaceDN w:val="0"/>
                    <w:jc w:val="center"/>
                    <w:rPr>
                      <w:rFonts w:eastAsiaTheme="minorEastAsia"/>
                      <w:color w:val="auto"/>
                      <w:szCs w:val="21"/>
                    </w:rPr>
                  </w:pPr>
                  <w:r>
                    <w:rPr>
                      <w:rFonts w:hint="eastAsia" w:eastAsiaTheme="minorEastAsia"/>
                      <w:color w:val="auto"/>
                      <w:szCs w:val="21"/>
                    </w:rPr>
                    <w:t>1.5</w:t>
                  </w:r>
                </w:p>
              </w:tc>
              <w:tc>
                <w:tcPr>
                  <w:tcW w:w="372" w:type="pct"/>
                  <w:shd w:val="clear" w:color="auto" w:fill="auto"/>
                  <w:vAlign w:val="center"/>
                </w:tcPr>
                <w:p w14:paraId="52AE2752">
                  <w:pPr>
                    <w:autoSpaceDE w:val="0"/>
                    <w:autoSpaceDN w:val="0"/>
                    <w:jc w:val="center"/>
                    <w:rPr>
                      <w:rFonts w:eastAsiaTheme="minorEastAsia"/>
                      <w:color w:val="auto"/>
                      <w:szCs w:val="21"/>
                    </w:rPr>
                  </w:pPr>
                  <w:r>
                    <w:rPr>
                      <w:rFonts w:hint="eastAsia" w:eastAsiaTheme="minorEastAsia"/>
                      <w:color w:val="auto"/>
                      <w:szCs w:val="21"/>
                    </w:rPr>
                    <w:t>E15</w:t>
                  </w:r>
                </w:p>
              </w:tc>
              <w:tc>
                <w:tcPr>
                  <w:tcW w:w="376" w:type="pct"/>
                  <w:shd w:val="clear" w:color="auto" w:fill="auto"/>
                  <w:vAlign w:val="center"/>
                </w:tcPr>
                <w:p w14:paraId="42B89CA9">
                  <w:pPr>
                    <w:autoSpaceDE w:val="0"/>
                    <w:autoSpaceDN w:val="0"/>
                    <w:jc w:val="center"/>
                    <w:rPr>
                      <w:rFonts w:eastAsiaTheme="minorEastAsia"/>
                      <w:color w:val="auto"/>
                      <w:szCs w:val="21"/>
                    </w:rPr>
                  </w:pPr>
                  <w:r>
                    <w:rPr>
                      <w:rFonts w:hint="eastAsia" w:eastAsiaTheme="minorEastAsia"/>
                      <w:color w:val="auto"/>
                      <w:szCs w:val="21"/>
                    </w:rPr>
                    <w:t>61.5</w:t>
                  </w:r>
                </w:p>
              </w:tc>
              <w:tc>
                <w:tcPr>
                  <w:tcW w:w="355" w:type="pct"/>
                  <w:vMerge w:val="continue"/>
                  <w:shd w:val="clear" w:color="auto" w:fill="auto"/>
                  <w:vAlign w:val="center"/>
                </w:tcPr>
                <w:p w14:paraId="174312EE">
                  <w:pPr>
                    <w:autoSpaceDE w:val="0"/>
                    <w:autoSpaceDN w:val="0"/>
                    <w:jc w:val="center"/>
                    <w:rPr>
                      <w:rFonts w:eastAsiaTheme="minorEastAsia"/>
                      <w:color w:val="auto"/>
                      <w:szCs w:val="21"/>
                    </w:rPr>
                  </w:pPr>
                </w:p>
              </w:tc>
              <w:tc>
                <w:tcPr>
                  <w:tcW w:w="376" w:type="pct"/>
                  <w:shd w:val="clear" w:color="auto" w:fill="auto"/>
                  <w:vAlign w:val="center"/>
                </w:tcPr>
                <w:p w14:paraId="4976E716">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433CC3D1">
                  <w:pPr>
                    <w:autoSpaceDE w:val="0"/>
                    <w:autoSpaceDN w:val="0"/>
                    <w:jc w:val="center"/>
                    <w:rPr>
                      <w:rFonts w:eastAsiaTheme="minorEastAsia"/>
                      <w:color w:val="auto"/>
                      <w:szCs w:val="21"/>
                    </w:rPr>
                  </w:pPr>
                  <w:r>
                    <w:rPr>
                      <w:rFonts w:hint="eastAsia" w:eastAsiaTheme="minorEastAsia"/>
                      <w:color w:val="auto"/>
                      <w:szCs w:val="21"/>
                    </w:rPr>
                    <w:t>36.5</w:t>
                  </w:r>
                </w:p>
              </w:tc>
              <w:tc>
                <w:tcPr>
                  <w:tcW w:w="281" w:type="pct"/>
                  <w:vMerge w:val="continue"/>
                  <w:shd w:val="clear" w:color="auto" w:fill="auto"/>
                  <w:vAlign w:val="center"/>
                </w:tcPr>
                <w:p w14:paraId="4FCCEE4A">
                  <w:pPr>
                    <w:widowControl/>
                    <w:jc w:val="center"/>
                    <w:rPr>
                      <w:rFonts w:eastAsiaTheme="minorEastAsia"/>
                      <w:color w:val="auto"/>
                      <w:szCs w:val="21"/>
                    </w:rPr>
                  </w:pPr>
                </w:p>
              </w:tc>
            </w:tr>
            <w:tr w14:paraId="450B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shd w:val="clear" w:color="auto" w:fill="auto"/>
                  <w:vAlign w:val="center"/>
                </w:tcPr>
                <w:p w14:paraId="36327C1E">
                  <w:pPr>
                    <w:jc w:val="center"/>
                    <w:rPr>
                      <w:rFonts w:eastAsiaTheme="minorEastAsia"/>
                      <w:color w:val="auto"/>
                      <w:szCs w:val="21"/>
                    </w:rPr>
                  </w:pPr>
                  <w:r>
                    <w:rPr>
                      <w:rFonts w:eastAsiaTheme="minorEastAsia"/>
                      <w:color w:val="auto"/>
                      <w:szCs w:val="21"/>
                    </w:rPr>
                    <w:t>5</w:t>
                  </w:r>
                </w:p>
              </w:tc>
              <w:tc>
                <w:tcPr>
                  <w:tcW w:w="712" w:type="pct"/>
                  <w:shd w:val="clear" w:color="auto" w:fill="auto"/>
                  <w:vAlign w:val="center"/>
                </w:tcPr>
                <w:p w14:paraId="26CBAE05">
                  <w:pPr>
                    <w:jc w:val="center"/>
                    <w:rPr>
                      <w:rFonts w:eastAsiaTheme="minorEastAsia"/>
                      <w:color w:val="auto"/>
                      <w:szCs w:val="21"/>
                    </w:rPr>
                  </w:pPr>
                  <w:r>
                    <w:rPr>
                      <w:rFonts w:hint="eastAsia" w:eastAsiaTheme="minorEastAsia"/>
                      <w:color w:val="auto"/>
                      <w:szCs w:val="21"/>
                    </w:rPr>
                    <w:t>砂光机</w:t>
                  </w:r>
                </w:p>
              </w:tc>
              <w:tc>
                <w:tcPr>
                  <w:tcW w:w="284" w:type="pct"/>
                  <w:shd w:val="clear" w:color="auto" w:fill="auto"/>
                  <w:vAlign w:val="center"/>
                </w:tcPr>
                <w:p w14:paraId="0681BEB1">
                  <w:pPr>
                    <w:jc w:val="center"/>
                    <w:rPr>
                      <w:rFonts w:eastAsiaTheme="minorEastAsia"/>
                      <w:color w:val="auto"/>
                      <w:szCs w:val="21"/>
                    </w:rPr>
                  </w:pPr>
                  <w:r>
                    <w:rPr>
                      <w:rFonts w:hint="eastAsia" w:eastAsiaTheme="minorEastAsia"/>
                      <w:color w:val="auto"/>
                      <w:szCs w:val="21"/>
                    </w:rPr>
                    <w:t>2</w:t>
                  </w:r>
                </w:p>
              </w:tc>
              <w:tc>
                <w:tcPr>
                  <w:tcW w:w="615" w:type="pct"/>
                  <w:shd w:val="clear" w:color="auto" w:fill="auto"/>
                  <w:vAlign w:val="center"/>
                </w:tcPr>
                <w:p w14:paraId="15BDC180">
                  <w:pPr>
                    <w:jc w:val="center"/>
                    <w:rPr>
                      <w:rFonts w:eastAsiaTheme="minorEastAsia"/>
                      <w:color w:val="auto"/>
                      <w:szCs w:val="21"/>
                    </w:rPr>
                  </w:pPr>
                  <w:r>
                    <w:rPr>
                      <w:rFonts w:eastAsiaTheme="minorEastAsia"/>
                      <w:color w:val="auto"/>
                      <w:szCs w:val="21"/>
                    </w:rPr>
                    <w:t>65~75/1</w:t>
                  </w:r>
                </w:p>
              </w:tc>
              <w:tc>
                <w:tcPr>
                  <w:tcW w:w="338" w:type="pct"/>
                  <w:vMerge w:val="continue"/>
                  <w:shd w:val="clear" w:color="auto" w:fill="auto"/>
                  <w:vAlign w:val="center"/>
                </w:tcPr>
                <w:p w14:paraId="29D3744F">
                  <w:pPr>
                    <w:jc w:val="center"/>
                    <w:rPr>
                      <w:rFonts w:eastAsiaTheme="minorEastAsia"/>
                      <w:color w:val="auto"/>
                      <w:szCs w:val="21"/>
                    </w:rPr>
                  </w:pPr>
                </w:p>
              </w:tc>
              <w:tc>
                <w:tcPr>
                  <w:tcW w:w="235" w:type="pct"/>
                  <w:shd w:val="clear" w:color="auto" w:fill="auto"/>
                  <w:vAlign w:val="center"/>
                </w:tcPr>
                <w:p w14:paraId="3C28CCDF">
                  <w:pPr>
                    <w:autoSpaceDE w:val="0"/>
                    <w:autoSpaceDN w:val="0"/>
                    <w:jc w:val="center"/>
                    <w:rPr>
                      <w:rFonts w:eastAsiaTheme="minorEastAsia"/>
                      <w:color w:val="auto"/>
                      <w:szCs w:val="21"/>
                    </w:rPr>
                  </w:pPr>
                  <w:r>
                    <w:rPr>
                      <w:rFonts w:hint="eastAsia" w:eastAsiaTheme="minorEastAsia"/>
                      <w:color w:val="auto"/>
                      <w:szCs w:val="21"/>
                    </w:rPr>
                    <w:t>26</w:t>
                  </w:r>
                </w:p>
              </w:tc>
              <w:tc>
                <w:tcPr>
                  <w:tcW w:w="256" w:type="pct"/>
                  <w:shd w:val="clear" w:color="auto" w:fill="auto"/>
                  <w:vAlign w:val="center"/>
                </w:tcPr>
                <w:p w14:paraId="6F93E2C1">
                  <w:pPr>
                    <w:autoSpaceDE w:val="0"/>
                    <w:autoSpaceDN w:val="0"/>
                    <w:jc w:val="center"/>
                    <w:rPr>
                      <w:rFonts w:eastAsiaTheme="minorEastAsia"/>
                      <w:color w:val="auto"/>
                      <w:szCs w:val="21"/>
                    </w:rPr>
                  </w:pPr>
                  <w:r>
                    <w:rPr>
                      <w:rFonts w:hint="eastAsia" w:eastAsiaTheme="minorEastAsia"/>
                      <w:color w:val="auto"/>
                      <w:szCs w:val="21"/>
                    </w:rPr>
                    <w:t>80</w:t>
                  </w:r>
                </w:p>
              </w:tc>
              <w:tc>
                <w:tcPr>
                  <w:tcW w:w="258" w:type="pct"/>
                  <w:shd w:val="clear" w:color="auto" w:fill="auto"/>
                  <w:vAlign w:val="center"/>
                </w:tcPr>
                <w:p w14:paraId="5C8A9781">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455BF3FD">
                  <w:pPr>
                    <w:autoSpaceDE w:val="0"/>
                    <w:autoSpaceDN w:val="0"/>
                    <w:jc w:val="center"/>
                    <w:rPr>
                      <w:rFonts w:eastAsiaTheme="minorEastAsia"/>
                      <w:color w:val="auto"/>
                      <w:szCs w:val="21"/>
                    </w:rPr>
                  </w:pPr>
                  <w:r>
                    <w:rPr>
                      <w:rFonts w:eastAsiaTheme="minorEastAsia"/>
                      <w:color w:val="auto"/>
                      <w:szCs w:val="21"/>
                    </w:rPr>
                    <w:t>W</w:t>
                  </w:r>
                  <w:r>
                    <w:rPr>
                      <w:rFonts w:hint="eastAsia" w:eastAsiaTheme="minorEastAsia"/>
                      <w:color w:val="auto"/>
                      <w:szCs w:val="21"/>
                    </w:rPr>
                    <w:t>3</w:t>
                  </w:r>
                </w:p>
              </w:tc>
              <w:tc>
                <w:tcPr>
                  <w:tcW w:w="376" w:type="pct"/>
                  <w:shd w:val="clear" w:color="auto" w:fill="auto"/>
                  <w:vAlign w:val="center"/>
                </w:tcPr>
                <w:p w14:paraId="0477D089">
                  <w:pPr>
                    <w:autoSpaceDE w:val="0"/>
                    <w:autoSpaceDN w:val="0"/>
                    <w:jc w:val="center"/>
                    <w:rPr>
                      <w:rFonts w:eastAsiaTheme="minorEastAsia"/>
                      <w:color w:val="auto"/>
                      <w:szCs w:val="21"/>
                    </w:rPr>
                  </w:pPr>
                  <w:r>
                    <w:rPr>
                      <w:rFonts w:hint="eastAsia" w:eastAsiaTheme="minorEastAsia"/>
                      <w:color w:val="auto"/>
                      <w:szCs w:val="21"/>
                    </w:rPr>
                    <w:t>60.5</w:t>
                  </w:r>
                </w:p>
              </w:tc>
              <w:tc>
                <w:tcPr>
                  <w:tcW w:w="355" w:type="pct"/>
                  <w:vMerge w:val="continue"/>
                  <w:shd w:val="clear" w:color="auto" w:fill="auto"/>
                  <w:vAlign w:val="center"/>
                </w:tcPr>
                <w:p w14:paraId="28B03269">
                  <w:pPr>
                    <w:autoSpaceDE w:val="0"/>
                    <w:autoSpaceDN w:val="0"/>
                    <w:jc w:val="center"/>
                    <w:rPr>
                      <w:rFonts w:eastAsiaTheme="minorEastAsia"/>
                      <w:color w:val="auto"/>
                      <w:szCs w:val="21"/>
                    </w:rPr>
                  </w:pPr>
                </w:p>
              </w:tc>
              <w:tc>
                <w:tcPr>
                  <w:tcW w:w="376" w:type="pct"/>
                  <w:shd w:val="clear" w:color="auto" w:fill="auto"/>
                  <w:vAlign w:val="center"/>
                </w:tcPr>
                <w:p w14:paraId="689CC1FF">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4C7EED63">
                  <w:pPr>
                    <w:autoSpaceDE w:val="0"/>
                    <w:autoSpaceDN w:val="0"/>
                    <w:jc w:val="center"/>
                    <w:rPr>
                      <w:rFonts w:eastAsiaTheme="minorEastAsia"/>
                      <w:color w:val="auto"/>
                      <w:szCs w:val="21"/>
                    </w:rPr>
                  </w:pPr>
                  <w:r>
                    <w:rPr>
                      <w:rFonts w:hint="eastAsia" w:eastAsiaTheme="minorEastAsia"/>
                      <w:color w:val="auto"/>
                      <w:szCs w:val="21"/>
                    </w:rPr>
                    <w:t>35.5</w:t>
                  </w:r>
                </w:p>
              </w:tc>
              <w:tc>
                <w:tcPr>
                  <w:tcW w:w="281" w:type="pct"/>
                  <w:vMerge w:val="continue"/>
                  <w:shd w:val="clear" w:color="auto" w:fill="auto"/>
                  <w:vAlign w:val="center"/>
                </w:tcPr>
                <w:p w14:paraId="3436D4C0">
                  <w:pPr>
                    <w:widowControl/>
                    <w:jc w:val="center"/>
                    <w:rPr>
                      <w:rFonts w:eastAsiaTheme="minorEastAsia"/>
                      <w:color w:val="auto"/>
                      <w:szCs w:val="21"/>
                    </w:rPr>
                  </w:pPr>
                </w:p>
              </w:tc>
            </w:tr>
            <w:tr w14:paraId="67CF4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59" w:type="pct"/>
                  <w:shd w:val="clear" w:color="auto" w:fill="auto"/>
                  <w:vAlign w:val="center"/>
                </w:tcPr>
                <w:p w14:paraId="342577EA">
                  <w:pPr>
                    <w:jc w:val="center"/>
                    <w:rPr>
                      <w:rFonts w:eastAsiaTheme="minorEastAsia"/>
                      <w:color w:val="auto"/>
                      <w:szCs w:val="21"/>
                    </w:rPr>
                  </w:pPr>
                  <w:r>
                    <w:rPr>
                      <w:rFonts w:eastAsiaTheme="minorEastAsia"/>
                      <w:color w:val="auto"/>
                      <w:szCs w:val="21"/>
                    </w:rPr>
                    <w:t>6</w:t>
                  </w:r>
                </w:p>
              </w:tc>
              <w:tc>
                <w:tcPr>
                  <w:tcW w:w="712" w:type="pct"/>
                  <w:shd w:val="clear" w:color="auto" w:fill="auto"/>
                  <w:vAlign w:val="center"/>
                </w:tcPr>
                <w:p w14:paraId="3EDACF21">
                  <w:pPr>
                    <w:jc w:val="center"/>
                    <w:rPr>
                      <w:rFonts w:eastAsiaTheme="minorEastAsia"/>
                      <w:color w:val="auto"/>
                      <w:szCs w:val="21"/>
                    </w:rPr>
                  </w:pPr>
                  <w:r>
                    <w:rPr>
                      <w:rFonts w:hint="eastAsia" w:eastAsiaTheme="minorEastAsia"/>
                      <w:color w:val="auto"/>
                      <w:szCs w:val="21"/>
                    </w:rPr>
                    <w:t>热压机</w:t>
                  </w:r>
                </w:p>
              </w:tc>
              <w:tc>
                <w:tcPr>
                  <w:tcW w:w="284" w:type="pct"/>
                  <w:shd w:val="clear" w:color="auto" w:fill="auto"/>
                  <w:vAlign w:val="center"/>
                </w:tcPr>
                <w:p w14:paraId="450126D0">
                  <w:pPr>
                    <w:jc w:val="center"/>
                    <w:rPr>
                      <w:rFonts w:eastAsiaTheme="minorEastAsia"/>
                      <w:color w:val="auto"/>
                      <w:szCs w:val="21"/>
                    </w:rPr>
                  </w:pPr>
                  <w:r>
                    <w:rPr>
                      <w:rFonts w:hint="eastAsia" w:eastAsiaTheme="minorEastAsia"/>
                      <w:color w:val="auto"/>
                      <w:szCs w:val="21"/>
                    </w:rPr>
                    <w:t>4</w:t>
                  </w:r>
                </w:p>
              </w:tc>
              <w:tc>
                <w:tcPr>
                  <w:tcW w:w="615" w:type="pct"/>
                  <w:shd w:val="clear" w:color="auto" w:fill="auto"/>
                  <w:vAlign w:val="center"/>
                </w:tcPr>
                <w:p w14:paraId="409722E7">
                  <w:pPr>
                    <w:jc w:val="center"/>
                    <w:rPr>
                      <w:rFonts w:eastAsiaTheme="minorEastAsia"/>
                      <w:color w:val="auto"/>
                      <w:szCs w:val="21"/>
                    </w:rPr>
                  </w:pPr>
                  <w:r>
                    <w:rPr>
                      <w:rFonts w:eastAsiaTheme="minorEastAsia"/>
                      <w:color w:val="auto"/>
                      <w:szCs w:val="21"/>
                    </w:rPr>
                    <w:t>65~75/1</w:t>
                  </w:r>
                </w:p>
              </w:tc>
              <w:tc>
                <w:tcPr>
                  <w:tcW w:w="338" w:type="pct"/>
                  <w:vMerge w:val="continue"/>
                  <w:shd w:val="clear" w:color="auto" w:fill="auto"/>
                  <w:vAlign w:val="center"/>
                </w:tcPr>
                <w:p w14:paraId="4DB0C945">
                  <w:pPr>
                    <w:jc w:val="center"/>
                    <w:rPr>
                      <w:rFonts w:eastAsiaTheme="minorEastAsia"/>
                      <w:color w:val="auto"/>
                      <w:szCs w:val="21"/>
                    </w:rPr>
                  </w:pPr>
                </w:p>
              </w:tc>
              <w:tc>
                <w:tcPr>
                  <w:tcW w:w="235" w:type="pct"/>
                  <w:shd w:val="clear" w:color="auto" w:fill="auto"/>
                  <w:vAlign w:val="center"/>
                </w:tcPr>
                <w:p w14:paraId="4A5FF7D6">
                  <w:pPr>
                    <w:autoSpaceDE w:val="0"/>
                    <w:autoSpaceDN w:val="0"/>
                    <w:jc w:val="center"/>
                    <w:rPr>
                      <w:rFonts w:eastAsiaTheme="minorEastAsia"/>
                      <w:color w:val="auto"/>
                      <w:szCs w:val="21"/>
                    </w:rPr>
                  </w:pPr>
                  <w:r>
                    <w:rPr>
                      <w:rFonts w:hint="eastAsia" w:eastAsiaTheme="minorEastAsia"/>
                      <w:color w:val="auto"/>
                      <w:szCs w:val="21"/>
                    </w:rPr>
                    <w:t>28</w:t>
                  </w:r>
                </w:p>
              </w:tc>
              <w:tc>
                <w:tcPr>
                  <w:tcW w:w="256" w:type="pct"/>
                  <w:shd w:val="clear" w:color="auto" w:fill="auto"/>
                  <w:vAlign w:val="center"/>
                </w:tcPr>
                <w:p w14:paraId="344CE261">
                  <w:pPr>
                    <w:autoSpaceDE w:val="0"/>
                    <w:autoSpaceDN w:val="0"/>
                    <w:jc w:val="center"/>
                    <w:rPr>
                      <w:rFonts w:eastAsiaTheme="minorEastAsia"/>
                      <w:color w:val="auto"/>
                      <w:szCs w:val="21"/>
                    </w:rPr>
                  </w:pPr>
                  <w:r>
                    <w:rPr>
                      <w:rFonts w:hint="eastAsia" w:eastAsiaTheme="minorEastAsia"/>
                      <w:color w:val="auto"/>
                      <w:szCs w:val="21"/>
                    </w:rPr>
                    <w:t>24</w:t>
                  </w:r>
                </w:p>
              </w:tc>
              <w:tc>
                <w:tcPr>
                  <w:tcW w:w="258" w:type="pct"/>
                  <w:shd w:val="clear" w:color="auto" w:fill="auto"/>
                  <w:vAlign w:val="center"/>
                </w:tcPr>
                <w:p w14:paraId="4613EE20">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19AD89E8">
                  <w:pPr>
                    <w:autoSpaceDE w:val="0"/>
                    <w:autoSpaceDN w:val="0"/>
                    <w:jc w:val="center"/>
                    <w:rPr>
                      <w:rFonts w:eastAsiaTheme="minorEastAsia"/>
                      <w:color w:val="auto"/>
                      <w:szCs w:val="21"/>
                    </w:rPr>
                  </w:pPr>
                  <w:r>
                    <w:rPr>
                      <w:rFonts w:eastAsiaTheme="minorEastAsia"/>
                      <w:color w:val="auto"/>
                      <w:szCs w:val="21"/>
                    </w:rPr>
                    <w:t>W</w:t>
                  </w:r>
                  <w:r>
                    <w:rPr>
                      <w:rFonts w:hint="eastAsia" w:eastAsiaTheme="minorEastAsia"/>
                      <w:color w:val="auto"/>
                      <w:szCs w:val="21"/>
                    </w:rPr>
                    <w:t>10</w:t>
                  </w:r>
                </w:p>
              </w:tc>
              <w:tc>
                <w:tcPr>
                  <w:tcW w:w="376" w:type="pct"/>
                  <w:shd w:val="clear" w:color="auto" w:fill="auto"/>
                  <w:vAlign w:val="center"/>
                </w:tcPr>
                <w:p w14:paraId="4DB39C43">
                  <w:pPr>
                    <w:autoSpaceDE w:val="0"/>
                    <w:autoSpaceDN w:val="0"/>
                    <w:jc w:val="center"/>
                    <w:rPr>
                      <w:rFonts w:eastAsiaTheme="minorEastAsia"/>
                      <w:color w:val="auto"/>
                      <w:szCs w:val="21"/>
                    </w:rPr>
                  </w:pPr>
                  <w:r>
                    <w:rPr>
                      <w:rFonts w:hint="eastAsia" w:eastAsiaTheme="minorEastAsia"/>
                      <w:color w:val="auto"/>
                      <w:szCs w:val="21"/>
                    </w:rPr>
                    <w:t>61.5</w:t>
                  </w:r>
                </w:p>
              </w:tc>
              <w:tc>
                <w:tcPr>
                  <w:tcW w:w="355" w:type="pct"/>
                  <w:vMerge w:val="continue"/>
                  <w:shd w:val="clear" w:color="auto" w:fill="auto"/>
                  <w:vAlign w:val="center"/>
                </w:tcPr>
                <w:p w14:paraId="6F78EB2C">
                  <w:pPr>
                    <w:autoSpaceDE w:val="0"/>
                    <w:autoSpaceDN w:val="0"/>
                    <w:jc w:val="center"/>
                    <w:rPr>
                      <w:rFonts w:eastAsiaTheme="minorEastAsia"/>
                      <w:color w:val="auto"/>
                      <w:szCs w:val="21"/>
                    </w:rPr>
                  </w:pPr>
                </w:p>
              </w:tc>
              <w:tc>
                <w:tcPr>
                  <w:tcW w:w="376" w:type="pct"/>
                  <w:shd w:val="clear" w:color="auto" w:fill="auto"/>
                  <w:vAlign w:val="center"/>
                </w:tcPr>
                <w:p w14:paraId="39E2089F">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270273D8">
                  <w:pPr>
                    <w:autoSpaceDE w:val="0"/>
                    <w:autoSpaceDN w:val="0"/>
                    <w:jc w:val="center"/>
                    <w:rPr>
                      <w:rFonts w:eastAsiaTheme="minorEastAsia"/>
                      <w:color w:val="auto"/>
                      <w:szCs w:val="21"/>
                    </w:rPr>
                  </w:pPr>
                  <w:r>
                    <w:rPr>
                      <w:rFonts w:hint="eastAsia" w:eastAsiaTheme="minorEastAsia"/>
                      <w:color w:val="auto"/>
                      <w:szCs w:val="21"/>
                    </w:rPr>
                    <w:t>36.5</w:t>
                  </w:r>
                </w:p>
              </w:tc>
              <w:tc>
                <w:tcPr>
                  <w:tcW w:w="281" w:type="pct"/>
                  <w:vMerge w:val="continue"/>
                  <w:shd w:val="clear" w:color="auto" w:fill="auto"/>
                  <w:vAlign w:val="center"/>
                </w:tcPr>
                <w:p w14:paraId="2B9CC6F9">
                  <w:pPr>
                    <w:widowControl/>
                    <w:jc w:val="center"/>
                    <w:rPr>
                      <w:rFonts w:eastAsiaTheme="minorEastAsia"/>
                      <w:color w:val="auto"/>
                      <w:szCs w:val="21"/>
                    </w:rPr>
                  </w:pPr>
                </w:p>
              </w:tc>
            </w:tr>
            <w:tr w14:paraId="41C02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9" w:type="pct"/>
                  <w:shd w:val="clear" w:color="auto" w:fill="auto"/>
                  <w:vAlign w:val="center"/>
                </w:tcPr>
                <w:p w14:paraId="7EEFDF52">
                  <w:pPr>
                    <w:jc w:val="center"/>
                    <w:rPr>
                      <w:rFonts w:hint="eastAsia" w:eastAsiaTheme="minorEastAsia"/>
                      <w:color w:val="auto"/>
                      <w:szCs w:val="21"/>
                      <w:lang w:eastAsia="zh-CN"/>
                    </w:rPr>
                  </w:pPr>
                  <w:r>
                    <w:rPr>
                      <w:rFonts w:hint="eastAsia" w:eastAsiaTheme="minorEastAsia"/>
                      <w:color w:val="auto"/>
                      <w:szCs w:val="21"/>
                      <w:lang w:val="en-US" w:eastAsia="zh-CN"/>
                    </w:rPr>
                    <w:t>7</w:t>
                  </w:r>
                </w:p>
              </w:tc>
              <w:tc>
                <w:tcPr>
                  <w:tcW w:w="712" w:type="pct"/>
                  <w:shd w:val="clear" w:color="auto" w:fill="auto"/>
                  <w:vAlign w:val="center"/>
                </w:tcPr>
                <w:p w14:paraId="6B091E5F">
                  <w:pPr>
                    <w:jc w:val="center"/>
                    <w:rPr>
                      <w:rFonts w:eastAsiaTheme="minorEastAsia"/>
                      <w:color w:val="auto"/>
                      <w:szCs w:val="21"/>
                    </w:rPr>
                  </w:pPr>
                  <w:r>
                    <w:rPr>
                      <w:rFonts w:eastAsiaTheme="minorEastAsia"/>
                      <w:color w:val="auto"/>
                      <w:szCs w:val="21"/>
                    </w:rPr>
                    <w:t>空压机</w:t>
                  </w:r>
                </w:p>
              </w:tc>
              <w:tc>
                <w:tcPr>
                  <w:tcW w:w="284" w:type="pct"/>
                  <w:shd w:val="clear" w:color="auto" w:fill="auto"/>
                  <w:vAlign w:val="center"/>
                </w:tcPr>
                <w:p w14:paraId="264EE01E">
                  <w:pPr>
                    <w:jc w:val="center"/>
                    <w:rPr>
                      <w:rFonts w:eastAsiaTheme="minorEastAsia"/>
                      <w:color w:val="auto"/>
                      <w:szCs w:val="21"/>
                    </w:rPr>
                  </w:pPr>
                  <w:r>
                    <w:rPr>
                      <w:rFonts w:hint="eastAsia" w:eastAsiaTheme="minorEastAsia"/>
                      <w:color w:val="auto"/>
                      <w:szCs w:val="21"/>
                    </w:rPr>
                    <w:t>2</w:t>
                  </w:r>
                </w:p>
              </w:tc>
              <w:tc>
                <w:tcPr>
                  <w:tcW w:w="615" w:type="pct"/>
                  <w:shd w:val="clear" w:color="auto" w:fill="auto"/>
                  <w:vAlign w:val="center"/>
                </w:tcPr>
                <w:p w14:paraId="4762B247">
                  <w:pPr>
                    <w:jc w:val="center"/>
                    <w:rPr>
                      <w:rFonts w:eastAsiaTheme="minorEastAsia"/>
                      <w:color w:val="auto"/>
                      <w:szCs w:val="21"/>
                    </w:rPr>
                  </w:pPr>
                  <w:r>
                    <w:rPr>
                      <w:rFonts w:eastAsiaTheme="minorEastAsia"/>
                      <w:color w:val="auto"/>
                      <w:szCs w:val="21"/>
                    </w:rPr>
                    <w:t>85~95/1</w:t>
                  </w:r>
                </w:p>
              </w:tc>
              <w:tc>
                <w:tcPr>
                  <w:tcW w:w="338" w:type="pct"/>
                  <w:vMerge w:val="continue"/>
                  <w:shd w:val="clear" w:color="auto" w:fill="auto"/>
                  <w:vAlign w:val="center"/>
                </w:tcPr>
                <w:p w14:paraId="05FD8C07">
                  <w:pPr>
                    <w:jc w:val="center"/>
                    <w:rPr>
                      <w:rFonts w:eastAsiaTheme="minorEastAsia"/>
                      <w:color w:val="auto"/>
                      <w:szCs w:val="21"/>
                    </w:rPr>
                  </w:pPr>
                </w:p>
              </w:tc>
              <w:tc>
                <w:tcPr>
                  <w:tcW w:w="235" w:type="pct"/>
                  <w:shd w:val="clear" w:color="auto" w:fill="auto"/>
                  <w:vAlign w:val="center"/>
                </w:tcPr>
                <w:p w14:paraId="0BE7E5FB">
                  <w:pPr>
                    <w:autoSpaceDE w:val="0"/>
                    <w:autoSpaceDN w:val="0"/>
                    <w:jc w:val="center"/>
                    <w:rPr>
                      <w:rFonts w:eastAsiaTheme="minorEastAsia"/>
                      <w:color w:val="auto"/>
                      <w:szCs w:val="21"/>
                    </w:rPr>
                  </w:pPr>
                  <w:r>
                    <w:rPr>
                      <w:rFonts w:hint="eastAsia" w:eastAsiaTheme="minorEastAsia"/>
                      <w:color w:val="auto"/>
                      <w:szCs w:val="21"/>
                    </w:rPr>
                    <w:t>84</w:t>
                  </w:r>
                </w:p>
              </w:tc>
              <w:tc>
                <w:tcPr>
                  <w:tcW w:w="256" w:type="pct"/>
                  <w:shd w:val="clear" w:color="auto" w:fill="auto"/>
                  <w:vAlign w:val="center"/>
                </w:tcPr>
                <w:p w14:paraId="174C0D1D">
                  <w:pPr>
                    <w:autoSpaceDE w:val="0"/>
                    <w:autoSpaceDN w:val="0"/>
                    <w:jc w:val="center"/>
                    <w:rPr>
                      <w:rFonts w:eastAsiaTheme="minorEastAsia"/>
                      <w:color w:val="auto"/>
                      <w:szCs w:val="21"/>
                    </w:rPr>
                  </w:pPr>
                  <w:r>
                    <w:rPr>
                      <w:rFonts w:hint="eastAsia" w:eastAsiaTheme="minorEastAsia"/>
                      <w:color w:val="auto"/>
                      <w:szCs w:val="21"/>
                    </w:rPr>
                    <w:t>28</w:t>
                  </w:r>
                </w:p>
              </w:tc>
              <w:tc>
                <w:tcPr>
                  <w:tcW w:w="258" w:type="pct"/>
                  <w:shd w:val="clear" w:color="auto" w:fill="auto"/>
                  <w:vAlign w:val="center"/>
                </w:tcPr>
                <w:p w14:paraId="1459DC0E">
                  <w:pPr>
                    <w:autoSpaceDE w:val="0"/>
                    <w:autoSpaceDN w:val="0"/>
                    <w:jc w:val="center"/>
                    <w:rPr>
                      <w:rFonts w:eastAsiaTheme="minorEastAsia"/>
                      <w:color w:val="auto"/>
                      <w:szCs w:val="21"/>
                    </w:rPr>
                  </w:pPr>
                  <w:r>
                    <w:rPr>
                      <w:rFonts w:eastAsiaTheme="minorEastAsia"/>
                      <w:color w:val="auto"/>
                      <w:szCs w:val="21"/>
                    </w:rPr>
                    <w:t>1.5</w:t>
                  </w:r>
                </w:p>
              </w:tc>
              <w:tc>
                <w:tcPr>
                  <w:tcW w:w="372" w:type="pct"/>
                  <w:shd w:val="clear" w:color="auto" w:fill="auto"/>
                  <w:vAlign w:val="center"/>
                </w:tcPr>
                <w:p w14:paraId="260224E3">
                  <w:pPr>
                    <w:autoSpaceDE w:val="0"/>
                    <w:autoSpaceDN w:val="0"/>
                    <w:jc w:val="center"/>
                    <w:rPr>
                      <w:rFonts w:eastAsiaTheme="minorEastAsia"/>
                      <w:color w:val="auto"/>
                      <w:szCs w:val="21"/>
                    </w:rPr>
                  </w:pPr>
                  <w:r>
                    <w:rPr>
                      <w:rFonts w:eastAsiaTheme="minorEastAsia"/>
                      <w:color w:val="auto"/>
                      <w:szCs w:val="21"/>
                    </w:rPr>
                    <w:t>W</w:t>
                  </w:r>
                  <w:r>
                    <w:rPr>
                      <w:rFonts w:hint="eastAsia" w:eastAsiaTheme="minorEastAsia"/>
                      <w:color w:val="auto"/>
                      <w:szCs w:val="21"/>
                    </w:rPr>
                    <w:t>15</w:t>
                  </w:r>
                </w:p>
              </w:tc>
              <w:tc>
                <w:tcPr>
                  <w:tcW w:w="376" w:type="pct"/>
                  <w:shd w:val="clear" w:color="auto" w:fill="auto"/>
                  <w:vAlign w:val="center"/>
                </w:tcPr>
                <w:p w14:paraId="1099FAE7">
                  <w:pPr>
                    <w:autoSpaceDE w:val="0"/>
                    <w:autoSpaceDN w:val="0"/>
                    <w:jc w:val="center"/>
                    <w:rPr>
                      <w:rFonts w:eastAsiaTheme="minorEastAsia"/>
                      <w:color w:val="auto"/>
                      <w:szCs w:val="21"/>
                    </w:rPr>
                  </w:pPr>
                  <w:r>
                    <w:rPr>
                      <w:rFonts w:hint="eastAsia" w:eastAsiaTheme="minorEastAsia"/>
                      <w:color w:val="auto"/>
                      <w:szCs w:val="21"/>
                    </w:rPr>
                    <w:t>71.5</w:t>
                  </w:r>
                </w:p>
              </w:tc>
              <w:tc>
                <w:tcPr>
                  <w:tcW w:w="355" w:type="pct"/>
                  <w:vMerge w:val="continue"/>
                  <w:shd w:val="clear" w:color="auto" w:fill="auto"/>
                  <w:vAlign w:val="center"/>
                </w:tcPr>
                <w:p w14:paraId="67B6DC29">
                  <w:pPr>
                    <w:autoSpaceDE w:val="0"/>
                    <w:autoSpaceDN w:val="0"/>
                    <w:jc w:val="center"/>
                    <w:rPr>
                      <w:rFonts w:eastAsiaTheme="minorEastAsia"/>
                      <w:color w:val="auto"/>
                      <w:szCs w:val="21"/>
                    </w:rPr>
                  </w:pPr>
                </w:p>
              </w:tc>
              <w:tc>
                <w:tcPr>
                  <w:tcW w:w="376" w:type="pct"/>
                  <w:shd w:val="clear" w:color="auto" w:fill="auto"/>
                  <w:vAlign w:val="center"/>
                </w:tcPr>
                <w:p w14:paraId="27BF22DF">
                  <w:pPr>
                    <w:autoSpaceDE w:val="0"/>
                    <w:autoSpaceDN w:val="0"/>
                    <w:jc w:val="center"/>
                    <w:rPr>
                      <w:rFonts w:eastAsiaTheme="minorEastAsia"/>
                      <w:color w:val="auto"/>
                      <w:szCs w:val="21"/>
                    </w:rPr>
                  </w:pPr>
                  <w:r>
                    <w:rPr>
                      <w:rFonts w:hint="eastAsia" w:eastAsiaTheme="minorEastAsia"/>
                      <w:color w:val="auto"/>
                      <w:szCs w:val="21"/>
                    </w:rPr>
                    <w:t>25</w:t>
                  </w:r>
                </w:p>
              </w:tc>
              <w:tc>
                <w:tcPr>
                  <w:tcW w:w="376" w:type="pct"/>
                  <w:shd w:val="clear" w:color="auto" w:fill="auto"/>
                  <w:vAlign w:val="center"/>
                </w:tcPr>
                <w:p w14:paraId="6FACDA08">
                  <w:pPr>
                    <w:autoSpaceDE w:val="0"/>
                    <w:autoSpaceDN w:val="0"/>
                    <w:jc w:val="center"/>
                    <w:rPr>
                      <w:rFonts w:eastAsiaTheme="minorEastAsia"/>
                      <w:color w:val="auto"/>
                      <w:szCs w:val="21"/>
                    </w:rPr>
                  </w:pPr>
                  <w:r>
                    <w:rPr>
                      <w:rFonts w:hint="eastAsia" w:eastAsiaTheme="minorEastAsia"/>
                      <w:color w:val="auto"/>
                      <w:szCs w:val="21"/>
                    </w:rPr>
                    <w:t>46.5</w:t>
                  </w:r>
                </w:p>
              </w:tc>
              <w:tc>
                <w:tcPr>
                  <w:tcW w:w="281" w:type="pct"/>
                  <w:vMerge w:val="continue"/>
                  <w:shd w:val="clear" w:color="auto" w:fill="auto"/>
                  <w:vAlign w:val="center"/>
                </w:tcPr>
                <w:p w14:paraId="1644F9CB">
                  <w:pPr>
                    <w:widowControl/>
                    <w:jc w:val="center"/>
                    <w:rPr>
                      <w:rFonts w:eastAsiaTheme="minorEastAsia"/>
                      <w:color w:val="auto"/>
                      <w:szCs w:val="21"/>
                    </w:rPr>
                  </w:pPr>
                </w:p>
              </w:tc>
            </w:tr>
          </w:tbl>
          <w:p w14:paraId="4DAB20F0">
            <w:pPr>
              <w:autoSpaceDE w:val="0"/>
              <w:autoSpaceDN w:val="0"/>
              <w:adjustRightInd w:val="0"/>
              <w:snapToGrid w:val="0"/>
              <w:jc w:val="left"/>
              <w:rPr>
                <w:rFonts w:eastAsiaTheme="minorEastAsia"/>
                <w:color w:val="auto"/>
                <w:kern w:val="0"/>
                <w:sz w:val="18"/>
                <w:szCs w:val="18"/>
              </w:rPr>
            </w:pPr>
            <w:r>
              <w:rPr>
                <w:rFonts w:eastAsiaTheme="minorEastAsia"/>
                <w:color w:val="auto"/>
                <w:sz w:val="18"/>
                <w:szCs w:val="18"/>
              </w:rPr>
              <w:t>注：以厂区西南角为（0，0，0）点；选取距室内最近点描述。</w:t>
            </w:r>
          </w:p>
          <w:p w14:paraId="4CD5CB94">
            <w:pPr>
              <w:adjustRightInd w:val="0"/>
              <w:snapToGrid w:val="0"/>
              <w:spacing w:before="120" w:beforeLines="50"/>
              <w:jc w:val="center"/>
              <w:rPr>
                <w:rFonts w:eastAsiaTheme="minorEastAsia"/>
                <w:color w:val="auto"/>
              </w:rPr>
            </w:pPr>
            <w:r>
              <w:rPr>
                <w:rFonts w:eastAsiaTheme="minorEastAsia"/>
                <w:b/>
                <w:snapToGrid w:val="0"/>
                <w:color w:val="auto"/>
                <w:kern w:val="0"/>
                <w:sz w:val="24"/>
              </w:rPr>
              <w:t>表4.3-2  建设项目噪声源强调查清单（室外声源）</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86"/>
              <w:gridCol w:w="1227"/>
              <w:gridCol w:w="707"/>
              <w:gridCol w:w="762"/>
              <w:gridCol w:w="547"/>
              <w:gridCol w:w="577"/>
              <w:gridCol w:w="1247"/>
              <w:gridCol w:w="964"/>
              <w:gridCol w:w="1152"/>
              <w:gridCol w:w="819"/>
            </w:tblGrid>
            <w:tr w14:paraId="3765B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0" w:type="pct"/>
                  <w:vMerge w:val="restart"/>
                  <w:vAlign w:val="center"/>
                </w:tcPr>
                <w:p w14:paraId="2C96E384">
                  <w:pPr>
                    <w:jc w:val="center"/>
                    <w:rPr>
                      <w:rFonts w:eastAsiaTheme="minorEastAsia"/>
                      <w:b/>
                      <w:color w:val="auto"/>
                      <w:szCs w:val="21"/>
                    </w:rPr>
                  </w:pPr>
                  <w:r>
                    <w:rPr>
                      <w:rFonts w:eastAsiaTheme="minorEastAsia"/>
                      <w:b/>
                      <w:color w:val="auto"/>
                      <w:szCs w:val="21"/>
                    </w:rPr>
                    <w:t>序号</w:t>
                  </w:r>
                </w:p>
              </w:tc>
              <w:tc>
                <w:tcPr>
                  <w:tcW w:w="731" w:type="pct"/>
                  <w:vMerge w:val="restart"/>
                  <w:vAlign w:val="center"/>
                </w:tcPr>
                <w:p w14:paraId="49E5FC92">
                  <w:pPr>
                    <w:jc w:val="center"/>
                    <w:rPr>
                      <w:rFonts w:eastAsiaTheme="minorEastAsia"/>
                      <w:b/>
                      <w:color w:val="auto"/>
                      <w:szCs w:val="21"/>
                    </w:rPr>
                  </w:pPr>
                  <w:r>
                    <w:rPr>
                      <w:rFonts w:eastAsiaTheme="minorEastAsia"/>
                      <w:b/>
                      <w:color w:val="auto"/>
                      <w:szCs w:val="21"/>
                    </w:rPr>
                    <w:t>声源名称</w:t>
                  </w:r>
                </w:p>
              </w:tc>
              <w:tc>
                <w:tcPr>
                  <w:tcW w:w="421" w:type="pct"/>
                  <w:vMerge w:val="restart"/>
                  <w:vAlign w:val="center"/>
                </w:tcPr>
                <w:p w14:paraId="7C5EFEDD">
                  <w:pPr>
                    <w:widowControl/>
                    <w:adjustRightInd w:val="0"/>
                    <w:snapToGrid w:val="0"/>
                    <w:jc w:val="center"/>
                    <w:rPr>
                      <w:b/>
                      <w:bCs/>
                      <w:color w:val="auto"/>
                      <w:kern w:val="0"/>
                      <w:szCs w:val="21"/>
                      <w:lang w:bidi="en-US"/>
                    </w:rPr>
                  </w:pPr>
                  <w:r>
                    <w:rPr>
                      <w:b/>
                      <w:bCs/>
                      <w:color w:val="auto"/>
                      <w:kern w:val="0"/>
                      <w:szCs w:val="21"/>
                      <w:lang w:bidi="en-US"/>
                    </w:rPr>
                    <w:t>数量</w:t>
                  </w:r>
                </w:p>
                <w:p w14:paraId="4F696E92">
                  <w:pPr>
                    <w:jc w:val="center"/>
                    <w:rPr>
                      <w:rFonts w:eastAsiaTheme="minorEastAsia"/>
                      <w:b/>
                      <w:color w:val="auto"/>
                      <w:szCs w:val="21"/>
                    </w:rPr>
                  </w:pPr>
                  <w:r>
                    <w:rPr>
                      <w:b/>
                      <w:bCs/>
                      <w:color w:val="auto"/>
                      <w:kern w:val="0"/>
                      <w:szCs w:val="21"/>
                      <w:lang w:bidi="en-US"/>
                    </w:rPr>
                    <w:t>（台/套）</w:t>
                  </w:r>
                </w:p>
              </w:tc>
              <w:tc>
                <w:tcPr>
                  <w:tcW w:w="1124" w:type="pct"/>
                  <w:gridSpan w:val="3"/>
                  <w:vAlign w:val="center"/>
                </w:tcPr>
                <w:p w14:paraId="505955F3">
                  <w:pPr>
                    <w:jc w:val="center"/>
                    <w:rPr>
                      <w:rFonts w:eastAsiaTheme="minorEastAsia"/>
                      <w:b/>
                      <w:color w:val="auto"/>
                      <w:szCs w:val="21"/>
                    </w:rPr>
                  </w:pPr>
                  <w:r>
                    <w:rPr>
                      <w:rFonts w:eastAsiaTheme="minorEastAsia"/>
                      <w:b/>
                      <w:color w:val="auto"/>
                      <w:szCs w:val="21"/>
                    </w:rPr>
                    <w:t>空间相对位置</w:t>
                  </w:r>
                  <w:r>
                    <w:rPr>
                      <w:rFonts w:hint="eastAsia" w:ascii="宋体" w:hAnsi="宋体" w:cs="宋体"/>
                      <w:b/>
                      <w:color w:val="auto"/>
                      <w:szCs w:val="21"/>
                      <w:vertAlign w:val="superscript"/>
                    </w:rPr>
                    <w:t>①</w:t>
                  </w:r>
                  <w:r>
                    <w:rPr>
                      <w:rFonts w:eastAsiaTheme="minorEastAsia"/>
                      <w:b/>
                      <w:color w:val="auto"/>
                      <w:szCs w:val="21"/>
                    </w:rPr>
                    <w:t>/m</w:t>
                  </w:r>
                </w:p>
              </w:tc>
              <w:tc>
                <w:tcPr>
                  <w:tcW w:w="1317" w:type="pct"/>
                  <w:gridSpan w:val="2"/>
                  <w:vAlign w:val="center"/>
                </w:tcPr>
                <w:p w14:paraId="5F3A1C6D">
                  <w:pPr>
                    <w:jc w:val="center"/>
                    <w:rPr>
                      <w:rFonts w:eastAsiaTheme="minorEastAsia"/>
                      <w:b/>
                      <w:color w:val="auto"/>
                      <w:szCs w:val="21"/>
                    </w:rPr>
                  </w:pPr>
                  <w:r>
                    <w:rPr>
                      <w:rFonts w:eastAsiaTheme="minorEastAsia"/>
                      <w:b/>
                      <w:color w:val="auto"/>
                      <w:szCs w:val="21"/>
                    </w:rPr>
                    <w:t>声</w:t>
                  </w:r>
                  <w:r>
                    <w:rPr>
                      <w:rFonts w:hint="eastAsia" w:eastAsiaTheme="minorEastAsia"/>
                      <w:b/>
                      <w:color w:val="auto"/>
                      <w:szCs w:val="21"/>
                      <w:lang w:eastAsia="zh-CN"/>
                    </w:rPr>
                    <w:t>源</w:t>
                  </w:r>
                  <w:r>
                    <w:rPr>
                      <w:rFonts w:eastAsiaTheme="minorEastAsia"/>
                      <w:b/>
                      <w:color w:val="auto"/>
                      <w:szCs w:val="21"/>
                    </w:rPr>
                    <w:t>强</w:t>
                  </w:r>
                </w:p>
              </w:tc>
              <w:tc>
                <w:tcPr>
                  <w:tcW w:w="686" w:type="pct"/>
                  <w:vMerge w:val="restart"/>
                  <w:vAlign w:val="center"/>
                </w:tcPr>
                <w:p w14:paraId="5C3FB572">
                  <w:pPr>
                    <w:jc w:val="center"/>
                    <w:rPr>
                      <w:rFonts w:eastAsiaTheme="minorEastAsia"/>
                      <w:b/>
                      <w:color w:val="auto"/>
                      <w:szCs w:val="21"/>
                    </w:rPr>
                  </w:pPr>
                  <w:r>
                    <w:rPr>
                      <w:rFonts w:eastAsiaTheme="minorEastAsia"/>
                      <w:b/>
                      <w:color w:val="auto"/>
                      <w:szCs w:val="21"/>
                    </w:rPr>
                    <w:t>声源控制措施</w:t>
                  </w:r>
                </w:p>
              </w:tc>
              <w:tc>
                <w:tcPr>
                  <w:tcW w:w="488" w:type="pct"/>
                  <w:vMerge w:val="restart"/>
                  <w:vAlign w:val="center"/>
                </w:tcPr>
                <w:p w14:paraId="14BD64CC">
                  <w:pPr>
                    <w:jc w:val="center"/>
                    <w:rPr>
                      <w:rFonts w:eastAsiaTheme="minorEastAsia"/>
                      <w:b/>
                      <w:color w:val="auto"/>
                      <w:szCs w:val="21"/>
                    </w:rPr>
                  </w:pPr>
                  <w:r>
                    <w:rPr>
                      <w:rFonts w:eastAsiaTheme="minorEastAsia"/>
                      <w:b/>
                      <w:color w:val="auto"/>
                      <w:szCs w:val="21"/>
                    </w:rPr>
                    <w:t>运行时段</w:t>
                  </w:r>
                </w:p>
              </w:tc>
            </w:tr>
            <w:tr w14:paraId="5ED0B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vAlign w:val="center"/>
                </w:tcPr>
                <w:p w14:paraId="491995A6">
                  <w:pPr>
                    <w:widowControl/>
                    <w:jc w:val="center"/>
                    <w:rPr>
                      <w:rFonts w:eastAsiaTheme="minorEastAsia"/>
                      <w:b/>
                      <w:color w:val="auto"/>
                      <w:szCs w:val="21"/>
                    </w:rPr>
                  </w:pPr>
                </w:p>
              </w:tc>
              <w:tc>
                <w:tcPr>
                  <w:tcW w:w="731" w:type="pct"/>
                  <w:vMerge w:val="continue"/>
                  <w:vAlign w:val="center"/>
                </w:tcPr>
                <w:p w14:paraId="1023E3C1">
                  <w:pPr>
                    <w:widowControl/>
                    <w:jc w:val="center"/>
                    <w:rPr>
                      <w:rFonts w:eastAsiaTheme="minorEastAsia"/>
                      <w:b/>
                      <w:color w:val="auto"/>
                      <w:szCs w:val="21"/>
                    </w:rPr>
                  </w:pPr>
                </w:p>
              </w:tc>
              <w:tc>
                <w:tcPr>
                  <w:tcW w:w="421" w:type="pct"/>
                  <w:vMerge w:val="continue"/>
                  <w:vAlign w:val="center"/>
                </w:tcPr>
                <w:p w14:paraId="49336B5B">
                  <w:pPr>
                    <w:widowControl/>
                    <w:jc w:val="center"/>
                    <w:rPr>
                      <w:rFonts w:eastAsiaTheme="minorEastAsia"/>
                      <w:b/>
                      <w:color w:val="auto"/>
                      <w:szCs w:val="21"/>
                    </w:rPr>
                  </w:pPr>
                </w:p>
              </w:tc>
              <w:tc>
                <w:tcPr>
                  <w:tcW w:w="454" w:type="pct"/>
                  <w:vAlign w:val="center"/>
                </w:tcPr>
                <w:p w14:paraId="557D1A42">
                  <w:pPr>
                    <w:jc w:val="center"/>
                    <w:rPr>
                      <w:rFonts w:eastAsiaTheme="minorEastAsia"/>
                      <w:b/>
                      <w:color w:val="auto"/>
                      <w:szCs w:val="21"/>
                    </w:rPr>
                  </w:pPr>
                  <w:r>
                    <w:rPr>
                      <w:rFonts w:eastAsiaTheme="minorEastAsia"/>
                      <w:b/>
                      <w:color w:val="auto"/>
                      <w:szCs w:val="21"/>
                    </w:rPr>
                    <w:t>X</w:t>
                  </w:r>
                </w:p>
              </w:tc>
              <w:tc>
                <w:tcPr>
                  <w:tcW w:w="326" w:type="pct"/>
                  <w:vAlign w:val="center"/>
                </w:tcPr>
                <w:p w14:paraId="03590D90">
                  <w:pPr>
                    <w:jc w:val="center"/>
                    <w:rPr>
                      <w:rFonts w:eastAsiaTheme="minorEastAsia"/>
                      <w:b/>
                      <w:color w:val="auto"/>
                      <w:szCs w:val="21"/>
                    </w:rPr>
                  </w:pPr>
                  <w:r>
                    <w:rPr>
                      <w:rFonts w:eastAsiaTheme="minorEastAsia"/>
                      <w:b/>
                      <w:color w:val="auto"/>
                      <w:szCs w:val="21"/>
                    </w:rPr>
                    <w:t>Y</w:t>
                  </w:r>
                </w:p>
              </w:tc>
              <w:tc>
                <w:tcPr>
                  <w:tcW w:w="343" w:type="pct"/>
                  <w:vAlign w:val="center"/>
                </w:tcPr>
                <w:p w14:paraId="34108EF4">
                  <w:pPr>
                    <w:jc w:val="center"/>
                    <w:rPr>
                      <w:rFonts w:eastAsiaTheme="minorEastAsia"/>
                      <w:b/>
                      <w:color w:val="auto"/>
                      <w:szCs w:val="21"/>
                    </w:rPr>
                  </w:pPr>
                  <w:r>
                    <w:rPr>
                      <w:rFonts w:eastAsiaTheme="minorEastAsia"/>
                      <w:b/>
                      <w:color w:val="auto"/>
                      <w:szCs w:val="21"/>
                    </w:rPr>
                    <w:t>Z</w:t>
                  </w:r>
                </w:p>
              </w:tc>
              <w:tc>
                <w:tcPr>
                  <w:tcW w:w="743" w:type="pct"/>
                  <w:vAlign w:val="center"/>
                </w:tcPr>
                <w:p w14:paraId="3D416342">
                  <w:pPr>
                    <w:jc w:val="center"/>
                    <w:rPr>
                      <w:rFonts w:eastAsiaTheme="minorEastAsia"/>
                      <w:b/>
                      <w:color w:val="auto"/>
                      <w:szCs w:val="21"/>
                    </w:rPr>
                  </w:pPr>
                  <w:r>
                    <w:rPr>
                      <w:rFonts w:eastAsiaTheme="minorEastAsia"/>
                      <w:b/>
                      <w:color w:val="auto"/>
                      <w:szCs w:val="21"/>
                    </w:rPr>
                    <w:t>声压级/dB（A）</w:t>
                  </w:r>
                </w:p>
              </w:tc>
              <w:tc>
                <w:tcPr>
                  <w:tcW w:w="574" w:type="pct"/>
                  <w:vAlign w:val="center"/>
                </w:tcPr>
                <w:p w14:paraId="3E0B44A1">
                  <w:pPr>
                    <w:widowControl/>
                    <w:jc w:val="center"/>
                    <w:rPr>
                      <w:rFonts w:eastAsiaTheme="minorEastAsia"/>
                      <w:b/>
                      <w:color w:val="auto"/>
                      <w:szCs w:val="21"/>
                    </w:rPr>
                  </w:pPr>
                  <w:r>
                    <w:rPr>
                      <w:rFonts w:eastAsiaTheme="minorEastAsia"/>
                      <w:b/>
                      <w:color w:val="auto"/>
                      <w:szCs w:val="21"/>
                    </w:rPr>
                    <w:t>距声源距离/m</w:t>
                  </w:r>
                </w:p>
              </w:tc>
              <w:tc>
                <w:tcPr>
                  <w:tcW w:w="686" w:type="pct"/>
                  <w:vMerge w:val="continue"/>
                  <w:vAlign w:val="center"/>
                </w:tcPr>
                <w:p w14:paraId="71574F9E">
                  <w:pPr>
                    <w:widowControl/>
                    <w:jc w:val="center"/>
                    <w:rPr>
                      <w:rFonts w:eastAsiaTheme="minorEastAsia"/>
                      <w:b/>
                      <w:color w:val="auto"/>
                      <w:szCs w:val="21"/>
                    </w:rPr>
                  </w:pPr>
                </w:p>
              </w:tc>
              <w:tc>
                <w:tcPr>
                  <w:tcW w:w="488" w:type="pct"/>
                  <w:vMerge w:val="continue"/>
                  <w:vAlign w:val="center"/>
                </w:tcPr>
                <w:p w14:paraId="726E3BB8">
                  <w:pPr>
                    <w:widowControl/>
                    <w:jc w:val="center"/>
                    <w:rPr>
                      <w:rFonts w:eastAsiaTheme="minorEastAsia"/>
                      <w:b/>
                      <w:color w:val="auto"/>
                      <w:szCs w:val="21"/>
                    </w:rPr>
                  </w:pPr>
                </w:p>
              </w:tc>
            </w:tr>
            <w:tr w14:paraId="17D4B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230" w:type="pct"/>
                  <w:vAlign w:val="center"/>
                </w:tcPr>
                <w:p w14:paraId="49264CCD">
                  <w:pPr>
                    <w:jc w:val="center"/>
                    <w:rPr>
                      <w:rFonts w:eastAsiaTheme="minorEastAsia"/>
                      <w:color w:val="auto"/>
                      <w:szCs w:val="21"/>
                    </w:rPr>
                  </w:pPr>
                  <w:r>
                    <w:rPr>
                      <w:rFonts w:eastAsiaTheme="minorEastAsia"/>
                      <w:color w:val="auto"/>
                      <w:szCs w:val="21"/>
                    </w:rPr>
                    <w:t>1</w:t>
                  </w:r>
                </w:p>
              </w:tc>
              <w:tc>
                <w:tcPr>
                  <w:tcW w:w="731" w:type="pct"/>
                  <w:vAlign w:val="center"/>
                </w:tcPr>
                <w:p w14:paraId="66BA5C7A">
                  <w:pPr>
                    <w:adjustRightInd w:val="0"/>
                    <w:snapToGrid w:val="0"/>
                    <w:jc w:val="center"/>
                    <w:rPr>
                      <w:rFonts w:eastAsiaTheme="minorEastAsia"/>
                      <w:color w:val="auto"/>
                      <w:szCs w:val="21"/>
                    </w:rPr>
                  </w:pPr>
                  <w:r>
                    <w:rPr>
                      <w:rFonts w:eastAsiaTheme="minorEastAsia"/>
                      <w:color w:val="auto"/>
                      <w:szCs w:val="21"/>
                    </w:rPr>
                    <w:t>风机（DA00</w:t>
                  </w:r>
                  <w:r>
                    <w:rPr>
                      <w:rFonts w:hint="eastAsia" w:eastAsiaTheme="minorEastAsia"/>
                      <w:color w:val="auto"/>
                      <w:szCs w:val="21"/>
                    </w:rPr>
                    <w:t>1</w:t>
                  </w:r>
                  <w:r>
                    <w:rPr>
                      <w:rFonts w:eastAsiaTheme="minorEastAsia"/>
                      <w:color w:val="auto"/>
                      <w:szCs w:val="21"/>
                    </w:rPr>
                    <w:t>）</w:t>
                  </w:r>
                </w:p>
              </w:tc>
              <w:tc>
                <w:tcPr>
                  <w:tcW w:w="421" w:type="pct"/>
                  <w:vAlign w:val="center"/>
                </w:tcPr>
                <w:p w14:paraId="7AFF25C4">
                  <w:pPr>
                    <w:adjustRightInd w:val="0"/>
                    <w:snapToGrid w:val="0"/>
                    <w:jc w:val="center"/>
                    <w:rPr>
                      <w:rFonts w:eastAsiaTheme="minorEastAsia"/>
                      <w:color w:val="auto"/>
                      <w:szCs w:val="21"/>
                    </w:rPr>
                  </w:pPr>
                  <w:r>
                    <w:rPr>
                      <w:rFonts w:hint="eastAsia" w:eastAsiaTheme="minorEastAsia"/>
                      <w:color w:val="auto"/>
                      <w:szCs w:val="21"/>
                    </w:rPr>
                    <w:t>1</w:t>
                  </w:r>
                </w:p>
              </w:tc>
              <w:tc>
                <w:tcPr>
                  <w:tcW w:w="454" w:type="pct"/>
                  <w:vAlign w:val="center"/>
                </w:tcPr>
                <w:p w14:paraId="2A004510">
                  <w:pPr>
                    <w:jc w:val="center"/>
                    <w:rPr>
                      <w:rFonts w:eastAsiaTheme="minorEastAsia"/>
                      <w:color w:val="auto"/>
                      <w:szCs w:val="21"/>
                    </w:rPr>
                  </w:pPr>
                  <w:r>
                    <w:rPr>
                      <w:rFonts w:hint="eastAsia" w:eastAsiaTheme="minorEastAsia"/>
                      <w:color w:val="auto"/>
                      <w:szCs w:val="21"/>
                    </w:rPr>
                    <w:t>30</w:t>
                  </w:r>
                </w:p>
              </w:tc>
              <w:tc>
                <w:tcPr>
                  <w:tcW w:w="326" w:type="pct"/>
                  <w:vAlign w:val="center"/>
                </w:tcPr>
                <w:p w14:paraId="0F9E80EA">
                  <w:pPr>
                    <w:jc w:val="center"/>
                    <w:rPr>
                      <w:rFonts w:eastAsiaTheme="minorEastAsia"/>
                      <w:color w:val="auto"/>
                      <w:szCs w:val="21"/>
                    </w:rPr>
                  </w:pPr>
                  <w:r>
                    <w:rPr>
                      <w:rFonts w:hint="eastAsia" w:eastAsiaTheme="minorEastAsia"/>
                      <w:color w:val="auto"/>
                      <w:szCs w:val="21"/>
                    </w:rPr>
                    <w:t>40</w:t>
                  </w:r>
                </w:p>
              </w:tc>
              <w:tc>
                <w:tcPr>
                  <w:tcW w:w="343" w:type="pct"/>
                  <w:vAlign w:val="center"/>
                </w:tcPr>
                <w:p w14:paraId="4F8A6C1F">
                  <w:pPr>
                    <w:jc w:val="center"/>
                    <w:rPr>
                      <w:rFonts w:eastAsiaTheme="minorEastAsia"/>
                      <w:color w:val="auto"/>
                      <w:szCs w:val="21"/>
                    </w:rPr>
                  </w:pPr>
                  <w:r>
                    <w:rPr>
                      <w:rFonts w:eastAsiaTheme="minorEastAsia"/>
                      <w:color w:val="auto"/>
                      <w:szCs w:val="21"/>
                    </w:rPr>
                    <w:t>1</w:t>
                  </w:r>
                </w:p>
              </w:tc>
              <w:tc>
                <w:tcPr>
                  <w:tcW w:w="743" w:type="pct"/>
                  <w:vAlign w:val="center"/>
                </w:tcPr>
                <w:p w14:paraId="2B491B80">
                  <w:pPr>
                    <w:jc w:val="center"/>
                    <w:rPr>
                      <w:rFonts w:eastAsiaTheme="minorEastAsia"/>
                      <w:color w:val="auto"/>
                      <w:szCs w:val="21"/>
                    </w:rPr>
                  </w:pPr>
                  <w:r>
                    <w:rPr>
                      <w:rFonts w:eastAsiaTheme="minorEastAsia"/>
                      <w:color w:val="auto"/>
                      <w:szCs w:val="21"/>
                    </w:rPr>
                    <w:t>75~85</w:t>
                  </w:r>
                </w:p>
              </w:tc>
              <w:tc>
                <w:tcPr>
                  <w:tcW w:w="574" w:type="pct"/>
                  <w:vAlign w:val="center"/>
                </w:tcPr>
                <w:p w14:paraId="4DAE3F36">
                  <w:pPr>
                    <w:jc w:val="center"/>
                    <w:rPr>
                      <w:rFonts w:eastAsiaTheme="minorEastAsia"/>
                      <w:color w:val="auto"/>
                      <w:szCs w:val="21"/>
                    </w:rPr>
                  </w:pPr>
                  <w:r>
                    <w:rPr>
                      <w:rFonts w:eastAsiaTheme="minorEastAsia"/>
                      <w:color w:val="auto"/>
                      <w:szCs w:val="21"/>
                    </w:rPr>
                    <w:t>1</w:t>
                  </w:r>
                </w:p>
              </w:tc>
              <w:tc>
                <w:tcPr>
                  <w:tcW w:w="686" w:type="pct"/>
                  <w:vMerge w:val="restart"/>
                  <w:vAlign w:val="center"/>
                </w:tcPr>
                <w:p w14:paraId="7CEBDDFB">
                  <w:pPr>
                    <w:adjustRightInd w:val="0"/>
                    <w:snapToGrid w:val="0"/>
                    <w:jc w:val="center"/>
                    <w:rPr>
                      <w:rFonts w:eastAsiaTheme="minorEastAsia"/>
                      <w:color w:val="auto"/>
                      <w:szCs w:val="21"/>
                    </w:rPr>
                  </w:pPr>
                  <w:r>
                    <w:rPr>
                      <w:rFonts w:eastAsiaTheme="minorEastAsia"/>
                      <w:color w:val="auto"/>
                      <w:szCs w:val="21"/>
                    </w:rPr>
                    <w:t>基础减振，柔性连接</w:t>
                  </w:r>
                </w:p>
              </w:tc>
              <w:tc>
                <w:tcPr>
                  <w:tcW w:w="488" w:type="pct"/>
                  <w:vMerge w:val="restart"/>
                  <w:vAlign w:val="center"/>
                </w:tcPr>
                <w:p w14:paraId="327D338E">
                  <w:pPr>
                    <w:autoSpaceDE w:val="0"/>
                    <w:autoSpaceDN w:val="0"/>
                    <w:jc w:val="center"/>
                    <w:rPr>
                      <w:rFonts w:eastAsiaTheme="minorEastAsia"/>
                      <w:color w:val="auto"/>
                      <w:szCs w:val="21"/>
                    </w:rPr>
                  </w:pPr>
                  <w:r>
                    <w:rPr>
                      <w:rFonts w:hint="eastAsia" w:eastAsiaTheme="minorEastAsia"/>
                      <w:color w:val="auto"/>
                      <w:szCs w:val="21"/>
                    </w:rPr>
                    <w:t>8：00</w:t>
                  </w:r>
                </w:p>
                <w:p w14:paraId="78DEA67C">
                  <w:pPr>
                    <w:jc w:val="center"/>
                    <w:rPr>
                      <w:rFonts w:eastAsiaTheme="minorEastAsia"/>
                      <w:color w:val="auto"/>
                      <w:szCs w:val="21"/>
                    </w:rPr>
                  </w:pPr>
                  <w:r>
                    <w:rPr>
                      <w:rFonts w:hint="eastAsia" w:eastAsiaTheme="minorEastAsia"/>
                      <w:color w:val="auto"/>
                      <w:szCs w:val="21"/>
                    </w:rPr>
                    <w:t>-</w:t>
                  </w:r>
                  <w:r>
                    <w:rPr>
                      <w:rFonts w:hint="eastAsia" w:eastAsiaTheme="minorEastAsia"/>
                      <w:color w:val="auto"/>
                      <w:szCs w:val="21"/>
                      <w:lang w:val="en-US" w:eastAsia="zh-CN"/>
                    </w:rPr>
                    <w:t>次日8</w:t>
                  </w:r>
                  <w:r>
                    <w:rPr>
                      <w:rFonts w:hint="eastAsia" w:eastAsiaTheme="minorEastAsia"/>
                      <w:color w:val="auto"/>
                      <w:szCs w:val="21"/>
                    </w:rPr>
                    <w:t>：00</w:t>
                  </w:r>
                </w:p>
              </w:tc>
            </w:tr>
            <w:tr w14:paraId="6C26D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0" w:hRule="atLeast"/>
                <w:jc w:val="center"/>
              </w:trPr>
              <w:tc>
                <w:tcPr>
                  <w:tcW w:w="230" w:type="pct"/>
                  <w:vAlign w:val="center"/>
                </w:tcPr>
                <w:p w14:paraId="0AEE1D1D">
                  <w:pPr>
                    <w:jc w:val="center"/>
                    <w:rPr>
                      <w:rFonts w:eastAsiaTheme="minorEastAsia"/>
                      <w:color w:val="auto"/>
                      <w:szCs w:val="21"/>
                    </w:rPr>
                  </w:pPr>
                  <w:r>
                    <w:rPr>
                      <w:rFonts w:eastAsiaTheme="minorEastAsia"/>
                      <w:color w:val="auto"/>
                      <w:szCs w:val="21"/>
                    </w:rPr>
                    <w:t>2</w:t>
                  </w:r>
                </w:p>
              </w:tc>
              <w:tc>
                <w:tcPr>
                  <w:tcW w:w="731" w:type="pct"/>
                  <w:vAlign w:val="center"/>
                </w:tcPr>
                <w:p w14:paraId="3D31F76E">
                  <w:pPr>
                    <w:adjustRightInd w:val="0"/>
                    <w:snapToGrid w:val="0"/>
                    <w:jc w:val="center"/>
                    <w:rPr>
                      <w:rFonts w:eastAsiaTheme="minorEastAsia"/>
                      <w:color w:val="auto"/>
                      <w:szCs w:val="21"/>
                    </w:rPr>
                  </w:pPr>
                  <w:r>
                    <w:rPr>
                      <w:rFonts w:eastAsiaTheme="minorEastAsia"/>
                      <w:color w:val="auto"/>
                      <w:szCs w:val="21"/>
                    </w:rPr>
                    <w:t>风机（DA0</w:t>
                  </w:r>
                  <w:r>
                    <w:rPr>
                      <w:rFonts w:hint="eastAsia" w:eastAsiaTheme="minorEastAsia"/>
                      <w:color w:val="auto"/>
                      <w:szCs w:val="21"/>
                    </w:rPr>
                    <w:t>0</w:t>
                  </w:r>
                  <w:r>
                    <w:rPr>
                      <w:rFonts w:hint="eastAsia" w:eastAsiaTheme="minorEastAsia"/>
                      <w:color w:val="auto"/>
                      <w:szCs w:val="21"/>
                      <w:lang w:val="en-US" w:eastAsia="zh-CN"/>
                    </w:rPr>
                    <w:t>2</w:t>
                  </w:r>
                  <w:r>
                    <w:rPr>
                      <w:rFonts w:eastAsiaTheme="minorEastAsia"/>
                      <w:color w:val="auto"/>
                      <w:szCs w:val="21"/>
                    </w:rPr>
                    <w:t>）</w:t>
                  </w:r>
                </w:p>
              </w:tc>
              <w:tc>
                <w:tcPr>
                  <w:tcW w:w="421" w:type="pct"/>
                  <w:vAlign w:val="center"/>
                </w:tcPr>
                <w:p w14:paraId="25F9771B">
                  <w:pPr>
                    <w:adjustRightInd w:val="0"/>
                    <w:snapToGrid w:val="0"/>
                    <w:jc w:val="center"/>
                    <w:rPr>
                      <w:rFonts w:eastAsiaTheme="minorEastAsia"/>
                      <w:color w:val="auto"/>
                      <w:szCs w:val="21"/>
                    </w:rPr>
                  </w:pPr>
                  <w:r>
                    <w:rPr>
                      <w:rFonts w:hint="eastAsia" w:eastAsiaTheme="minorEastAsia"/>
                      <w:color w:val="auto"/>
                      <w:szCs w:val="21"/>
                    </w:rPr>
                    <w:t>1</w:t>
                  </w:r>
                </w:p>
              </w:tc>
              <w:tc>
                <w:tcPr>
                  <w:tcW w:w="454" w:type="pct"/>
                  <w:vAlign w:val="center"/>
                </w:tcPr>
                <w:p w14:paraId="54243B09">
                  <w:pPr>
                    <w:jc w:val="center"/>
                    <w:rPr>
                      <w:rFonts w:eastAsiaTheme="minorEastAsia"/>
                      <w:color w:val="auto"/>
                      <w:szCs w:val="21"/>
                    </w:rPr>
                  </w:pPr>
                  <w:r>
                    <w:rPr>
                      <w:rFonts w:hint="eastAsia" w:eastAsiaTheme="minorEastAsia"/>
                      <w:color w:val="auto"/>
                      <w:szCs w:val="21"/>
                    </w:rPr>
                    <w:t>60</w:t>
                  </w:r>
                </w:p>
              </w:tc>
              <w:tc>
                <w:tcPr>
                  <w:tcW w:w="326" w:type="pct"/>
                  <w:vAlign w:val="center"/>
                </w:tcPr>
                <w:p w14:paraId="6909CBD4">
                  <w:pPr>
                    <w:jc w:val="center"/>
                    <w:rPr>
                      <w:rFonts w:eastAsiaTheme="minorEastAsia"/>
                      <w:color w:val="auto"/>
                      <w:szCs w:val="21"/>
                    </w:rPr>
                  </w:pPr>
                  <w:r>
                    <w:rPr>
                      <w:rFonts w:hint="eastAsia" w:eastAsiaTheme="minorEastAsia"/>
                      <w:color w:val="auto"/>
                      <w:szCs w:val="21"/>
                    </w:rPr>
                    <w:t>5</w:t>
                  </w:r>
                </w:p>
              </w:tc>
              <w:tc>
                <w:tcPr>
                  <w:tcW w:w="343" w:type="pct"/>
                  <w:vAlign w:val="center"/>
                </w:tcPr>
                <w:p w14:paraId="1B76117A">
                  <w:pPr>
                    <w:jc w:val="center"/>
                    <w:rPr>
                      <w:rFonts w:eastAsiaTheme="minorEastAsia"/>
                      <w:color w:val="auto"/>
                      <w:szCs w:val="21"/>
                    </w:rPr>
                  </w:pPr>
                  <w:r>
                    <w:rPr>
                      <w:rFonts w:hint="eastAsia" w:eastAsiaTheme="minorEastAsia"/>
                      <w:color w:val="auto"/>
                      <w:szCs w:val="21"/>
                    </w:rPr>
                    <w:t>1</w:t>
                  </w:r>
                </w:p>
              </w:tc>
              <w:tc>
                <w:tcPr>
                  <w:tcW w:w="743" w:type="pct"/>
                  <w:vAlign w:val="center"/>
                </w:tcPr>
                <w:p w14:paraId="55CB6F4A">
                  <w:pPr>
                    <w:jc w:val="center"/>
                    <w:rPr>
                      <w:rFonts w:eastAsiaTheme="minorEastAsia"/>
                      <w:color w:val="auto"/>
                      <w:szCs w:val="21"/>
                    </w:rPr>
                  </w:pPr>
                  <w:r>
                    <w:rPr>
                      <w:rFonts w:eastAsiaTheme="minorEastAsia"/>
                      <w:color w:val="auto"/>
                      <w:szCs w:val="21"/>
                    </w:rPr>
                    <w:t>75~85</w:t>
                  </w:r>
                </w:p>
              </w:tc>
              <w:tc>
                <w:tcPr>
                  <w:tcW w:w="574" w:type="pct"/>
                  <w:vAlign w:val="center"/>
                </w:tcPr>
                <w:p w14:paraId="53179C93">
                  <w:pPr>
                    <w:jc w:val="center"/>
                    <w:rPr>
                      <w:rFonts w:eastAsiaTheme="minorEastAsia"/>
                      <w:color w:val="auto"/>
                      <w:szCs w:val="21"/>
                    </w:rPr>
                  </w:pPr>
                  <w:r>
                    <w:rPr>
                      <w:rFonts w:hint="eastAsia" w:eastAsiaTheme="minorEastAsia"/>
                      <w:color w:val="auto"/>
                      <w:szCs w:val="21"/>
                    </w:rPr>
                    <w:t>1</w:t>
                  </w:r>
                </w:p>
              </w:tc>
              <w:tc>
                <w:tcPr>
                  <w:tcW w:w="686" w:type="pct"/>
                  <w:vMerge w:val="continue"/>
                  <w:vAlign w:val="center"/>
                </w:tcPr>
                <w:p w14:paraId="61A95C5D">
                  <w:pPr>
                    <w:widowControl/>
                    <w:jc w:val="center"/>
                    <w:rPr>
                      <w:rFonts w:eastAsiaTheme="minorEastAsia"/>
                      <w:color w:val="auto"/>
                      <w:szCs w:val="21"/>
                    </w:rPr>
                  </w:pPr>
                </w:p>
              </w:tc>
              <w:tc>
                <w:tcPr>
                  <w:tcW w:w="488" w:type="pct"/>
                  <w:vMerge w:val="continue"/>
                  <w:vAlign w:val="center"/>
                </w:tcPr>
                <w:p w14:paraId="0CAF9CA2">
                  <w:pPr>
                    <w:widowControl/>
                    <w:jc w:val="center"/>
                    <w:rPr>
                      <w:rFonts w:eastAsiaTheme="minorEastAsia"/>
                      <w:color w:val="auto"/>
                      <w:szCs w:val="21"/>
                    </w:rPr>
                  </w:pPr>
                </w:p>
              </w:tc>
            </w:tr>
          </w:tbl>
          <w:p w14:paraId="2C77A803">
            <w:pPr>
              <w:widowControl/>
              <w:adjustRightInd w:val="0"/>
              <w:snapToGrid w:val="0"/>
              <w:spacing w:line="360" w:lineRule="auto"/>
              <w:jc w:val="left"/>
              <w:rPr>
                <w:rFonts w:eastAsiaTheme="minorEastAsia"/>
                <w:color w:val="auto"/>
                <w:sz w:val="18"/>
                <w:szCs w:val="18"/>
              </w:rPr>
            </w:pPr>
            <w:r>
              <w:rPr>
                <w:rFonts w:eastAsiaTheme="minorEastAsia"/>
                <w:color w:val="auto"/>
                <w:sz w:val="18"/>
                <w:szCs w:val="18"/>
              </w:rPr>
              <w:t>注：以厂区西南角为（0，0，0）点。</w:t>
            </w:r>
          </w:p>
          <w:p w14:paraId="5B02D73E">
            <w:pPr>
              <w:widowControl/>
              <w:adjustRightInd w:val="0"/>
              <w:snapToGrid w:val="0"/>
              <w:spacing w:before="120" w:beforeLines="50" w:line="360" w:lineRule="auto"/>
              <w:ind w:firstLine="482" w:firstLineChars="200"/>
              <w:jc w:val="left"/>
              <w:rPr>
                <w:rFonts w:eastAsiaTheme="minorEastAsia"/>
                <w:b/>
                <w:color w:val="auto"/>
                <w:kern w:val="0"/>
                <w:sz w:val="24"/>
                <w:lang w:bidi="en-US"/>
              </w:rPr>
            </w:pPr>
            <w:r>
              <w:rPr>
                <w:rFonts w:eastAsiaTheme="minorEastAsia"/>
                <w:b/>
                <w:color w:val="auto"/>
                <w:kern w:val="0"/>
                <w:sz w:val="24"/>
                <w:lang w:bidi="en-US"/>
              </w:rPr>
              <w:t>3.2噪声预测</w:t>
            </w:r>
          </w:p>
          <w:p w14:paraId="1CCBF3D1">
            <w:pPr>
              <w:adjustRightInd w:val="0"/>
              <w:snapToGrid w:val="0"/>
              <w:spacing w:line="360" w:lineRule="auto"/>
              <w:ind w:firstLine="480" w:firstLineChars="200"/>
              <w:rPr>
                <w:rFonts w:eastAsiaTheme="minorEastAsia"/>
                <w:color w:val="auto"/>
              </w:rPr>
            </w:pPr>
            <w:r>
              <w:rPr>
                <w:rFonts w:eastAsiaTheme="minorEastAsia"/>
                <w:color w:val="auto"/>
                <w:sz w:val="24"/>
              </w:rPr>
              <w:t>根据项目建设内容及《环境影响评价技术导则 声环境》（HJ2.4-2021）的要求，项目采用的模型为《环境影响评价技术导则声环境》（HJ2.4-2021）附录A（规范性附录）户外声传播的衰减和附录B（规范性附录）中“B.1工业噪声预测计算模型”。</w:t>
            </w:r>
          </w:p>
          <w:p w14:paraId="682256E6">
            <w:pPr>
              <w:spacing w:line="50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（1）室外点声源在预测点的倍频带声压级</w:t>
            </w:r>
          </w:p>
          <w:p w14:paraId="4EE7A41A">
            <w:pPr>
              <w:spacing w:line="500" w:lineRule="exact"/>
              <w:ind w:firstLine="480" w:firstLineChars="200"/>
              <w:rPr>
                <w:rFonts w:hint="default" w:ascii="Times New Roman" w:hAnsi="Times New Roman" w:cs="Times New Roman"/>
                <w:color w:val="auto"/>
                <w:sz w:val="24"/>
                <w:szCs w:val="24"/>
              </w:rPr>
            </w:pPr>
            <w:r>
              <w:rPr>
                <w:rFonts w:ascii="宋体" w:eastAsia="宋体"/>
                <w:color w:val="auto"/>
                <w:sz w:val="24"/>
                <w:szCs w:val="24"/>
              </w:rPr>
              <w:t>①</w:t>
            </w:r>
            <w:r>
              <w:rPr>
                <w:rFonts w:hint="default" w:ascii="Times New Roman" w:hAnsi="Times New Roman" w:cs="Times New Roman"/>
                <w:color w:val="auto"/>
                <w:sz w:val="24"/>
                <w:szCs w:val="24"/>
              </w:rPr>
              <w:t>某个点源在预测点的倍频带声压级</w:t>
            </w:r>
          </w:p>
          <w:p w14:paraId="7BD724EA">
            <w:pPr>
              <w:adjustRightInd w:val="0"/>
              <w:snapToGrid w:val="0"/>
              <w:spacing w:before="120" w:after="120" w:line="0" w:lineRule="atLeast"/>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2266950" cy="24765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2266950" cy="247650"/>
                          </a:xfrm>
                          <a:prstGeom prst="rect">
                            <a:avLst/>
                          </a:prstGeom>
                          <a:noFill/>
                          <a:ln>
                            <a:noFill/>
                          </a:ln>
                        </pic:spPr>
                      </pic:pic>
                    </a:graphicData>
                  </a:graphic>
                </wp:inline>
              </w:drawing>
            </w:r>
            <w:r>
              <w:rPr>
                <w:rFonts w:ascii="Times New Roman" w:hAnsi="Times New Roman" w:cs="Times New Roman"/>
                <w:color w:val="auto"/>
              </w:rPr>
              <w:t xml:space="preserve"> </w:t>
            </w:r>
          </w:p>
          <w:p w14:paraId="0C825B37">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式中：</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oct</w:t>
            </w:r>
            <w:r>
              <w:rPr>
                <w:rFonts w:hAnsi="Times New Roman" w:cs="Times New Roman"/>
                <w:color w:val="auto"/>
                <w:sz w:val="24"/>
                <w:szCs w:val="24"/>
              </w:rPr>
              <w:t>（</w:t>
            </w:r>
            <w:r>
              <w:rPr>
                <w:rFonts w:ascii="Times New Roman" w:hAnsi="Times New Roman" w:cs="Times New Roman"/>
                <w:color w:val="auto"/>
                <w:sz w:val="24"/>
                <w:szCs w:val="24"/>
              </w:rPr>
              <w:t>r</w:t>
            </w:r>
            <w:r>
              <w:rPr>
                <w:rFonts w:hAnsi="Times New Roman" w:cs="Times New Roman"/>
                <w:color w:val="auto"/>
                <w:sz w:val="24"/>
                <w:szCs w:val="24"/>
              </w:rPr>
              <w:t>）——点声源在预测点产生的倍频带声压级；</w:t>
            </w:r>
          </w:p>
          <w:p w14:paraId="36CB4FE1">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oct</w:t>
            </w:r>
            <w:r>
              <w:rPr>
                <w:rFonts w:hAnsi="Times New Roman" w:cs="Times New Roman"/>
                <w:color w:val="auto"/>
                <w:sz w:val="24"/>
                <w:szCs w:val="24"/>
              </w:rPr>
              <w:t>（</w:t>
            </w:r>
            <w:r>
              <w:rPr>
                <w:rFonts w:ascii="Times New Roman" w:hAnsi="Times New Roman" w:cs="Times New Roman"/>
                <w:color w:val="auto"/>
                <w:sz w:val="24"/>
                <w:szCs w:val="24"/>
              </w:rPr>
              <w:t>r</w:t>
            </w:r>
            <w:r>
              <w:rPr>
                <w:rFonts w:ascii="Times New Roman" w:hAnsi="Times New Roman" w:cs="Times New Roman"/>
                <w:color w:val="auto"/>
                <w:sz w:val="24"/>
                <w:szCs w:val="24"/>
                <w:vertAlign w:val="subscript"/>
              </w:rPr>
              <w:t>0</w:t>
            </w:r>
            <w:r>
              <w:rPr>
                <w:rFonts w:hAnsi="Times New Roman" w:cs="Times New Roman"/>
                <w:color w:val="auto"/>
                <w:sz w:val="24"/>
                <w:szCs w:val="24"/>
              </w:rPr>
              <w:t>）——参考位置</w:t>
            </w:r>
            <w:r>
              <w:rPr>
                <w:rFonts w:ascii="Times New Roman" w:hAnsi="Times New Roman" w:cs="Times New Roman"/>
                <w:color w:val="auto"/>
                <w:sz w:val="24"/>
                <w:szCs w:val="24"/>
              </w:rPr>
              <w:t>r</w:t>
            </w:r>
            <w:r>
              <w:rPr>
                <w:rFonts w:ascii="Times New Roman" w:hAnsi="Times New Roman" w:cs="Times New Roman"/>
                <w:color w:val="auto"/>
                <w:sz w:val="24"/>
                <w:szCs w:val="24"/>
                <w:vertAlign w:val="subscript"/>
              </w:rPr>
              <w:t>0</w:t>
            </w:r>
            <w:r>
              <w:rPr>
                <w:rFonts w:hAnsi="Times New Roman" w:cs="Times New Roman"/>
                <w:color w:val="auto"/>
                <w:sz w:val="24"/>
                <w:szCs w:val="24"/>
              </w:rPr>
              <w:t>处的倍频带声压级；</w:t>
            </w:r>
          </w:p>
          <w:p w14:paraId="36E8B588">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r</w:t>
            </w:r>
            <w:r>
              <w:rPr>
                <w:rFonts w:hAnsi="Times New Roman" w:cs="Times New Roman"/>
                <w:color w:val="auto"/>
                <w:sz w:val="24"/>
                <w:szCs w:val="24"/>
              </w:rPr>
              <w:t>——预测点距声源的距离，</w:t>
            </w:r>
            <w:r>
              <w:rPr>
                <w:rFonts w:ascii="Times New Roman" w:hAnsi="Times New Roman" w:cs="Times New Roman"/>
                <w:color w:val="auto"/>
                <w:sz w:val="24"/>
                <w:szCs w:val="24"/>
              </w:rPr>
              <w:t>m</w:t>
            </w:r>
            <w:r>
              <w:rPr>
                <w:rFonts w:hAnsi="Times New Roman" w:cs="Times New Roman"/>
                <w:color w:val="auto"/>
                <w:sz w:val="24"/>
                <w:szCs w:val="24"/>
              </w:rPr>
              <w:t>；</w:t>
            </w:r>
          </w:p>
          <w:p w14:paraId="59075C18">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r</w:t>
            </w:r>
            <w:r>
              <w:rPr>
                <w:rFonts w:ascii="Times New Roman" w:hAnsi="Times New Roman" w:cs="Times New Roman"/>
                <w:color w:val="auto"/>
                <w:sz w:val="24"/>
                <w:szCs w:val="24"/>
                <w:vertAlign w:val="subscript"/>
              </w:rPr>
              <w:t>0</w:t>
            </w:r>
            <w:r>
              <w:rPr>
                <w:rFonts w:hAnsi="Times New Roman" w:cs="Times New Roman"/>
                <w:color w:val="auto"/>
                <w:sz w:val="24"/>
                <w:szCs w:val="24"/>
              </w:rPr>
              <w:t>——参考位置距声源的距离，</w:t>
            </w:r>
            <w:r>
              <w:rPr>
                <w:rFonts w:ascii="Times New Roman" w:hAnsi="Times New Roman" w:cs="Times New Roman"/>
                <w:color w:val="auto"/>
                <w:sz w:val="24"/>
                <w:szCs w:val="24"/>
              </w:rPr>
              <w:t>m</w:t>
            </w:r>
            <w:r>
              <w:rPr>
                <w:rFonts w:hAnsi="Times New Roman" w:cs="Times New Roman"/>
                <w:color w:val="auto"/>
                <w:sz w:val="24"/>
                <w:szCs w:val="24"/>
              </w:rPr>
              <w:t>；</w:t>
            </w:r>
          </w:p>
          <w:p w14:paraId="52356F16">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ΔL</w:t>
            </w:r>
            <w:r>
              <w:rPr>
                <w:rFonts w:ascii="Times New Roman" w:hAnsi="Times New Roman" w:cs="Times New Roman"/>
                <w:color w:val="auto"/>
                <w:sz w:val="24"/>
                <w:szCs w:val="24"/>
                <w:vertAlign w:val="subscript"/>
              </w:rPr>
              <w:t>oct</w:t>
            </w:r>
            <w:r>
              <w:rPr>
                <w:rFonts w:hAnsi="Times New Roman" w:cs="Times New Roman"/>
                <w:color w:val="auto"/>
                <w:sz w:val="24"/>
                <w:szCs w:val="24"/>
              </w:rPr>
              <w:t>——各种因素引起的衰减量，包括声屏障、空气吸收和地面效应引起的衰减，其计算方式分别为：</w:t>
            </w:r>
          </w:p>
          <w:p w14:paraId="60BB987E">
            <w:pPr>
              <w:adjustRightInd w:val="0"/>
              <w:snapToGrid w:val="0"/>
              <w:spacing w:before="120" w:after="120" w:line="0" w:lineRule="atLeast"/>
              <w:jc w:val="center"/>
              <w:textAlignment w:val="center"/>
              <w:rPr>
                <w:rFonts w:ascii="Times New Roman" w:hAnsi="Times New Roman" w:eastAsia="宋体" w:cs="Times New Roman"/>
                <w:i/>
                <w:color w:val="auto"/>
              </w:rPr>
            </w:pPr>
            <w:r>
              <w:rPr>
                <w:rFonts w:ascii="Times New Roman" w:hAnsi="Times New Roman" w:cs="Times New Roman"/>
                <w:i/>
                <w:color w:val="auto"/>
              </w:rPr>
              <w:t>A</w:t>
            </w:r>
            <w:r>
              <w:rPr>
                <w:rFonts w:ascii="Times New Roman" w:hAnsi="Times New Roman" w:cs="Times New Roman"/>
                <w:i/>
                <w:color w:val="auto"/>
                <w:vertAlign w:val="subscript"/>
              </w:rPr>
              <w:t>oct bar</w:t>
            </w:r>
            <w:r>
              <w:rPr>
                <w:rFonts w:ascii="Times New Roman" w:hAnsi="Times New Roman" w:cs="Times New Roman"/>
                <w:i/>
                <w:color w:val="auto"/>
              </w:rPr>
              <w:t>=</w:t>
            </w:r>
            <w:r>
              <w:rPr>
                <w:rFonts w:ascii="Times New Roman" w:hAnsi="Times New Roman" w:eastAsia="宋体" w:cs="Times New Roman"/>
                <w:color w:val="auto"/>
              </w:rPr>
              <w:drawing>
                <wp:inline distT="0" distB="0" distL="114300" distR="114300">
                  <wp:extent cx="2584450" cy="482600"/>
                  <wp:effectExtent l="0" t="0" r="635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2584450" cy="482600"/>
                          </a:xfrm>
                          <a:prstGeom prst="rect">
                            <a:avLst/>
                          </a:prstGeom>
                          <a:noFill/>
                          <a:ln>
                            <a:noFill/>
                          </a:ln>
                        </pic:spPr>
                      </pic:pic>
                    </a:graphicData>
                  </a:graphic>
                </wp:inline>
              </w:drawing>
            </w:r>
          </w:p>
          <w:p w14:paraId="6DA85995">
            <w:pPr>
              <w:adjustRightInd w:val="0"/>
              <w:snapToGrid w:val="0"/>
              <w:spacing w:line="500" w:lineRule="exact"/>
              <w:jc w:val="center"/>
              <w:rPr>
                <w:rFonts w:ascii="Times New Roman" w:hAnsi="Times New Roman" w:eastAsia="宋体" w:cs="Times New Roman"/>
                <w:i/>
                <w:color w:val="auto"/>
                <w:sz w:val="24"/>
                <w:szCs w:val="24"/>
              </w:rPr>
            </w:pPr>
            <w:r>
              <w:rPr>
                <w:rFonts w:ascii="Times New Roman" w:hAnsi="Times New Roman" w:cs="Times New Roman"/>
                <w:i/>
                <w:color w:val="auto"/>
                <w:sz w:val="24"/>
                <w:szCs w:val="24"/>
              </w:rPr>
              <w:t>A</w:t>
            </w:r>
            <w:r>
              <w:rPr>
                <w:rFonts w:ascii="Times New Roman" w:hAnsi="Times New Roman" w:cs="Times New Roman"/>
                <w:i/>
                <w:color w:val="auto"/>
                <w:sz w:val="24"/>
                <w:szCs w:val="24"/>
                <w:vertAlign w:val="subscript"/>
              </w:rPr>
              <w:t>octatm</w:t>
            </w:r>
            <w:r>
              <w:rPr>
                <w:rFonts w:ascii="Times New Roman" w:hAnsi="Times New Roman" w:cs="Times New Roman"/>
                <w:i/>
                <w:color w:val="auto"/>
                <w:sz w:val="24"/>
                <w:szCs w:val="24"/>
              </w:rPr>
              <w:t>=α</w:t>
            </w:r>
            <w:r>
              <w:rPr>
                <w:rFonts w:hAnsi="Times New Roman" w:cs="Times New Roman"/>
                <w:i/>
                <w:color w:val="auto"/>
                <w:sz w:val="24"/>
                <w:szCs w:val="24"/>
              </w:rPr>
              <w:t>（</w:t>
            </w:r>
            <w:r>
              <w:rPr>
                <w:rFonts w:ascii="Times New Roman" w:hAnsi="Times New Roman" w:cs="Times New Roman"/>
                <w:i/>
                <w:color w:val="auto"/>
                <w:sz w:val="24"/>
                <w:szCs w:val="24"/>
              </w:rPr>
              <w:t>r-r</w:t>
            </w:r>
            <w:r>
              <w:rPr>
                <w:rFonts w:ascii="Times New Roman" w:hAnsi="Times New Roman" w:cs="Times New Roman"/>
                <w:i/>
                <w:color w:val="auto"/>
                <w:sz w:val="24"/>
                <w:szCs w:val="24"/>
                <w:vertAlign w:val="subscript"/>
              </w:rPr>
              <w:t>0</w:t>
            </w:r>
            <w:r>
              <w:rPr>
                <w:rFonts w:hAnsi="Times New Roman" w:cs="Times New Roman"/>
                <w:i/>
                <w:color w:val="auto"/>
                <w:sz w:val="24"/>
                <w:szCs w:val="24"/>
              </w:rPr>
              <w:t>）</w:t>
            </w:r>
            <w:r>
              <w:rPr>
                <w:rFonts w:ascii="Times New Roman" w:hAnsi="Times New Roman" w:cs="Times New Roman"/>
                <w:i/>
                <w:color w:val="auto"/>
                <w:sz w:val="24"/>
                <w:szCs w:val="24"/>
              </w:rPr>
              <w:t>/100</w:t>
            </w:r>
            <w:r>
              <w:rPr>
                <w:rFonts w:hAnsi="Times New Roman" w:cs="Times New Roman"/>
                <w:i/>
                <w:color w:val="auto"/>
                <w:sz w:val="24"/>
                <w:szCs w:val="24"/>
              </w:rPr>
              <w:t>；</w:t>
            </w:r>
          </w:p>
          <w:p w14:paraId="74F3E480">
            <w:pPr>
              <w:adjustRightInd w:val="0"/>
              <w:snapToGrid w:val="0"/>
              <w:spacing w:line="500" w:lineRule="exact"/>
              <w:jc w:val="center"/>
              <w:rPr>
                <w:rFonts w:ascii="Times New Roman" w:hAnsi="Times New Roman" w:eastAsia="宋体" w:cs="Times New Roman"/>
                <w:i/>
                <w:color w:val="auto"/>
                <w:sz w:val="24"/>
                <w:szCs w:val="24"/>
              </w:rPr>
            </w:pPr>
            <w:r>
              <w:rPr>
                <w:rFonts w:ascii="Times New Roman" w:hAnsi="Times New Roman" w:cs="Times New Roman"/>
                <w:i/>
                <w:color w:val="auto"/>
                <w:sz w:val="24"/>
                <w:szCs w:val="24"/>
              </w:rPr>
              <w:t>A</w:t>
            </w:r>
            <w:r>
              <w:rPr>
                <w:rFonts w:ascii="Times New Roman" w:hAnsi="Times New Roman" w:cs="Times New Roman"/>
                <w:i/>
                <w:color w:val="auto"/>
                <w:sz w:val="24"/>
                <w:szCs w:val="24"/>
                <w:vertAlign w:val="subscript"/>
              </w:rPr>
              <w:t>exc</w:t>
            </w:r>
            <w:r>
              <w:rPr>
                <w:rFonts w:ascii="Times New Roman" w:hAnsi="Times New Roman" w:cs="Times New Roman"/>
                <w:i/>
                <w:color w:val="auto"/>
                <w:sz w:val="24"/>
                <w:szCs w:val="24"/>
              </w:rPr>
              <w:t>=5lg</w:t>
            </w:r>
            <w:r>
              <w:rPr>
                <w:rFonts w:hAnsi="Times New Roman" w:cs="Times New Roman"/>
                <w:i/>
                <w:color w:val="auto"/>
                <w:sz w:val="24"/>
                <w:szCs w:val="24"/>
              </w:rPr>
              <w:t>（</w:t>
            </w:r>
            <w:r>
              <w:rPr>
                <w:rFonts w:ascii="Times New Roman" w:hAnsi="Times New Roman" w:cs="Times New Roman"/>
                <w:i/>
                <w:color w:val="auto"/>
                <w:sz w:val="24"/>
                <w:szCs w:val="24"/>
              </w:rPr>
              <w:t>r-r</w:t>
            </w:r>
            <w:r>
              <w:rPr>
                <w:rFonts w:ascii="Times New Roman" w:hAnsi="Times New Roman" w:cs="Times New Roman"/>
                <w:i/>
                <w:color w:val="auto"/>
                <w:sz w:val="24"/>
                <w:szCs w:val="24"/>
                <w:vertAlign w:val="subscript"/>
              </w:rPr>
              <w:t>0</w:t>
            </w:r>
            <w:r>
              <w:rPr>
                <w:rFonts w:hAnsi="Times New Roman" w:cs="Times New Roman"/>
                <w:i/>
                <w:color w:val="auto"/>
                <w:sz w:val="24"/>
                <w:szCs w:val="24"/>
              </w:rPr>
              <w:t>）；</w:t>
            </w:r>
          </w:p>
          <w:p w14:paraId="6B8A872A">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②如果已知声源的倍频带声功率级</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wcot</w:t>
            </w:r>
            <w:r>
              <w:rPr>
                <w:rFonts w:hAnsi="Times New Roman" w:cs="Times New Roman"/>
                <w:color w:val="auto"/>
                <w:sz w:val="24"/>
                <w:szCs w:val="24"/>
              </w:rPr>
              <w:t>，且声源可看作是位于地面上的，则：</w:t>
            </w:r>
          </w:p>
          <w:p w14:paraId="3263F52B">
            <w:pPr>
              <w:spacing w:line="500" w:lineRule="exact"/>
              <w:jc w:val="center"/>
              <w:rPr>
                <w:rFonts w:ascii="Times New Roman" w:hAnsi="Times New Roman" w:cs="Times New Roman"/>
                <w:color w:val="auto"/>
                <w:sz w:val="24"/>
                <w:szCs w:val="24"/>
              </w:rPr>
            </w:pP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cot</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wcot</w:t>
            </w:r>
            <w:r>
              <w:rPr>
                <w:rFonts w:ascii="Times New Roman" w:hAnsi="Times New Roman" w:cs="Times New Roman"/>
                <w:color w:val="auto"/>
                <w:sz w:val="24"/>
                <w:szCs w:val="24"/>
              </w:rPr>
              <w:t>-20lgr</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-8</w:t>
            </w:r>
          </w:p>
          <w:p w14:paraId="7ED33CD7">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③由各倍频带声压级合成计算出该声源产生的</w:t>
            </w:r>
            <w:r>
              <w:rPr>
                <w:rFonts w:ascii="Times New Roman" w:hAnsi="Times New Roman" w:cs="Times New Roman"/>
                <w:color w:val="auto"/>
                <w:sz w:val="24"/>
                <w:szCs w:val="24"/>
              </w:rPr>
              <w:t>A</w:t>
            </w:r>
            <w:r>
              <w:rPr>
                <w:rFonts w:hAnsi="Times New Roman" w:cs="Times New Roman"/>
                <w:color w:val="auto"/>
                <w:sz w:val="24"/>
                <w:szCs w:val="24"/>
              </w:rPr>
              <w:t>声级</w:t>
            </w:r>
            <w:r>
              <w:rPr>
                <w:rFonts w:ascii="Times New Roman" w:hAnsi="Times New Roman" w:cs="Times New Roman"/>
                <w:color w:val="auto"/>
                <w:sz w:val="24"/>
                <w:szCs w:val="24"/>
              </w:rPr>
              <w:t>LA</w:t>
            </w:r>
            <w:r>
              <w:rPr>
                <w:rFonts w:hAnsi="Times New Roman" w:cs="Times New Roman"/>
                <w:color w:val="auto"/>
                <w:sz w:val="24"/>
                <w:szCs w:val="24"/>
              </w:rPr>
              <w:t>：</w:t>
            </w:r>
          </w:p>
          <w:p w14:paraId="0AF009DB">
            <w:pPr>
              <w:adjustRightInd w:val="0"/>
              <w:snapToGrid w:val="0"/>
              <w:spacing w:before="120" w:after="120" w:line="0" w:lineRule="atLeast"/>
              <w:jc w:val="center"/>
              <w:rPr>
                <w:rFonts w:ascii="Times New Roman" w:hAnsi="Times New Roman" w:eastAsia="宋体" w:cs="Times New Roman"/>
                <w:i/>
                <w:color w:val="auto"/>
              </w:rPr>
            </w:pPr>
            <w:r>
              <w:rPr>
                <w:rFonts w:ascii="Times New Roman" w:hAnsi="Times New Roman" w:eastAsia="宋体" w:cs="Times New Roman"/>
                <w:color w:val="auto"/>
              </w:rPr>
              <w:drawing>
                <wp:inline distT="0" distB="0" distL="114300" distR="114300">
                  <wp:extent cx="1593850" cy="457200"/>
                  <wp:effectExtent l="0" t="0" r="635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1593850" cy="457200"/>
                          </a:xfrm>
                          <a:prstGeom prst="rect">
                            <a:avLst/>
                          </a:prstGeom>
                          <a:noFill/>
                          <a:ln>
                            <a:noFill/>
                          </a:ln>
                        </pic:spPr>
                      </pic:pic>
                    </a:graphicData>
                  </a:graphic>
                </wp:inline>
              </w:drawing>
            </w:r>
            <w:r>
              <w:rPr>
                <w:rFonts w:ascii="Times New Roman" w:hAnsi="Times New Roman" w:cs="Times New Roman"/>
                <w:i/>
                <w:color w:val="auto"/>
              </w:rPr>
              <w:t xml:space="preserve"> </w:t>
            </w:r>
          </w:p>
          <w:p w14:paraId="75443D20">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式中</w:t>
            </w:r>
            <w:r>
              <w:rPr>
                <w:rFonts w:ascii="Times New Roman" w:hAnsi="Times New Roman" w:cs="Times New Roman"/>
                <w:color w:val="auto"/>
                <w:sz w:val="24"/>
                <w:szCs w:val="24"/>
              </w:rPr>
              <w:t>ΔLi</w:t>
            </w:r>
            <w:r>
              <w:rPr>
                <w:rFonts w:hAnsi="Times New Roman" w:cs="Times New Roman"/>
                <w:color w:val="auto"/>
                <w:sz w:val="24"/>
                <w:szCs w:val="24"/>
              </w:rPr>
              <w:t>为</w:t>
            </w:r>
            <w:r>
              <w:rPr>
                <w:rFonts w:ascii="Times New Roman" w:hAnsi="Times New Roman" w:cs="Times New Roman"/>
                <w:color w:val="auto"/>
                <w:sz w:val="24"/>
                <w:szCs w:val="24"/>
              </w:rPr>
              <w:t>A</w:t>
            </w:r>
            <w:r>
              <w:rPr>
                <w:rFonts w:hAnsi="Times New Roman" w:cs="Times New Roman"/>
                <w:color w:val="auto"/>
                <w:sz w:val="24"/>
                <w:szCs w:val="24"/>
              </w:rPr>
              <w:t>计权网络修正值。</w:t>
            </w:r>
          </w:p>
          <w:p w14:paraId="201C61EC">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④各声源在预测点产生的声级的合成</w:t>
            </w:r>
            <w:r>
              <w:rPr>
                <w:rFonts w:ascii="Times New Roman" w:hAnsi="Times New Roman" w:eastAsia="宋体" w:cs="Times New Roman"/>
                <w:color w:val="auto"/>
                <w:sz w:val="24"/>
                <w:szCs w:val="24"/>
              </w:rPr>
              <w:t xml:space="preserve"> </w:t>
            </w:r>
          </w:p>
          <w:p w14:paraId="583FA1D3">
            <w:pPr>
              <w:adjustRightInd w:val="0"/>
              <w:snapToGrid w:val="0"/>
              <w:spacing w:before="120" w:after="120" w:line="0" w:lineRule="atLeast"/>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1409700" cy="45720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a:stretch>
                            <a:fillRect/>
                          </a:stretch>
                        </pic:blipFill>
                        <pic:spPr>
                          <a:xfrm>
                            <a:off x="0" y="0"/>
                            <a:ext cx="1409700" cy="457200"/>
                          </a:xfrm>
                          <a:prstGeom prst="rect">
                            <a:avLst/>
                          </a:prstGeom>
                          <a:noFill/>
                          <a:ln>
                            <a:noFill/>
                          </a:ln>
                        </pic:spPr>
                      </pic:pic>
                    </a:graphicData>
                  </a:graphic>
                </wp:inline>
              </w:drawing>
            </w:r>
            <w:r>
              <w:rPr>
                <w:rFonts w:ascii="Times New Roman" w:hAnsi="Times New Roman" w:cs="Times New Roman"/>
                <w:color w:val="auto"/>
              </w:rPr>
              <w:t xml:space="preserve"> </w:t>
            </w:r>
          </w:p>
          <w:p w14:paraId="70258F3E">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w:t>
            </w:r>
            <w:r>
              <w:rPr>
                <w:rFonts w:ascii="Times New Roman" w:hAnsi="Times New Roman" w:cs="Times New Roman"/>
                <w:color w:val="auto"/>
                <w:sz w:val="24"/>
                <w:szCs w:val="24"/>
              </w:rPr>
              <w:t>2</w:t>
            </w:r>
            <w:r>
              <w:rPr>
                <w:rFonts w:hAnsi="Times New Roman" w:cs="Times New Roman"/>
                <w:color w:val="auto"/>
                <w:sz w:val="24"/>
                <w:szCs w:val="24"/>
              </w:rPr>
              <w:t>）室内点声源的预测</w:t>
            </w:r>
          </w:p>
          <w:p w14:paraId="6348C36C">
            <w:pPr>
              <w:spacing w:line="500" w:lineRule="exact"/>
              <w:ind w:firstLine="480" w:firstLineChars="200"/>
              <w:rPr>
                <w:rFonts w:hAnsi="Times New Roman" w:cs="Times New Roman"/>
                <w:color w:val="auto"/>
                <w:sz w:val="24"/>
                <w:szCs w:val="24"/>
              </w:rPr>
            </w:pPr>
            <w:r>
              <w:rPr>
                <w:rFonts w:hAnsi="Times New Roman" w:cs="Times New Roman"/>
                <w:color w:val="auto"/>
                <w:sz w:val="24"/>
                <w:szCs w:val="24"/>
              </w:rPr>
              <w:t>①室内靠近围护结构处的倍频带声压级：</w:t>
            </w:r>
          </w:p>
          <w:p w14:paraId="3FDD2D17">
            <w:pPr>
              <w:adjustRightInd w:val="0"/>
              <w:snapToGrid w:val="0"/>
              <w:spacing w:before="120" w:after="120" w:line="0" w:lineRule="atLeast"/>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1955800" cy="482600"/>
                  <wp:effectExtent l="0" t="0" r="635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1955800" cy="482600"/>
                          </a:xfrm>
                          <a:prstGeom prst="rect">
                            <a:avLst/>
                          </a:prstGeom>
                          <a:noFill/>
                          <a:ln>
                            <a:noFill/>
                          </a:ln>
                        </pic:spPr>
                      </pic:pic>
                    </a:graphicData>
                  </a:graphic>
                </wp:inline>
              </w:drawing>
            </w:r>
            <w:r>
              <w:rPr>
                <w:rFonts w:ascii="Times New Roman" w:hAnsi="Times New Roman" w:cs="Times New Roman"/>
                <w:color w:val="auto"/>
              </w:rPr>
              <w:t xml:space="preserve"> </w:t>
            </w:r>
          </w:p>
          <w:p w14:paraId="2FB9C6A6">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式中：</w:t>
            </w:r>
            <w:r>
              <w:rPr>
                <w:rFonts w:ascii="Times New Roman" w:hAnsi="Times New Roman" w:cs="Times New Roman"/>
                <w:color w:val="auto"/>
                <w:sz w:val="24"/>
                <w:szCs w:val="24"/>
              </w:rPr>
              <w:t>r</w:t>
            </w:r>
            <w:r>
              <w:rPr>
                <w:rFonts w:ascii="Times New Roman" w:hAnsi="Times New Roman" w:cs="Times New Roman"/>
                <w:color w:val="auto"/>
                <w:sz w:val="24"/>
                <w:szCs w:val="24"/>
                <w:vertAlign w:val="subscript"/>
              </w:rPr>
              <w:t>1</w:t>
            </w:r>
            <w:r>
              <w:rPr>
                <w:rFonts w:hAnsi="Times New Roman" w:cs="Times New Roman"/>
                <w:color w:val="auto"/>
                <w:sz w:val="24"/>
                <w:szCs w:val="24"/>
              </w:rPr>
              <w:t>为室</w:t>
            </w:r>
            <w:r>
              <w:rPr>
                <w:rFonts w:hint="eastAsia" w:cs="Times New Roman"/>
                <w:color w:val="auto"/>
                <w:sz w:val="24"/>
                <w:szCs w:val="24"/>
                <w:lang w:eastAsia="zh-CN"/>
              </w:rPr>
              <w:t>内火</w:t>
            </w:r>
            <w:r>
              <w:rPr>
                <w:rFonts w:hAnsi="Times New Roman" w:cs="Times New Roman"/>
                <w:color w:val="auto"/>
                <w:sz w:val="24"/>
                <w:szCs w:val="24"/>
              </w:rPr>
              <w:t>源距离围护结构的距离；</w:t>
            </w:r>
          </w:p>
          <w:p w14:paraId="4D1F1D68">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R</w:t>
            </w:r>
            <w:r>
              <w:rPr>
                <w:rFonts w:hAnsi="Times New Roman" w:cs="Times New Roman"/>
                <w:color w:val="auto"/>
                <w:sz w:val="24"/>
                <w:szCs w:val="24"/>
              </w:rPr>
              <w:t>为房间常数；</w:t>
            </w:r>
          </w:p>
          <w:p w14:paraId="1279DCA8">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Q</w:t>
            </w:r>
            <w:r>
              <w:rPr>
                <w:rFonts w:hAnsi="Times New Roman" w:cs="Times New Roman"/>
                <w:color w:val="auto"/>
                <w:sz w:val="24"/>
                <w:szCs w:val="24"/>
              </w:rPr>
              <w:t>为方向性因子。</w:t>
            </w:r>
          </w:p>
          <w:p w14:paraId="62BFCD33">
            <w:pPr>
              <w:spacing w:line="500" w:lineRule="exact"/>
              <w:ind w:firstLine="480" w:firstLineChars="200"/>
              <w:rPr>
                <w:rFonts w:ascii="Times New Roman" w:hAnsi="Times New Roman" w:eastAsia="宋体" w:cs="Times New Roman"/>
                <w:color w:val="auto"/>
                <w:sz w:val="24"/>
                <w:szCs w:val="24"/>
              </w:rPr>
            </w:pPr>
            <w:r>
              <w:rPr>
                <w:rFonts w:hAnsi="Times New Roman" w:cs="Times New Roman"/>
                <w:color w:val="auto"/>
                <w:sz w:val="24"/>
                <w:szCs w:val="24"/>
              </w:rPr>
              <w:t>②室内声源在靠近围护结构处产生的总倍频带声压级：</w:t>
            </w:r>
          </w:p>
          <w:p w14:paraId="369B52ED">
            <w:pPr>
              <w:adjustRightInd w:val="0"/>
              <w:snapToGrid w:val="0"/>
              <w:spacing w:before="120" w:after="120" w:line="0" w:lineRule="atLeast"/>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1835785" cy="457200"/>
                  <wp:effectExtent l="0" t="0" r="1206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3"/>
                          <a:stretch>
                            <a:fillRect/>
                          </a:stretch>
                        </pic:blipFill>
                        <pic:spPr>
                          <a:xfrm>
                            <a:off x="0" y="0"/>
                            <a:ext cx="1835785" cy="457200"/>
                          </a:xfrm>
                          <a:prstGeom prst="rect">
                            <a:avLst/>
                          </a:prstGeom>
                          <a:noFill/>
                          <a:ln>
                            <a:noFill/>
                          </a:ln>
                        </pic:spPr>
                      </pic:pic>
                    </a:graphicData>
                  </a:graphic>
                </wp:inline>
              </w:drawing>
            </w:r>
            <w:r>
              <w:rPr>
                <w:rFonts w:ascii="Times New Roman" w:hAnsi="Times New Roman" w:cs="Times New Roman"/>
                <w:color w:val="auto"/>
              </w:rPr>
              <w:t xml:space="preserve"> </w:t>
            </w:r>
          </w:p>
          <w:p w14:paraId="3A8FFE5D">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③室外靠近围护结构处的总的声压级：</w:t>
            </w:r>
          </w:p>
          <w:p w14:paraId="11628EC5">
            <w:pPr>
              <w:spacing w:line="500" w:lineRule="exact"/>
              <w:jc w:val="center"/>
              <w:rPr>
                <w:rFonts w:ascii="Times New Roman" w:hAnsi="Times New Roman" w:cs="Times New Roman"/>
                <w:color w:val="auto"/>
                <w:sz w:val="24"/>
                <w:szCs w:val="24"/>
              </w:rPr>
            </w:pP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oct,1</w:t>
            </w:r>
            <w:r>
              <w:rPr>
                <w:rFonts w:hAnsi="Times New Roman" w:cs="Times New Roman"/>
                <w:color w:val="auto"/>
                <w:sz w:val="24"/>
                <w:szCs w:val="24"/>
              </w:rPr>
              <w:t>（</w:t>
            </w:r>
            <w:r>
              <w:rPr>
                <w:rFonts w:ascii="Times New Roman" w:hAnsi="Times New Roman" w:cs="Times New Roman"/>
                <w:color w:val="auto"/>
                <w:sz w:val="24"/>
                <w:szCs w:val="24"/>
              </w:rPr>
              <w:t>T</w:t>
            </w:r>
            <w:r>
              <w:rPr>
                <w:rFonts w:hAnsi="Times New Roman" w:cs="Times New Roman"/>
                <w:color w:val="auto"/>
                <w:sz w:val="24"/>
                <w:szCs w:val="24"/>
              </w:rPr>
              <w:t>）</w:t>
            </w:r>
            <w:r>
              <w:rPr>
                <w:rFonts w:ascii="Times New Roman" w:hAnsi="Times New Roman" w:cs="Times New Roman"/>
                <w:color w:val="auto"/>
                <w:sz w:val="24"/>
                <w:szCs w:val="24"/>
              </w:rPr>
              <w:t>=L0</w:t>
            </w:r>
            <w:r>
              <w:rPr>
                <w:rFonts w:ascii="Times New Roman" w:hAnsi="Times New Roman" w:cs="Times New Roman"/>
                <w:color w:val="auto"/>
                <w:sz w:val="24"/>
                <w:szCs w:val="24"/>
                <w:vertAlign w:val="subscript"/>
              </w:rPr>
              <w:t>ct,1</w:t>
            </w:r>
            <w:r>
              <w:rPr>
                <w:rFonts w:hAnsi="Times New Roman" w:cs="Times New Roman"/>
                <w:color w:val="auto"/>
                <w:sz w:val="24"/>
                <w:szCs w:val="24"/>
              </w:rPr>
              <w:t>（</w:t>
            </w:r>
            <w:r>
              <w:rPr>
                <w:rFonts w:ascii="Times New Roman" w:hAnsi="Times New Roman" w:cs="Times New Roman"/>
                <w:color w:val="auto"/>
                <w:sz w:val="24"/>
                <w:szCs w:val="24"/>
              </w:rPr>
              <w:t>T</w:t>
            </w:r>
            <w:r>
              <w:rPr>
                <w:rFonts w:hAnsi="Times New Roman" w:cs="Times New Roman"/>
                <w:color w:val="auto"/>
                <w:sz w:val="24"/>
                <w:szCs w:val="24"/>
              </w:rPr>
              <w:t>）</w:t>
            </w:r>
            <w:r>
              <w:rPr>
                <w:rFonts w:ascii="Times New Roman" w:hAnsi="Times New Roman" w:cs="Times New Roman"/>
                <w:color w:val="auto"/>
                <w:sz w:val="24"/>
                <w:szCs w:val="24"/>
              </w:rPr>
              <w:t>-</w:t>
            </w:r>
            <w:r>
              <w:rPr>
                <w:rFonts w:hAnsi="Times New Roman" w:cs="Times New Roman"/>
                <w:color w:val="auto"/>
                <w:sz w:val="24"/>
                <w:szCs w:val="24"/>
              </w:rPr>
              <w:t>（</w:t>
            </w:r>
            <w:r>
              <w:rPr>
                <w:rFonts w:ascii="Times New Roman" w:hAnsi="Times New Roman" w:cs="Times New Roman"/>
                <w:color w:val="auto"/>
                <w:sz w:val="24"/>
                <w:szCs w:val="24"/>
              </w:rPr>
              <w:t>T</w:t>
            </w:r>
            <w:r>
              <w:rPr>
                <w:rFonts w:ascii="Times New Roman" w:hAnsi="Times New Roman" w:cs="Times New Roman"/>
                <w:color w:val="auto"/>
                <w:sz w:val="24"/>
                <w:szCs w:val="24"/>
                <w:vertAlign w:val="subscript"/>
              </w:rPr>
              <w:t>loct</w:t>
            </w:r>
            <w:r>
              <w:rPr>
                <w:rFonts w:ascii="Times New Roman" w:hAnsi="Times New Roman" w:cs="Times New Roman"/>
                <w:color w:val="auto"/>
                <w:sz w:val="24"/>
                <w:szCs w:val="24"/>
              </w:rPr>
              <w:t>+6</w:t>
            </w:r>
            <w:r>
              <w:rPr>
                <w:rFonts w:hAnsi="Times New Roman" w:cs="Times New Roman"/>
                <w:color w:val="auto"/>
                <w:sz w:val="24"/>
                <w:szCs w:val="24"/>
              </w:rPr>
              <w:t>）</w:t>
            </w:r>
          </w:p>
          <w:p w14:paraId="69F03C51">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④室外声压级换算成等效的室外声源：</w:t>
            </w:r>
          </w:p>
          <w:p w14:paraId="5F8D104F">
            <w:pPr>
              <w:spacing w:line="500" w:lineRule="exact"/>
              <w:jc w:val="center"/>
              <w:rPr>
                <w:rFonts w:ascii="Times New Roman" w:hAnsi="Times New Roman" w:cs="Times New Roman"/>
                <w:color w:val="auto"/>
                <w:sz w:val="24"/>
                <w:szCs w:val="24"/>
              </w:rPr>
            </w:pP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woct</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oct,2</w:t>
            </w:r>
            <w:r>
              <w:rPr>
                <w:rFonts w:hAnsi="Times New Roman" w:cs="Times New Roman"/>
                <w:color w:val="auto"/>
                <w:sz w:val="24"/>
                <w:szCs w:val="24"/>
              </w:rPr>
              <w:t>（</w:t>
            </w:r>
            <w:r>
              <w:rPr>
                <w:rFonts w:ascii="Times New Roman" w:hAnsi="Times New Roman" w:cs="Times New Roman"/>
                <w:color w:val="auto"/>
                <w:sz w:val="24"/>
                <w:szCs w:val="24"/>
              </w:rPr>
              <w:t>T</w:t>
            </w:r>
            <w:r>
              <w:rPr>
                <w:rFonts w:hAnsi="Times New Roman" w:cs="Times New Roman"/>
                <w:color w:val="auto"/>
                <w:sz w:val="24"/>
                <w:szCs w:val="24"/>
              </w:rPr>
              <w:t>）</w:t>
            </w:r>
            <w:r>
              <w:rPr>
                <w:rFonts w:ascii="Times New Roman" w:hAnsi="Times New Roman" w:cs="Times New Roman"/>
                <w:color w:val="auto"/>
                <w:sz w:val="24"/>
                <w:szCs w:val="24"/>
              </w:rPr>
              <w:t>+10lgS</w:t>
            </w:r>
          </w:p>
          <w:p w14:paraId="05322B93">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式中：</w:t>
            </w:r>
            <w:r>
              <w:rPr>
                <w:rFonts w:ascii="Times New Roman" w:hAnsi="Times New Roman" w:cs="Times New Roman"/>
                <w:color w:val="auto"/>
                <w:sz w:val="24"/>
                <w:szCs w:val="24"/>
              </w:rPr>
              <w:t>S</w:t>
            </w:r>
            <w:r>
              <w:rPr>
                <w:rFonts w:hAnsi="Times New Roman" w:cs="Times New Roman"/>
                <w:color w:val="auto"/>
                <w:sz w:val="24"/>
                <w:szCs w:val="24"/>
              </w:rPr>
              <w:t>为透声面积。</w:t>
            </w:r>
          </w:p>
          <w:p w14:paraId="14BF6159">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⑤等效室外声源的位置为围护结构的位置，其倍频带声功率级为</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woct</w:t>
            </w:r>
            <w:r>
              <w:rPr>
                <w:rFonts w:hAnsi="Times New Roman" w:cs="Times New Roman"/>
                <w:color w:val="auto"/>
                <w:sz w:val="24"/>
                <w:szCs w:val="24"/>
              </w:rPr>
              <w:t>，由此按室外声源方法计算等效室外声源在预测点产生的声级。</w:t>
            </w:r>
          </w:p>
          <w:p w14:paraId="1CBF0FB8">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⑥声压级合成公式</w:t>
            </w:r>
          </w:p>
          <w:p w14:paraId="4F3C7AF8">
            <w:pPr>
              <w:spacing w:line="500" w:lineRule="exact"/>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n</w:t>
            </w:r>
            <w:r>
              <w:rPr>
                <w:rFonts w:hAnsi="Times New Roman" w:cs="Times New Roman"/>
                <w:color w:val="auto"/>
                <w:sz w:val="24"/>
                <w:szCs w:val="24"/>
              </w:rPr>
              <w:t>个声压级</w:t>
            </w:r>
            <w:r>
              <w:rPr>
                <w:rFonts w:ascii="Times New Roman" w:hAnsi="Times New Roman" w:cs="Times New Roman"/>
                <w:color w:val="auto"/>
                <w:sz w:val="24"/>
                <w:szCs w:val="24"/>
              </w:rPr>
              <w:t>L</w:t>
            </w:r>
            <w:r>
              <w:rPr>
                <w:rFonts w:ascii="Times New Roman" w:hAnsi="Times New Roman" w:cs="Times New Roman"/>
                <w:color w:val="auto"/>
                <w:sz w:val="24"/>
                <w:szCs w:val="24"/>
                <w:vertAlign w:val="subscript"/>
              </w:rPr>
              <w:t>i</w:t>
            </w:r>
            <w:r>
              <w:rPr>
                <w:rFonts w:hAnsi="Times New Roman" w:cs="Times New Roman"/>
                <w:color w:val="auto"/>
                <w:sz w:val="24"/>
                <w:szCs w:val="24"/>
              </w:rPr>
              <w:t>合成后总声压级</w:t>
            </w:r>
            <w:r>
              <w:rPr>
                <w:rFonts w:ascii="Times New Roman" w:hAnsi="Times New Roman" w:cs="Times New Roman"/>
                <w:color w:val="auto"/>
                <w:sz w:val="24"/>
                <w:szCs w:val="24"/>
              </w:rPr>
              <w:t>Lp</w:t>
            </w:r>
            <w:r>
              <w:rPr>
                <w:rFonts w:hAnsi="Times New Roman" w:cs="Times New Roman"/>
                <w:color w:val="auto"/>
                <w:sz w:val="24"/>
                <w:szCs w:val="24"/>
              </w:rPr>
              <w:t>总计算公式</w:t>
            </w:r>
          </w:p>
          <w:p w14:paraId="01ACF7FE">
            <w:pPr>
              <w:jc w:val="center"/>
              <w:rPr>
                <w:rFonts w:ascii="Times New Roman" w:hAnsi="Times New Roman" w:cs="Times New Roman"/>
                <w:color w:val="auto"/>
              </w:rPr>
            </w:pPr>
            <w:r>
              <w:rPr>
                <w:rFonts w:ascii="Times New Roman" w:hAnsi="Times New Roman" w:eastAsia="宋体" w:cs="Times New Roman"/>
                <w:color w:val="auto"/>
              </w:rPr>
              <w:drawing>
                <wp:inline distT="0" distB="0" distL="114300" distR="114300">
                  <wp:extent cx="203200" cy="247650"/>
                  <wp:effectExtent l="0" t="0" r="635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4"/>
                          <a:stretch>
                            <a:fillRect/>
                          </a:stretch>
                        </pic:blipFill>
                        <pic:spPr>
                          <a:xfrm>
                            <a:off x="0" y="0"/>
                            <a:ext cx="203200" cy="247650"/>
                          </a:xfrm>
                          <a:prstGeom prst="rect">
                            <a:avLst/>
                          </a:prstGeom>
                          <a:noFill/>
                          <a:ln>
                            <a:noFill/>
                          </a:ln>
                        </pic:spPr>
                      </pic:pic>
                    </a:graphicData>
                  </a:graphic>
                </wp:inline>
              </w:drawing>
            </w:r>
            <w:r>
              <w:rPr>
                <w:rFonts w:hAnsi="Times New Roman" w:cs="Times New Roman"/>
                <w:color w:val="auto"/>
                <w:vertAlign w:val="subscript"/>
              </w:rPr>
              <w:t>总</w:t>
            </w:r>
            <w:r>
              <w:rPr>
                <w:rFonts w:hAnsi="Times New Roman" w:cs="Times New Roman"/>
                <w:color w:val="auto"/>
              </w:rPr>
              <w:t>＝</w:t>
            </w:r>
            <w:r>
              <w:rPr>
                <w:rFonts w:ascii="Times New Roman" w:hAnsi="Times New Roman" w:eastAsia="宋体" w:cs="Times New Roman"/>
                <w:color w:val="auto"/>
              </w:rPr>
              <w:drawing>
                <wp:inline distT="0" distB="0" distL="114300" distR="114300">
                  <wp:extent cx="1009650" cy="457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1009650" cy="457200"/>
                          </a:xfrm>
                          <a:prstGeom prst="rect">
                            <a:avLst/>
                          </a:prstGeom>
                          <a:noFill/>
                          <a:ln>
                            <a:noFill/>
                          </a:ln>
                        </pic:spPr>
                      </pic:pic>
                    </a:graphicData>
                  </a:graphic>
                </wp:inline>
              </w:drawing>
            </w:r>
          </w:p>
          <w:p w14:paraId="0A02C630">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w:t>
            </w:r>
            <w:r>
              <w:rPr>
                <w:rFonts w:ascii="Times New Roman" w:hAnsi="Times New Roman" w:cs="Times New Roman"/>
                <w:color w:val="auto"/>
                <w:sz w:val="24"/>
                <w:szCs w:val="24"/>
              </w:rPr>
              <w:t>3</w:t>
            </w:r>
            <w:r>
              <w:rPr>
                <w:rFonts w:hAnsi="Times New Roman" w:cs="Times New Roman"/>
                <w:color w:val="auto"/>
                <w:sz w:val="24"/>
                <w:szCs w:val="24"/>
              </w:rPr>
              <w:t>）噪声预测值计算公式</w:t>
            </w:r>
          </w:p>
          <w:p w14:paraId="4BE7597A">
            <w:pPr>
              <w:spacing w:line="500" w:lineRule="exact"/>
              <w:jc w:val="center"/>
              <w:rPr>
                <w:rFonts w:ascii="Times New Roman" w:hAnsi="Times New Roman" w:cs="Times New Roman"/>
                <w:color w:val="auto"/>
                <w:sz w:val="24"/>
                <w:szCs w:val="24"/>
              </w:rPr>
            </w:pPr>
            <w:r>
              <w:rPr>
                <w:rFonts w:ascii="Times New Roman" w:hAnsi="Times New Roman" w:cs="Times New Roman"/>
                <w:color w:val="auto"/>
                <w:sz w:val="24"/>
                <w:szCs w:val="24"/>
              </w:rPr>
              <w:t>L</w:t>
            </w:r>
            <w:r>
              <w:rPr>
                <w:rFonts w:hAnsi="Times New Roman" w:cs="Times New Roman"/>
                <w:color w:val="auto"/>
                <w:sz w:val="24"/>
                <w:szCs w:val="24"/>
                <w:vertAlign w:val="subscript"/>
              </w:rPr>
              <w:t>预</w:t>
            </w:r>
            <w:r>
              <w:rPr>
                <w:rFonts w:hAnsi="Times New Roman" w:cs="Times New Roman"/>
                <w:color w:val="auto"/>
                <w:sz w:val="24"/>
                <w:szCs w:val="24"/>
              </w:rPr>
              <w:t>＝</w:t>
            </w:r>
            <w:r>
              <w:rPr>
                <w:rFonts w:ascii="Times New Roman" w:hAnsi="Times New Roman" w:cs="Times New Roman"/>
                <w:color w:val="auto"/>
                <w:sz w:val="24"/>
                <w:szCs w:val="24"/>
              </w:rPr>
              <w:t>L</w:t>
            </w:r>
            <w:r>
              <w:rPr>
                <w:rFonts w:hAnsi="Times New Roman" w:cs="Times New Roman"/>
                <w:color w:val="auto"/>
                <w:sz w:val="24"/>
                <w:szCs w:val="24"/>
                <w:vertAlign w:val="subscript"/>
              </w:rPr>
              <w:t>新</w:t>
            </w:r>
            <w:r>
              <w:rPr>
                <w:rFonts w:hAnsi="Times New Roman" w:cs="Times New Roman"/>
                <w:color w:val="auto"/>
                <w:sz w:val="24"/>
                <w:szCs w:val="24"/>
              </w:rPr>
              <w:t>＋</w:t>
            </w:r>
            <w:r>
              <w:rPr>
                <w:rFonts w:ascii="Times New Roman" w:hAnsi="Times New Roman" w:cs="Times New Roman"/>
                <w:color w:val="auto"/>
                <w:sz w:val="24"/>
                <w:szCs w:val="24"/>
              </w:rPr>
              <w:t>L</w:t>
            </w:r>
            <w:r>
              <w:rPr>
                <w:rFonts w:hAnsi="Times New Roman" w:cs="Times New Roman"/>
                <w:color w:val="auto"/>
                <w:sz w:val="24"/>
                <w:szCs w:val="24"/>
                <w:vertAlign w:val="subscript"/>
              </w:rPr>
              <w:t>背景</w:t>
            </w:r>
          </w:p>
          <w:p w14:paraId="0B3B25F1">
            <w:pPr>
              <w:spacing w:line="500" w:lineRule="exact"/>
              <w:ind w:firstLine="480" w:firstLineChars="200"/>
              <w:rPr>
                <w:rFonts w:ascii="Times New Roman" w:hAnsi="Times New Roman" w:cs="Times New Roman"/>
                <w:color w:val="auto"/>
                <w:sz w:val="24"/>
                <w:szCs w:val="24"/>
              </w:rPr>
            </w:pPr>
            <w:r>
              <w:rPr>
                <w:rFonts w:hAnsi="Times New Roman" w:cs="Times New Roman"/>
                <w:color w:val="auto"/>
                <w:sz w:val="24"/>
                <w:szCs w:val="24"/>
              </w:rPr>
              <w:t>式中：</w:t>
            </w:r>
            <w:r>
              <w:rPr>
                <w:rFonts w:ascii="Times New Roman" w:hAnsi="Times New Roman" w:cs="Times New Roman"/>
                <w:color w:val="auto"/>
                <w:sz w:val="24"/>
                <w:szCs w:val="24"/>
              </w:rPr>
              <w:t>L</w:t>
            </w:r>
            <w:r>
              <w:rPr>
                <w:rFonts w:hAnsi="Times New Roman" w:cs="Times New Roman"/>
                <w:color w:val="auto"/>
                <w:sz w:val="24"/>
                <w:szCs w:val="24"/>
                <w:vertAlign w:val="subscript"/>
              </w:rPr>
              <w:t>预</w:t>
            </w:r>
            <w:r>
              <w:rPr>
                <w:rFonts w:hAnsi="Times New Roman" w:cs="Times New Roman"/>
                <w:color w:val="auto"/>
                <w:sz w:val="24"/>
                <w:szCs w:val="24"/>
              </w:rPr>
              <w:t>——噪声预测值；</w:t>
            </w:r>
          </w:p>
          <w:p w14:paraId="6A7002AE">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L</w:t>
            </w:r>
            <w:r>
              <w:rPr>
                <w:rFonts w:hAnsi="Times New Roman" w:cs="Times New Roman"/>
                <w:color w:val="auto"/>
                <w:sz w:val="24"/>
                <w:szCs w:val="24"/>
                <w:vertAlign w:val="subscript"/>
              </w:rPr>
              <w:t>新</w:t>
            </w:r>
            <w:r>
              <w:rPr>
                <w:rFonts w:hAnsi="Times New Roman" w:cs="Times New Roman"/>
                <w:color w:val="auto"/>
                <w:sz w:val="24"/>
                <w:szCs w:val="24"/>
              </w:rPr>
              <w:t>——声源增加的声级；</w:t>
            </w:r>
          </w:p>
          <w:p w14:paraId="5EC4F74F">
            <w:pPr>
              <w:spacing w:line="500" w:lineRule="exact"/>
              <w:ind w:firstLine="1200" w:firstLineChars="500"/>
              <w:rPr>
                <w:rFonts w:ascii="Times New Roman" w:hAnsi="Times New Roman" w:cs="Times New Roman"/>
                <w:color w:val="auto"/>
                <w:sz w:val="24"/>
                <w:szCs w:val="24"/>
              </w:rPr>
            </w:pPr>
            <w:r>
              <w:rPr>
                <w:rFonts w:ascii="Times New Roman" w:hAnsi="Times New Roman" w:cs="Times New Roman"/>
                <w:color w:val="auto"/>
                <w:sz w:val="24"/>
                <w:szCs w:val="24"/>
              </w:rPr>
              <w:t>L</w:t>
            </w:r>
            <w:r>
              <w:rPr>
                <w:rFonts w:hAnsi="Times New Roman" w:cs="Times New Roman"/>
                <w:color w:val="auto"/>
                <w:sz w:val="24"/>
                <w:szCs w:val="24"/>
                <w:vertAlign w:val="subscript"/>
              </w:rPr>
              <w:t>背景</w:t>
            </w:r>
            <w:r>
              <w:rPr>
                <w:rFonts w:hAnsi="Times New Roman" w:cs="Times New Roman"/>
                <w:color w:val="auto"/>
                <w:sz w:val="24"/>
                <w:szCs w:val="24"/>
              </w:rPr>
              <w:t>——噪声的背景值。</w:t>
            </w:r>
          </w:p>
          <w:p w14:paraId="381F8CDB">
            <w:pPr>
              <w:widowControl/>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建设项目主要设备噪声源强见表4.3-1、表4.3-2，厂界噪声预测结果见表4.3-3。</w:t>
            </w:r>
          </w:p>
          <w:p w14:paraId="409BFC67">
            <w:pPr>
              <w:autoSpaceDE w:val="0"/>
              <w:autoSpaceDN w:val="0"/>
              <w:adjustRightInd w:val="0"/>
              <w:snapToGrid w:val="0"/>
              <w:jc w:val="center"/>
              <w:rPr>
                <w:rFonts w:eastAsiaTheme="minorEastAsia"/>
                <w:b/>
                <w:color w:val="auto"/>
                <w:kern w:val="0"/>
                <w:sz w:val="24"/>
              </w:rPr>
            </w:pPr>
            <w:r>
              <w:rPr>
                <w:rFonts w:eastAsiaTheme="minorEastAsia"/>
                <w:b/>
                <w:color w:val="auto"/>
                <w:kern w:val="0"/>
                <w:sz w:val="24"/>
              </w:rPr>
              <w:t>表4.3-3  厂界</w:t>
            </w:r>
            <w:r>
              <w:rPr>
                <w:rFonts w:eastAsiaTheme="minorEastAsia"/>
                <w:b/>
                <w:color w:val="auto"/>
                <w:spacing w:val="-3"/>
                <w:kern w:val="0"/>
                <w:sz w:val="24"/>
              </w:rPr>
              <w:t>噪</w:t>
            </w:r>
            <w:r>
              <w:rPr>
                <w:rFonts w:eastAsiaTheme="minorEastAsia"/>
                <w:b/>
                <w:color w:val="auto"/>
                <w:kern w:val="0"/>
                <w:sz w:val="24"/>
              </w:rPr>
              <w:t>声</w:t>
            </w:r>
            <w:r>
              <w:rPr>
                <w:rFonts w:eastAsiaTheme="minorEastAsia"/>
                <w:b/>
                <w:color w:val="auto"/>
                <w:spacing w:val="-3"/>
                <w:kern w:val="0"/>
                <w:sz w:val="24"/>
              </w:rPr>
              <w:t>预</w:t>
            </w:r>
            <w:r>
              <w:rPr>
                <w:rFonts w:eastAsiaTheme="minorEastAsia"/>
                <w:b/>
                <w:color w:val="auto"/>
                <w:kern w:val="0"/>
                <w:sz w:val="24"/>
              </w:rPr>
              <w:t>测</w:t>
            </w:r>
            <w:r>
              <w:rPr>
                <w:rFonts w:eastAsiaTheme="minorEastAsia"/>
                <w:b/>
                <w:color w:val="auto"/>
                <w:spacing w:val="-3"/>
                <w:kern w:val="0"/>
                <w:sz w:val="24"/>
              </w:rPr>
              <w:t>结</w:t>
            </w:r>
            <w:r>
              <w:rPr>
                <w:rFonts w:eastAsiaTheme="minorEastAsia"/>
                <w:b/>
                <w:color w:val="auto"/>
                <w:kern w:val="0"/>
                <w:sz w:val="24"/>
              </w:rPr>
              <w:t>果</w:t>
            </w:r>
            <w:r>
              <w:rPr>
                <w:rFonts w:eastAsiaTheme="minorEastAsia"/>
                <w:b/>
                <w:color w:val="auto"/>
                <w:spacing w:val="-3"/>
                <w:kern w:val="0"/>
                <w:sz w:val="24"/>
              </w:rPr>
              <w:t>与</w:t>
            </w:r>
            <w:r>
              <w:rPr>
                <w:rFonts w:eastAsiaTheme="minorEastAsia"/>
                <w:b/>
                <w:color w:val="auto"/>
                <w:kern w:val="0"/>
                <w:sz w:val="24"/>
              </w:rPr>
              <w:t>达标</w:t>
            </w:r>
            <w:r>
              <w:rPr>
                <w:rFonts w:eastAsiaTheme="minorEastAsia"/>
                <w:b/>
                <w:color w:val="auto"/>
                <w:spacing w:val="-3"/>
                <w:kern w:val="0"/>
                <w:sz w:val="24"/>
              </w:rPr>
              <w:t>分</w:t>
            </w:r>
            <w:r>
              <w:rPr>
                <w:rFonts w:eastAsiaTheme="minorEastAsia"/>
                <w:b/>
                <w:color w:val="auto"/>
                <w:kern w:val="0"/>
                <w:sz w:val="24"/>
              </w:rPr>
              <w:t>析表</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824"/>
              <w:gridCol w:w="1051"/>
              <w:gridCol w:w="1186"/>
              <w:gridCol w:w="913"/>
              <w:gridCol w:w="1047"/>
              <w:gridCol w:w="1047"/>
              <w:gridCol w:w="1043"/>
            </w:tblGrid>
            <w:tr w14:paraId="26CC9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14:paraId="63DAB42B">
                  <w:pPr>
                    <w:adjustRightInd w:val="0"/>
                    <w:snapToGrid w:val="0"/>
                    <w:jc w:val="center"/>
                    <w:rPr>
                      <w:rFonts w:eastAsiaTheme="minorEastAsia"/>
                      <w:b/>
                      <w:color w:val="auto"/>
                      <w:szCs w:val="21"/>
                    </w:rPr>
                  </w:pPr>
                  <w:r>
                    <w:rPr>
                      <w:rFonts w:eastAsiaTheme="minorEastAsia"/>
                      <w:b/>
                      <w:color w:val="auto"/>
                      <w:szCs w:val="21"/>
                    </w:rPr>
                    <w:t>预测方位</w:t>
                  </w:r>
                </w:p>
              </w:tc>
              <w:tc>
                <w:tcPr>
                  <w:tcW w:w="1824" w:type="pct"/>
                  <w:gridSpan w:val="3"/>
                  <w:vAlign w:val="center"/>
                </w:tcPr>
                <w:p w14:paraId="5598D89E">
                  <w:pPr>
                    <w:adjustRightInd w:val="0"/>
                    <w:snapToGrid w:val="0"/>
                    <w:jc w:val="center"/>
                    <w:rPr>
                      <w:rFonts w:eastAsiaTheme="minorEastAsia"/>
                      <w:b/>
                      <w:color w:val="auto"/>
                      <w:szCs w:val="21"/>
                    </w:rPr>
                  </w:pPr>
                  <w:r>
                    <w:rPr>
                      <w:rFonts w:eastAsiaTheme="minorEastAsia"/>
                      <w:b/>
                      <w:color w:val="auto"/>
                      <w:szCs w:val="21"/>
                    </w:rPr>
                    <w:t>空间相对位置/m</w:t>
                  </w:r>
                </w:p>
              </w:tc>
              <w:tc>
                <w:tcPr>
                  <w:tcW w:w="544" w:type="pct"/>
                  <w:vMerge w:val="restart"/>
                  <w:vAlign w:val="center"/>
                </w:tcPr>
                <w:p w14:paraId="4C4A8EDA">
                  <w:pPr>
                    <w:adjustRightInd w:val="0"/>
                    <w:snapToGrid w:val="0"/>
                    <w:jc w:val="center"/>
                    <w:rPr>
                      <w:rFonts w:eastAsiaTheme="minorEastAsia"/>
                      <w:b/>
                      <w:color w:val="auto"/>
                      <w:szCs w:val="21"/>
                    </w:rPr>
                  </w:pPr>
                  <w:r>
                    <w:rPr>
                      <w:rFonts w:eastAsiaTheme="minorEastAsia"/>
                      <w:b/>
                      <w:color w:val="auto"/>
                      <w:szCs w:val="21"/>
                    </w:rPr>
                    <w:t>时段</w:t>
                  </w:r>
                </w:p>
              </w:tc>
              <w:tc>
                <w:tcPr>
                  <w:tcW w:w="624" w:type="pct"/>
                  <w:vMerge w:val="restart"/>
                  <w:vAlign w:val="center"/>
                </w:tcPr>
                <w:p w14:paraId="02F9FDB7">
                  <w:pPr>
                    <w:adjustRightInd w:val="0"/>
                    <w:snapToGrid w:val="0"/>
                    <w:jc w:val="center"/>
                    <w:rPr>
                      <w:rFonts w:eastAsiaTheme="minorEastAsia"/>
                      <w:b/>
                      <w:color w:val="auto"/>
                      <w:szCs w:val="21"/>
                    </w:rPr>
                  </w:pPr>
                  <w:r>
                    <w:rPr>
                      <w:rFonts w:eastAsiaTheme="minorEastAsia"/>
                      <w:b/>
                      <w:color w:val="auto"/>
                      <w:szCs w:val="21"/>
                    </w:rPr>
                    <w:t>贡献值</w:t>
                  </w:r>
                </w:p>
                <w:p w14:paraId="26DAC60C">
                  <w:pPr>
                    <w:adjustRightInd w:val="0"/>
                    <w:snapToGrid w:val="0"/>
                    <w:jc w:val="center"/>
                    <w:rPr>
                      <w:rFonts w:eastAsiaTheme="minorEastAsia"/>
                      <w:b/>
                      <w:color w:val="auto"/>
                      <w:szCs w:val="21"/>
                    </w:rPr>
                  </w:pPr>
                  <w:r>
                    <w:rPr>
                      <w:rFonts w:eastAsiaTheme="minorEastAsia"/>
                      <w:b/>
                      <w:color w:val="auto"/>
                      <w:szCs w:val="21"/>
                    </w:rPr>
                    <w:t>（dB（A））</w:t>
                  </w:r>
                </w:p>
              </w:tc>
              <w:tc>
                <w:tcPr>
                  <w:tcW w:w="624" w:type="pct"/>
                  <w:vMerge w:val="restart"/>
                  <w:vAlign w:val="center"/>
                </w:tcPr>
                <w:p w14:paraId="2D10548E">
                  <w:pPr>
                    <w:adjustRightInd w:val="0"/>
                    <w:snapToGrid w:val="0"/>
                    <w:jc w:val="center"/>
                    <w:rPr>
                      <w:rFonts w:eastAsiaTheme="minorEastAsia"/>
                      <w:b/>
                      <w:color w:val="auto"/>
                      <w:szCs w:val="21"/>
                    </w:rPr>
                  </w:pPr>
                  <w:r>
                    <w:rPr>
                      <w:rFonts w:eastAsiaTheme="minorEastAsia"/>
                      <w:b/>
                      <w:color w:val="auto"/>
                      <w:szCs w:val="21"/>
                    </w:rPr>
                    <w:t>标准限值</w:t>
                  </w:r>
                </w:p>
                <w:p w14:paraId="4E9ADB51">
                  <w:pPr>
                    <w:adjustRightInd w:val="0"/>
                    <w:snapToGrid w:val="0"/>
                    <w:jc w:val="center"/>
                    <w:rPr>
                      <w:rFonts w:eastAsiaTheme="minorEastAsia"/>
                      <w:b/>
                      <w:color w:val="auto"/>
                      <w:szCs w:val="21"/>
                    </w:rPr>
                  </w:pPr>
                  <w:r>
                    <w:rPr>
                      <w:rFonts w:eastAsiaTheme="minorEastAsia"/>
                      <w:b/>
                      <w:color w:val="auto"/>
                      <w:szCs w:val="21"/>
                    </w:rPr>
                    <w:t>（dB（A））</w:t>
                  </w:r>
                </w:p>
              </w:tc>
              <w:tc>
                <w:tcPr>
                  <w:tcW w:w="621" w:type="pct"/>
                  <w:vMerge w:val="restart"/>
                  <w:vAlign w:val="center"/>
                </w:tcPr>
                <w:p w14:paraId="32E7AA5B">
                  <w:pPr>
                    <w:adjustRightInd w:val="0"/>
                    <w:snapToGrid w:val="0"/>
                    <w:jc w:val="center"/>
                    <w:rPr>
                      <w:rFonts w:eastAsiaTheme="minorEastAsia"/>
                      <w:b/>
                      <w:color w:val="auto"/>
                      <w:szCs w:val="21"/>
                    </w:rPr>
                  </w:pPr>
                  <w:r>
                    <w:rPr>
                      <w:rFonts w:eastAsiaTheme="minorEastAsia"/>
                      <w:b/>
                      <w:color w:val="auto"/>
                      <w:szCs w:val="21"/>
                    </w:rPr>
                    <w:t>达标情况</w:t>
                  </w:r>
                </w:p>
              </w:tc>
            </w:tr>
            <w:tr w14:paraId="1F61C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14:paraId="012338D5">
                  <w:pPr>
                    <w:widowControl/>
                    <w:adjustRightInd w:val="0"/>
                    <w:snapToGrid w:val="0"/>
                    <w:jc w:val="center"/>
                    <w:rPr>
                      <w:rFonts w:eastAsiaTheme="minorEastAsia"/>
                      <w:b/>
                      <w:color w:val="auto"/>
                      <w:szCs w:val="21"/>
                    </w:rPr>
                  </w:pPr>
                </w:p>
              </w:tc>
              <w:tc>
                <w:tcPr>
                  <w:tcW w:w="491" w:type="pct"/>
                  <w:vAlign w:val="center"/>
                </w:tcPr>
                <w:p w14:paraId="0DBA9D07">
                  <w:pPr>
                    <w:adjustRightInd w:val="0"/>
                    <w:snapToGrid w:val="0"/>
                    <w:jc w:val="center"/>
                    <w:rPr>
                      <w:rFonts w:eastAsiaTheme="minorEastAsia"/>
                      <w:b/>
                      <w:color w:val="auto"/>
                      <w:szCs w:val="21"/>
                    </w:rPr>
                  </w:pPr>
                  <w:r>
                    <w:rPr>
                      <w:rFonts w:eastAsiaTheme="minorEastAsia"/>
                      <w:b/>
                      <w:color w:val="auto"/>
                      <w:szCs w:val="21"/>
                    </w:rPr>
                    <w:t>X</w:t>
                  </w:r>
                </w:p>
              </w:tc>
              <w:tc>
                <w:tcPr>
                  <w:tcW w:w="626" w:type="pct"/>
                  <w:vAlign w:val="center"/>
                </w:tcPr>
                <w:p w14:paraId="7029AD7D">
                  <w:pPr>
                    <w:adjustRightInd w:val="0"/>
                    <w:snapToGrid w:val="0"/>
                    <w:jc w:val="center"/>
                    <w:rPr>
                      <w:rFonts w:eastAsiaTheme="minorEastAsia"/>
                      <w:b/>
                      <w:color w:val="auto"/>
                      <w:szCs w:val="21"/>
                    </w:rPr>
                  </w:pPr>
                  <w:r>
                    <w:rPr>
                      <w:rFonts w:eastAsiaTheme="minorEastAsia"/>
                      <w:b/>
                      <w:color w:val="auto"/>
                      <w:szCs w:val="21"/>
                    </w:rPr>
                    <w:t>Y</w:t>
                  </w:r>
                </w:p>
              </w:tc>
              <w:tc>
                <w:tcPr>
                  <w:tcW w:w="706" w:type="pct"/>
                  <w:vAlign w:val="center"/>
                </w:tcPr>
                <w:p w14:paraId="78CF8AA2">
                  <w:pPr>
                    <w:adjustRightInd w:val="0"/>
                    <w:snapToGrid w:val="0"/>
                    <w:jc w:val="center"/>
                    <w:rPr>
                      <w:rFonts w:eastAsiaTheme="minorEastAsia"/>
                      <w:b/>
                      <w:color w:val="auto"/>
                      <w:szCs w:val="21"/>
                    </w:rPr>
                  </w:pPr>
                  <w:r>
                    <w:rPr>
                      <w:rFonts w:eastAsiaTheme="minorEastAsia"/>
                      <w:b/>
                      <w:color w:val="auto"/>
                      <w:szCs w:val="21"/>
                    </w:rPr>
                    <w:t>Z</w:t>
                  </w:r>
                </w:p>
              </w:tc>
              <w:tc>
                <w:tcPr>
                  <w:tcW w:w="544" w:type="pct"/>
                  <w:vMerge w:val="continue"/>
                  <w:vAlign w:val="center"/>
                </w:tcPr>
                <w:p w14:paraId="100E16D8">
                  <w:pPr>
                    <w:widowControl/>
                    <w:adjustRightInd w:val="0"/>
                    <w:snapToGrid w:val="0"/>
                    <w:jc w:val="center"/>
                    <w:rPr>
                      <w:rFonts w:eastAsiaTheme="minorEastAsia"/>
                      <w:b/>
                      <w:color w:val="auto"/>
                      <w:szCs w:val="21"/>
                    </w:rPr>
                  </w:pPr>
                </w:p>
              </w:tc>
              <w:tc>
                <w:tcPr>
                  <w:tcW w:w="624" w:type="pct"/>
                  <w:vMerge w:val="continue"/>
                  <w:vAlign w:val="center"/>
                </w:tcPr>
                <w:p w14:paraId="4A10CF21">
                  <w:pPr>
                    <w:widowControl/>
                    <w:adjustRightInd w:val="0"/>
                    <w:snapToGrid w:val="0"/>
                    <w:jc w:val="center"/>
                    <w:rPr>
                      <w:rFonts w:eastAsiaTheme="minorEastAsia"/>
                      <w:b/>
                      <w:color w:val="auto"/>
                      <w:szCs w:val="21"/>
                    </w:rPr>
                  </w:pPr>
                </w:p>
              </w:tc>
              <w:tc>
                <w:tcPr>
                  <w:tcW w:w="624" w:type="pct"/>
                  <w:vMerge w:val="continue"/>
                  <w:vAlign w:val="center"/>
                </w:tcPr>
                <w:p w14:paraId="25F5E49F">
                  <w:pPr>
                    <w:widowControl/>
                    <w:adjustRightInd w:val="0"/>
                    <w:snapToGrid w:val="0"/>
                    <w:jc w:val="center"/>
                    <w:rPr>
                      <w:rFonts w:eastAsiaTheme="minorEastAsia"/>
                      <w:b/>
                      <w:color w:val="auto"/>
                      <w:szCs w:val="21"/>
                    </w:rPr>
                  </w:pPr>
                </w:p>
              </w:tc>
              <w:tc>
                <w:tcPr>
                  <w:tcW w:w="621" w:type="pct"/>
                  <w:vMerge w:val="continue"/>
                  <w:vAlign w:val="center"/>
                </w:tcPr>
                <w:p w14:paraId="099221FA">
                  <w:pPr>
                    <w:widowControl/>
                    <w:adjustRightInd w:val="0"/>
                    <w:snapToGrid w:val="0"/>
                    <w:jc w:val="center"/>
                    <w:rPr>
                      <w:rFonts w:eastAsiaTheme="minorEastAsia"/>
                      <w:b/>
                      <w:color w:val="auto"/>
                      <w:szCs w:val="21"/>
                    </w:rPr>
                  </w:pPr>
                </w:p>
              </w:tc>
            </w:tr>
            <w:tr w14:paraId="03069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61" w:type="pct"/>
                  <w:vMerge w:val="restart"/>
                  <w:vAlign w:val="center"/>
                </w:tcPr>
                <w:p w14:paraId="48083C3E">
                  <w:pPr>
                    <w:adjustRightInd w:val="0"/>
                    <w:snapToGrid w:val="0"/>
                    <w:jc w:val="center"/>
                    <w:rPr>
                      <w:rFonts w:eastAsiaTheme="minorEastAsia"/>
                      <w:color w:val="auto"/>
                      <w:szCs w:val="21"/>
                    </w:rPr>
                  </w:pPr>
                  <w:r>
                    <w:rPr>
                      <w:rFonts w:eastAsiaTheme="minorEastAsia"/>
                      <w:color w:val="auto"/>
                      <w:szCs w:val="21"/>
                    </w:rPr>
                    <w:t>N1厂界东</w:t>
                  </w:r>
                </w:p>
              </w:tc>
              <w:tc>
                <w:tcPr>
                  <w:tcW w:w="491" w:type="pct"/>
                  <w:vMerge w:val="restart"/>
                  <w:vAlign w:val="center"/>
                </w:tcPr>
                <w:p w14:paraId="57444AA3">
                  <w:pPr>
                    <w:jc w:val="center"/>
                    <w:rPr>
                      <w:rFonts w:eastAsiaTheme="minorEastAsia"/>
                      <w:color w:val="auto"/>
                      <w:szCs w:val="21"/>
                    </w:rPr>
                  </w:pPr>
                  <w:r>
                    <w:rPr>
                      <w:rFonts w:hint="eastAsia" w:eastAsiaTheme="minorEastAsia"/>
                      <w:color w:val="auto"/>
                      <w:szCs w:val="21"/>
                    </w:rPr>
                    <w:t>74</w:t>
                  </w:r>
                </w:p>
              </w:tc>
              <w:tc>
                <w:tcPr>
                  <w:tcW w:w="626" w:type="pct"/>
                  <w:vMerge w:val="restart"/>
                  <w:vAlign w:val="center"/>
                </w:tcPr>
                <w:p w14:paraId="3AEC989A">
                  <w:pPr>
                    <w:jc w:val="center"/>
                    <w:rPr>
                      <w:rFonts w:eastAsiaTheme="minorEastAsia"/>
                      <w:color w:val="auto"/>
                      <w:szCs w:val="21"/>
                    </w:rPr>
                  </w:pPr>
                  <w:r>
                    <w:rPr>
                      <w:rFonts w:hint="eastAsia" w:eastAsiaTheme="minorEastAsia"/>
                      <w:color w:val="auto"/>
                      <w:szCs w:val="21"/>
                    </w:rPr>
                    <w:t>70</w:t>
                  </w:r>
                </w:p>
              </w:tc>
              <w:tc>
                <w:tcPr>
                  <w:tcW w:w="706" w:type="pct"/>
                  <w:vMerge w:val="restart"/>
                  <w:vAlign w:val="center"/>
                </w:tcPr>
                <w:p w14:paraId="0B788448">
                  <w:pPr>
                    <w:adjustRightInd w:val="0"/>
                    <w:snapToGrid w:val="0"/>
                    <w:jc w:val="center"/>
                    <w:rPr>
                      <w:rFonts w:eastAsiaTheme="minorEastAsia"/>
                      <w:color w:val="auto"/>
                      <w:szCs w:val="21"/>
                    </w:rPr>
                  </w:pPr>
                  <w:r>
                    <w:rPr>
                      <w:rFonts w:eastAsiaTheme="minorEastAsia"/>
                      <w:color w:val="auto"/>
                      <w:szCs w:val="21"/>
                    </w:rPr>
                    <w:t>1.5</w:t>
                  </w:r>
                </w:p>
              </w:tc>
              <w:tc>
                <w:tcPr>
                  <w:tcW w:w="544" w:type="pct"/>
                  <w:vAlign w:val="center"/>
                </w:tcPr>
                <w:p w14:paraId="31035B6E">
                  <w:pPr>
                    <w:adjustRightInd w:val="0"/>
                    <w:snapToGrid w:val="0"/>
                    <w:jc w:val="center"/>
                    <w:rPr>
                      <w:rFonts w:eastAsiaTheme="minorEastAsia"/>
                      <w:color w:val="auto"/>
                      <w:szCs w:val="21"/>
                    </w:rPr>
                  </w:pPr>
                  <w:r>
                    <w:rPr>
                      <w:rFonts w:eastAsiaTheme="minorEastAsia"/>
                      <w:color w:val="auto"/>
                      <w:szCs w:val="21"/>
                    </w:rPr>
                    <w:t>昼间</w:t>
                  </w:r>
                </w:p>
              </w:tc>
              <w:tc>
                <w:tcPr>
                  <w:tcW w:w="624" w:type="pct"/>
                  <w:vAlign w:val="center"/>
                </w:tcPr>
                <w:p w14:paraId="5EFFECF7">
                  <w:pPr>
                    <w:adjustRightInd w:val="0"/>
                    <w:snapToGrid w:val="0"/>
                    <w:jc w:val="center"/>
                    <w:rPr>
                      <w:rFonts w:eastAsiaTheme="minorEastAsia"/>
                      <w:color w:val="auto"/>
                      <w:szCs w:val="21"/>
                    </w:rPr>
                  </w:pPr>
                  <w:r>
                    <w:rPr>
                      <w:rFonts w:hint="eastAsia" w:eastAsiaTheme="minorEastAsia"/>
                      <w:color w:val="auto"/>
                      <w:szCs w:val="21"/>
                    </w:rPr>
                    <w:t>44.8</w:t>
                  </w:r>
                </w:p>
              </w:tc>
              <w:tc>
                <w:tcPr>
                  <w:tcW w:w="624" w:type="pct"/>
                  <w:vAlign w:val="center"/>
                </w:tcPr>
                <w:p w14:paraId="056E089C">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70</w:t>
                  </w:r>
                </w:p>
              </w:tc>
              <w:tc>
                <w:tcPr>
                  <w:tcW w:w="621" w:type="pct"/>
                  <w:vAlign w:val="center"/>
                </w:tcPr>
                <w:p w14:paraId="2775E6CB">
                  <w:pPr>
                    <w:adjustRightInd w:val="0"/>
                    <w:snapToGrid w:val="0"/>
                    <w:jc w:val="center"/>
                    <w:rPr>
                      <w:rFonts w:eastAsiaTheme="minorEastAsia"/>
                      <w:color w:val="auto"/>
                      <w:szCs w:val="21"/>
                    </w:rPr>
                  </w:pPr>
                  <w:r>
                    <w:rPr>
                      <w:rFonts w:eastAsiaTheme="minorEastAsia"/>
                      <w:color w:val="auto"/>
                      <w:szCs w:val="21"/>
                    </w:rPr>
                    <w:t>达标</w:t>
                  </w:r>
                </w:p>
              </w:tc>
            </w:tr>
            <w:tr w14:paraId="727CB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61" w:type="pct"/>
                  <w:vMerge w:val="continue"/>
                  <w:vAlign w:val="center"/>
                </w:tcPr>
                <w:p w14:paraId="3C5205F1">
                  <w:pPr>
                    <w:adjustRightInd w:val="0"/>
                    <w:snapToGrid w:val="0"/>
                    <w:jc w:val="center"/>
                    <w:rPr>
                      <w:rFonts w:eastAsiaTheme="minorEastAsia"/>
                      <w:color w:val="auto"/>
                      <w:szCs w:val="21"/>
                    </w:rPr>
                  </w:pPr>
                </w:p>
              </w:tc>
              <w:tc>
                <w:tcPr>
                  <w:tcW w:w="491" w:type="pct"/>
                  <w:vMerge w:val="continue"/>
                  <w:vAlign w:val="center"/>
                </w:tcPr>
                <w:p w14:paraId="6AB485B5">
                  <w:pPr>
                    <w:jc w:val="center"/>
                    <w:rPr>
                      <w:rFonts w:hint="eastAsia" w:eastAsiaTheme="minorEastAsia"/>
                      <w:color w:val="auto"/>
                      <w:szCs w:val="21"/>
                    </w:rPr>
                  </w:pPr>
                </w:p>
              </w:tc>
              <w:tc>
                <w:tcPr>
                  <w:tcW w:w="626" w:type="pct"/>
                  <w:vMerge w:val="continue"/>
                  <w:vAlign w:val="center"/>
                </w:tcPr>
                <w:p w14:paraId="2D8E77E3">
                  <w:pPr>
                    <w:jc w:val="center"/>
                    <w:rPr>
                      <w:rFonts w:hint="eastAsia" w:eastAsiaTheme="minorEastAsia"/>
                      <w:color w:val="auto"/>
                      <w:szCs w:val="21"/>
                    </w:rPr>
                  </w:pPr>
                </w:p>
              </w:tc>
              <w:tc>
                <w:tcPr>
                  <w:tcW w:w="706" w:type="pct"/>
                  <w:vMerge w:val="continue"/>
                  <w:vAlign w:val="center"/>
                </w:tcPr>
                <w:p w14:paraId="5B2E0624">
                  <w:pPr>
                    <w:adjustRightInd w:val="0"/>
                    <w:snapToGrid w:val="0"/>
                    <w:jc w:val="center"/>
                    <w:rPr>
                      <w:rFonts w:eastAsiaTheme="minorEastAsia"/>
                      <w:color w:val="auto"/>
                      <w:szCs w:val="21"/>
                    </w:rPr>
                  </w:pPr>
                </w:p>
              </w:tc>
              <w:tc>
                <w:tcPr>
                  <w:tcW w:w="544" w:type="pct"/>
                  <w:vAlign w:val="center"/>
                </w:tcPr>
                <w:p w14:paraId="430FD89D">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夜间</w:t>
                  </w:r>
                </w:p>
              </w:tc>
              <w:tc>
                <w:tcPr>
                  <w:tcW w:w="624" w:type="pct"/>
                  <w:vAlign w:val="center"/>
                </w:tcPr>
                <w:p w14:paraId="029A78C8">
                  <w:pPr>
                    <w:adjustRightInd w:val="0"/>
                    <w:snapToGrid w:val="0"/>
                    <w:jc w:val="center"/>
                    <w:rPr>
                      <w:rFonts w:hint="eastAsia" w:eastAsiaTheme="minorEastAsia"/>
                      <w:color w:val="auto"/>
                      <w:szCs w:val="21"/>
                    </w:rPr>
                  </w:pPr>
                  <w:r>
                    <w:rPr>
                      <w:rFonts w:hint="eastAsia" w:eastAsiaTheme="minorEastAsia"/>
                      <w:color w:val="auto"/>
                      <w:szCs w:val="21"/>
                    </w:rPr>
                    <w:t>44.8</w:t>
                  </w:r>
                </w:p>
              </w:tc>
              <w:tc>
                <w:tcPr>
                  <w:tcW w:w="624" w:type="pct"/>
                  <w:vAlign w:val="center"/>
                </w:tcPr>
                <w:p w14:paraId="7EC8BECC">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55</w:t>
                  </w:r>
                </w:p>
              </w:tc>
              <w:tc>
                <w:tcPr>
                  <w:tcW w:w="621" w:type="pct"/>
                  <w:vAlign w:val="center"/>
                </w:tcPr>
                <w:p w14:paraId="03C6B7C0">
                  <w:pPr>
                    <w:adjustRightInd w:val="0"/>
                    <w:snapToGrid w:val="0"/>
                    <w:jc w:val="center"/>
                    <w:rPr>
                      <w:rFonts w:eastAsiaTheme="minorEastAsia"/>
                      <w:color w:val="auto"/>
                      <w:szCs w:val="21"/>
                    </w:rPr>
                  </w:pPr>
                  <w:r>
                    <w:rPr>
                      <w:rFonts w:eastAsiaTheme="minorEastAsia"/>
                      <w:color w:val="auto"/>
                      <w:szCs w:val="21"/>
                    </w:rPr>
                    <w:t>达标</w:t>
                  </w:r>
                </w:p>
              </w:tc>
            </w:tr>
            <w:tr w14:paraId="5BE42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61" w:type="pct"/>
                  <w:vMerge w:val="restart"/>
                  <w:vAlign w:val="center"/>
                </w:tcPr>
                <w:p w14:paraId="2D93A41B">
                  <w:pPr>
                    <w:adjustRightInd w:val="0"/>
                    <w:snapToGrid w:val="0"/>
                    <w:jc w:val="center"/>
                    <w:rPr>
                      <w:rFonts w:eastAsiaTheme="minorEastAsia"/>
                      <w:color w:val="auto"/>
                      <w:szCs w:val="21"/>
                    </w:rPr>
                  </w:pPr>
                  <w:r>
                    <w:rPr>
                      <w:rFonts w:eastAsiaTheme="minorEastAsia"/>
                      <w:color w:val="auto"/>
                      <w:szCs w:val="21"/>
                    </w:rPr>
                    <w:t>N2厂界南</w:t>
                  </w:r>
                </w:p>
              </w:tc>
              <w:tc>
                <w:tcPr>
                  <w:tcW w:w="491" w:type="pct"/>
                  <w:vMerge w:val="restart"/>
                  <w:vAlign w:val="center"/>
                </w:tcPr>
                <w:p w14:paraId="5AD4D2F9">
                  <w:pPr>
                    <w:jc w:val="center"/>
                    <w:rPr>
                      <w:rFonts w:eastAsiaTheme="minorEastAsia"/>
                      <w:color w:val="auto"/>
                      <w:szCs w:val="21"/>
                    </w:rPr>
                  </w:pPr>
                  <w:r>
                    <w:rPr>
                      <w:rFonts w:hint="eastAsia" w:eastAsiaTheme="minorEastAsia"/>
                      <w:color w:val="auto"/>
                      <w:szCs w:val="21"/>
                    </w:rPr>
                    <w:t>40</w:t>
                  </w:r>
                </w:p>
              </w:tc>
              <w:tc>
                <w:tcPr>
                  <w:tcW w:w="626" w:type="pct"/>
                  <w:vMerge w:val="restart"/>
                  <w:vAlign w:val="center"/>
                </w:tcPr>
                <w:p w14:paraId="22BAD38B">
                  <w:pPr>
                    <w:jc w:val="center"/>
                    <w:rPr>
                      <w:rFonts w:eastAsiaTheme="minorEastAsia"/>
                      <w:color w:val="auto"/>
                      <w:szCs w:val="21"/>
                    </w:rPr>
                  </w:pPr>
                  <w:r>
                    <w:rPr>
                      <w:rFonts w:eastAsiaTheme="minorEastAsia"/>
                      <w:color w:val="auto"/>
                      <w:szCs w:val="21"/>
                    </w:rPr>
                    <w:t>0</w:t>
                  </w:r>
                </w:p>
              </w:tc>
              <w:tc>
                <w:tcPr>
                  <w:tcW w:w="706" w:type="pct"/>
                  <w:vMerge w:val="restart"/>
                  <w:vAlign w:val="center"/>
                </w:tcPr>
                <w:p w14:paraId="72D5C22F">
                  <w:pPr>
                    <w:jc w:val="center"/>
                    <w:rPr>
                      <w:rFonts w:eastAsiaTheme="minorEastAsia"/>
                      <w:color w:val="auto"/>
                      <w:szCs w:val="21"/>
                    </w:rPr>
                  </w:pPr>
                  <w:r>
                    <w:rPr>
                      <w:rFonts w:eastAsiaTheme="minorEastAsia"/>
                      <w:color w:val="auto"/>
                      <w:szCs w:val="21"/>
                    </w:rPr>
                    <w:t>1.5</w:t>
                  </w:r>
                </w:p>
              </w:tc>
              <w:tc>
                <w:tcPr>
                  <w:tcW w:w="544" w:type="pct"/>
                  <w:vAlign w:val="center"/>
                </w:tcPr>
                <w:p w14:paraId="26E7EAEF">
                  <w:pPr>
                    <w:adjustRightInd w:val="0"/>
                    <w:snapToGrid w:val="0"/>
                    <w:jc w:val="center"/>
                    <w:rPr>
                      <w:rFonts w:eastAsiaTheme="minorEastAsia"/>
                      <w:color w:val="auto"/>
                      <w:szCs w:val="21"/>
                    </w:rPr>
                  </w:pPr>
                  <w:r>
                    <w:rPr>
                      <w:rFonts w:eastAsiaTheme="minorEastAsia"/>
                      <w:color w:val="auto"/>
                      <w:szCs w:val="21"/>
                    </w:rPr>
                    <w:t>昼间</w:t>
                  </w:r>
                </w:p>
              </w:tc>
              <w:tc>
                <w:tcPr>
                  <w:tcW w:w="624" w:type="pct"/>
                  <w:vAlign w:val="center"/>
                </w:tcPr>
                <w:p w14:paraId="6869EE39">
                  <w:pPr>
                    <w:adjustRightInd w:val="0"/>
                    <w:snapToGrid w:val="0"/>
                    <w:jc w:val="center"/>
                    <w:rPr>
                      <w:color w:val="auto"/>
                      <w:szCs w:val="21"/>
                    </w:rPr>
                  </w:pPr>
                  <w:r>
                    <w:rPr>
                      <w:rFonts w:hint="eastAsia" w:eastAsiaTheme="minorEastAsia"/>
                      <w:color w:val="auto"/>
                      <w:szCs w:val="21"/>
                    </w:rPr>
                    <w:t>47.1</w:t>
                  </w:r>
                </w:p>
              </w:tc>
              <w:tc>
                <w:tcPr>
                  <w:tcW w:w="624" w:type="pct"/>
                  <w:vAlign w:val="center"/>
                </w:tcPr>
                <w:p w14:paraId="4E83B17D">
                  <w:pPr>
                    <w:adjustRightInd w:val="0"/>
                    <w:snapToGrid w:val="0"/>
                    <w:jc w:val="center"/>
                    <w:rPr>
                      <w:rFonts w:eastAsiaTheme="minorEastAsia"/>
                      <w:color w:val="auto"/>
                      <w:szCs w:val="21"/>
                    </w:rPr>
                  </w:pPr>
                  <w:r>
                    <w:rPr>
                      <w:rFonts w:hint="eastAsia" w:eastAsiaTheme="minorEastAsia"/>
                      <w:color w:val="auto"/>
                      <w:szCs w:val="21"/>
                    </w:rPr>
                    <w:t>60</w:t>
                  </w:r>
                </w:p>
              </w:tc>
              <w:tc>
                <w:tcPr>
                  <w:tcW w:w="621" w:type="pct"/>
                  <w:vAlign w:val="center"/>
                </w:tcPr>
                <w:p w14:paraId="5FC8CF11">
                  <w:pPr>
                    <w:adjustRightInd w:val="0"/>
                    <w:snapToGrid w:val="0"/>
                    <w:jc w:val="center"/>
                    <w:rPr>
                      <w:rFonts w:eastAsiaTheme="minorEastAsia"/>
                      <w:color w:val="auto"/>
                      <w:szCs w:val="21"/>
                    </w:rPr>
                  </w:pPr>
                  <w:r>
                    <w:rPr>
                      <w:rFonts w:eastAsiaTheme="minorEastAsia"/>
                      <w:color w:val="auto"/>
                      <w:szCs w:val="21"/>
                    </w:rPr>
                    <w:t>达标</w:t>
                  </w:r>
                </w:p>
              </w:tc>
            </w:tr>
            <w:tr w14:paraId="24F4F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61" w:type="pct"/>
                  <w:vMerge w:val="continue"/>
                  <w:vAlign w:val="center"/>
                </w:tcPr>
                <w:p w14:paraId="02124E3D">
                  <w:pPr>
                    <w:adjustRightInd w:val="0"/>
                    <w:snapToGrid w:val="0"/>
                    <w:jc w:val="center"/>
                    <w:rPr>
                      <w:rFonts w:eastAsiaTheme="minorEastAsia"/>
                      <w:color w:val="auto"/>
                      <w:szCs w:val="21"/>
                    </w:rPr>
                  </w:pPr>
                </w:p>
              </w:tc>
              <w:tc>
                <w:tcPr>
                  <w:tcW w:w="491" w:type="pct"/>
                  <w:vMerge w:val="continue"/>
                  <w:vAlign w:val="center"/>
                </w:tcPr>
                <w:p w14:paraId="607B8539">
                  <w:pPr>
                    <w:jc w:val="center"/>
                    <w:rPr>
                      <w:rFonts w:hint="eastAsia" w:eastAsiaTheme="minorEastAsia"/>
                      <w:color w:val="auto"/>
                      <w:szCs w:val="21"/>
                    </w:rPr>
                  </w:pPr>
                </w:p>
              </w:tc>
              <w:tc>
                <w:tcPr>
                  <w:tcW w:w="626" w:type="pct"/>
                  <w:vMerge w:val="continue"/>
                  <w:vAlign w:val="center"/>
                </w:tcPr>
                <w:p w14:paraId="7DDE080E">
                  <w:pPr>
                    <w:jc w:val="center"/>
                    <w:rPr>
                      <w:rFonts w:eastAsiaTheme="minorEastAsia"/>
                      <w:color w:val="auto"/>
                      <w:szCs w:val="21"/>
                    </w:rPr>
                  </w:pPr>
                </w:p>
              </w:tc>
              <w:tc>
                <w:tcPr>
                  <w:tcW w:w="706" w:type="pct"/>
                  <w:vMerge w:val="continue"/>
                  <w:vAlign w:val="center"/>
                </w:tcPr>
                <w:p w14:paraId="53C59293">
                  <w:pPr>
                    <w:jc w:val="center"/>
                    <w:rPr>
                      <w:rFonts w:eastAsiaTheme="minorEastAsia"/>
                      <w:color w:val="auto"/>
                      <w:szCs w:val="21"/>
                    </w:rPr>
                  </w:pPr>
                </w:p>
              </w:tc>
              <w:tc>
                <w:tcPr>
                  <w:tcW w:w="544" w:type="pct"/>
                  <w:vAlign w:val="center"/>
                </w:tcPr>
                <w:p w14:paraId="04DA094D">
                  <w:pPr>
                    <w:adjustRightInd w:val="0"/>
                    <w:snapToGrid w:val="0"/>
                    <w:jc w:val="center"/>
                    <w:rPr>
                      <w:rFonts w:eastAsiaTheme="minorEastAsia"/>
                      <w:color w:val="auto"/>
                      <w:szCs w:val="21"/>
                    </w:rPr>
                  </w:pPr>
                  <w:r>
                    <w:rPr>
                      <w:rFonts w:hint="eastAsia" w:eastAsiaTheme="minorEastAsia"/>
                      <w:color w:val="auto"/>
                      <w:szCs w:val="21"/>
                      <w:lang w:eastAsia="zh-CN"/>
                    </w:rPr>
                    <w:t>夜间</w:t>
                  </w:r>
                </w:p>
              </w:tc>
              <w:tc>
                <w:tcPr>
                  <w:tcW w:w="624" w:type="pct"/>
                  <w:vAlign w:val="center"/>
                </w:tcPr>
                <w:p w14:paraId="03A081BF">
                  <w:pPr>
                    <w:adjustRightInd w:val="0"/>
                    <w:snapToGrid w:val="0"/>
                    <w:jc w:val="center"/>
                    <w:rPr>
                      <w:rFonts w:hint="eastAsia" w:eastAsiaTheme="minorEastAsia"/>
                      <w:color w:val="auto"/>
                      <w:szCs w:val="21"/>
                    </w:rPr>
                  </w:pPr>
                  <w:r>
                    <w:rPr>
                      <w:rFonts w:hint="eastAsia" w:eastAsiaTheme="minorEastAsia"/>
                      <w:color w:val="auto"/>
                      <w:szCs w:val="21"/>
                    </w:rPr>
                    <w:t>47.1</w:t>
                  </w:r>
                </w:p>
              </w:tc>
              <w:tc>
                <w:tcPr>
                  <w:tcW w:w="624" w:type="pct"/>
                  <w:vAlign w:val="center"/>
                </w:tcPr>
                <w:p w14:paraId="4A5EB37E">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50</w:t>
                  </w:r>
                </w:p>
              </w:tc>
              <w:tc>
                <w:tcPr>
                  <w:tcW w:w="621" w:type="pct"/>
                  <w:vAlign w:val="center"/>
                </w:tcPr>
                <w:p w14:paraId="2AE3723C">
                  <w:pPr>
                    <w:adjustRightInd w:val="0"/>
                    <w:snapToGrid w:val="0"/>
                    <w:jc w:val="center"/>
                    <w:rPr>
                      <w:rFonts w:eastAsiaTheme="minorEastAsia"/>
                      <w:color w:val="auto"/>
                      <w:szCs w:val="21"/>
                    </w:rPr>
                  </w:pPr>
                  <w:r>
                    <w:rPr>
                      <w:rFonts w:eastAsiaTheme="minorEastAsia"/>
                      <w:color w:val="auto"/>
                      <w:szCs w:val="21"/>
                    </w:rPr>
                    <w:t>达标</w:t>
                  </w:r>
                </w:p>
              </w:tc>
            </w:tr>
            <w:tr w14:paraId="75AAA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1" w:type="pct"/>
                  <w:vMerge w:val="restart"/>
                  <w:vAlign w:val="center"/>
                </w:tcPr>
                <w:p w14:paraId="07CCAFFF">
                  <w:pPr>
                    <w:widowControl/>
                    <w:adjustRightInd w:val="0"/>
                    <w:snapToGrid w:val="0"/>
                    <w:jc w:val="center"/>
                    <w:rPr>
                      <w:rFonts w:eastAsiaTheme="minorEastAsia"/>
                      <w:color w:val="auto"/>
                      <w:szCs w:val="21"/>
                    </w:rPr>
                  </w:pPr>
                  <w:r>
                    <w:rPr>
                      <w:rFonts w:eastAsiaTheme="minorEastAsia"/>
                      <w:color w:val="auto"/>
                      <w:szCs w:val="21"/>
                    </w:rPr>
                    <w:t>N3厂界西</w:t>
                  </w:r>
                </w:p>
              </w:tc>
              <w:tc>
                <w:tcPr>
                  <w:tcW w:w="491" w:type="pct"/>
                  <w:vMerge w:val="restart"/>
                  <w:vAlign w:val="center"/>
                </w:tcPr>
                <w:p w14:paraId="355591E7">
                  <w:pPr>
                    <w:jc w:val="center"/>
                    <w:rPr>
                      <w:rFonts w:eastAsiaTheme="minorEastAsia"/>
                      <w:color w:val="auto"/>
                      <w:szCs w:val="21"/>
                    </w:rPr>
                  </w:pPr>
                  <w:r>
                    <w:rPr>
                      <w:rFonts w:eastAsiaTheme="minorEastAsia"/>
                      <w:color w:val="auto"/>
                      <w:szCs w:val="21"/>
                    </w:rPr>
                    <w:t>0</w:t>
                  </w:r>
                </w:p>
              </w:tc>
              <w:tc>
                <w:tcPr>
                  <w:tcW w:w="626" w:type="pct"/>
                  <w:vMerge w:val="restart"/>
                  <w:vAlign w:val="center"/>
                </w:tcPr>
                <w:p w14:paraId="2BB2423F">
                  <w:pPr>
                    <w:jc w:val="center"/>
                    <w:rPr>
                      <w:rFonts w:eastAsiaTheme="minorEastAsia"/>
                      <w:color w:val="auto"/>
                      <w:szCs w:val="21"/>
                    </w:rPr>
                  </w:pPr>
                  <w:r>
                    <w:rPr>
                      <w:rFonts w:hint="eastAsia" w:eastAsiaTheme="minorEastAsia"/>
                      <w:color w:val="auto"/>
                      <w:szCs w:val="21"/>
                    </w:rPr>
                    <w:t>70</w:t>
                  </w:r>
                </w:p>
              </w:tc>
              <w:tc>
                <w:tcPr>
                  <w:tcW w:w="706" w:type="pct"/>
                  <w:vMerge w:val="restart"/>
                  <w:vAlign w:val="center"/>
                </w:tcPr>
                <w:p w14:paraId="6D1378D8">
                  <w:pPr>
                    <w:jc w:val="center"/>
                    <w:rPr>
                      <w:rFonts w:eastAsiaTheme="minorEastAsia"/>
                      <w:color w:val="auto"/>
                      <w:szCs w:val="21"/>
                    </w:rPr>
                  </w:pPr>
                  <w:r>
                    <w:rPr>
                      <w:rFonts w:eastAsiaTheme="minorEastAsia"/>
                      <w:color w:val="auto"/>
                      <w:szCs w:val="21"/>
                    </w:rPr>
                    <w:t>1.5</w:t>
                  </w:r>
                </w:p>
              </w:tc>
              <w:tc>
                <w:tcPr>
                  <w:tcW w:w="544" w:type="pct"/>
                  <w:vAlign w:val="center"/>
                </w:tcPr>
                <w:p w14:paraId="3B4298E8">
                  <w:pPr>
                    <w:adjustRightInd w:val="0"/>
                    <w:snapToGrid w:val="0"/>
                    <w:jc w:val="center"/>
                    <w:rPr>
                      <w:rFonts w:eastAsiaTheme="minorEastAsia"/>
                      <w:color w:val="auto"/>
                      <w:szCs w:val="21"/>
                    </w:rPr>
                  </w:pPr>
                  <w:r>
                    <w:rPr>
                      <w:rFonts w:eastAsiaTheme="minorEastAsia"/>
                      <w:color w:val="auto"/>
                      <w:szCs w:val="21"/>
                    </w:rPr>
                    <w:t>昼间</w:t>
                  </w:r>
                </w:p>
              </w:tc>
              <w:tc>
                <w:tcPr>
                  <w:tcW w:w="624" w:type="pct"/>
                  <w:vAlign w:val="center"/>
                </w:tcPr>
                <w:p w14:paraId="63BC57D7">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48.9</w:t>
                  </w:r>
                </w:p>
              </w:tc>
              <w:tc>
                <w:tcPr>
                  <w:tcW w:w="624" w:type="pct"/>
                  <w:vAlign w:val="center"/>
                </w:tcPr>
                <w:p w14:paraId="3C7437C7">
                  <w:pPr>
                    <w:adjustRightInd w:val="0"/>
                    <w:snapToGrid w:val="0"/>
                    <w:jc w:val="center"/>
                    <w:rPr>
                      <w:rFonts w:eastAsiaTheme="minorEastAsia"/>
                      <w:color w:val="auto"/>
                      <w:szCs w:val="21"/>
                    </w:rPr>
                  </w:pPr>
                  <w:r>
                    <w:rPr>
                      <w:rFonts w:hint="eastAsia" w:eastAsiaTheme="minorEastAsia"/>
                      <w:color w:val="auto"/>
                      <w:szCs w:val="21"/>
                    </w:rPr>
                    <w:t>60</w:t>
                  </w:r>
                </w:p>
              </w:tc>
              <w:tc>
                <w:tcPr>
                  <w:tcW w:w="621" w:type="pct"/>
                  <w:vAlign w:val="center"/>
                </w:tcPr>
                <w:p w14:paraId="5F5AB6DB">
                  <w:pPr>
                    <w:adjustRightInd w:val="0"/>
                    <w:snapToGrid w:val="0"/>
                    <w:jc w:val="center"/>
                    <w:rPr>
                      <w:rFonts w:eastAsiaTheme="minorEastAsia"/>
                      <w:color w:val="auto"/>
                      <w:szCs w:val="21"/>
                    </w:rPr>
                  </w:pPr>
                  <w:r>
                    <w:rPr>
                      <w:rFonts w:eastAsiaTheme="minorEastAsia"/>
                      <w:color w:val="auto"/>
                      <w:szCs w:val="21"/>
                    </w:rPr>
                    <w:t>达标</w:t>
                  </w:r>
                </w:p>
              </w:tc>
            </w:tr>
            <w:tr w14:paraId="7307E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61" w:type="pct"/>
                  <w:vMerge w:val="continue"/>
                  <w:vAlign w:val="center"/>
                </w:tcPr>
                <w:p w14:paraId="49C6C296">
                  <w:pPr>
                    <w:widowControl/>
                    <w:adjustRightInd w:val="0"/>
                    <w:snapToGrid w:val="0"/>
                    <w:jc w:val="center"/>
                    <w:rPr>
                      <w:rFonts w:eastAsiaTheme="minorEastAsia"/>
                      <w:color w:val="auto"/>
                      <w:szCs w:val="21"/>
                    </w:rPr>
                  </w:pPr>
                </w:p>
              </w:tc>
              <w:tc>
                <w:tcPr>
                  <w:tcW w:w="491" w:type="pct"/>
                  <w:vMerge w:val="continue"/>
                  <w:vAlign w:val="center"/>
                </w:tcPr>
                <w:p w14:paraId="27780F3D">
                  <w:pPr>
                    <w:jc w:val="center"/>
                    <w:rPr>
                      <w:rFonts w:eastAsiaTheme="minorEastAsia"/>
                      <w:color w:val="auto"/>
                      <w:szCs w:val="21"/>
                    </w:rPr>
                  </w:pPr>
                </w:p>
              </w:tc>
              <w:tc>
                <w:tcPr>
                  <w:tcW w:w="626" w:type="pct"/>
                  <w:vMerge w:val="continue"/>
                  <w:vAlign w:val="center"/>
                </w:tcPr>
                <w:p w14:paraId="1928FC52">
                  <w:pPr>
                    <w:jc w:val="center"/>
                    <w:rPr>
                      <w:rFonts w:hint="eastAsia" w:eastAsiaTheme="minorEastAsia"/>
                      <w:color w:val="auto"/>
                      <w:szCs w:val="21"/>
                    </w:rPr>
                  </w:pPr>
                </w:p>
              </w:tc>
              <w:tc>
                <w:tcPr>
                  <w:tcW w:w="706" w:type="pct"/>
                  <w:vMerge w:val="continue"/>
                  <w:vAlign w:val="center"/>
                </w:tcPr>
                <w:p w14:paraId="17B98FEB">
                  <w:pPr>
                    <w:jc w:val="center"/>
                    <w:rPr>
                      <w:rFonts w:eastAsiaTheme="minorEastAsia"/>
                      <w:color w:val="auto"/>
                      <w:szCs w:val="21"/>
                    </w:rPr>
                  </w:pPr>
                </w:p>
              </w:tc>
              <w:tc>
                <w:tcPr>
                  <w:tcW w:w="544" w:type="pct"/>
                  <w:vAlign w:val="center"/>
                </w:tcPr>
                <w:p w14:paraId="1A8BEFD8">
                  <w:pPr>
                    <w:adjustRightInd w:val="0"/>
                    <w:snapToGrid w:val="0"/>
                    <w:jc w:val="center"/>
                    <w:rPr>
                      <w:rFonts w:eastAsiaTheme="minorEastAsia"/>
                      <w:color w:val="auto"/>
                      <w:szCs w:val="21"/>
                    </w:rPr>
                  </w:pPr>
                  <w:r>
                    <w:rPr>
                      <w:rFonts w:hint="eastAsia" w:eastAsiaTheme="minorEastAsia"/>
                      <w:color w:val="auto"/>
                      <w:szCs w:val="21"/>
                      <w:lang w:eastAsia="zh-CN"/>
                    </w:rPr>
                    <w:t>夜间</w:t>
                  </w:r>
                </w:p>
              </w:tc>
              <w:tc>
                <w:tcPr>
                  <w:tcW w:w="624" w:type="pct"/>
                  <w:vAlign w:val="center"/>
                </w:tcPr>
                <w:p w14:paraId="001A3BDC">
                  <w:pPr>
                    <w:adjustRightInd w:val="0"/>
                    <w:snapToGrid w:val="0"/>
                    <w:jc w:val="center"/>
                    <w:rPr>
                      <w:rFonts w:hint="eastAsia" w:eastAsiaTheme="minorEastAsia"/>
                      <w:color w:val="auto"/>
                      <w:szCs w:val="21"/>
                    </w:rPr>
                  </w:pPr>
                  <w:r>
                    <w:rPr>
                      <w:rFonts w:hint="eastAsia" w:eastAsiaTheme="minorEastAsia"/>
                      <w:color w:val="auto"/>
                      <w:szCs w:val="21"/>
                      <w:lang w:val="en-US" w:eastAsia="zh-CN"/>
                    </w:rPr>
                    <w:t>48.9</w:t>
                  </w:r>
                </w:p>
              </w:tc>
              <w:tc>
                <w:tcPr>
                  <w:tcW w:w="624" w:type="pct"/>
                  <w:vAlign w:val="center"/>
                </w:tcPr>
                <w:p w14:paraId="06E9DE38">
                  <w:pPr>
                    <w:adjustRightInd w:val="0"/>
                    <w:snapToGrid w:val="0"/>
                    <w:jc w:val="center"/>
                    <w:rPr>
                      <w:rFonts w:hint="eastAsia" w:eastAsiaTheme="minorEastAsia"/>
                      <w:color w:val="auto"/>
                      <w:szCs w:val="21"/>
                    </w:rPr>
                  </w:pPr>
                  <w:r>
                    <w:rPr>
                      <w:rFonts w:hint="eastAsia" w:eastAsiaTheme="minorEastAsia"/>
                      <w:color w:val="auto"/>
                      <w:szCs w:val="21"/>
                      <w:lang w:val="en-US" w:eastAsia="zh-CN"/>
                    </w:rPr>
                    <w:t>50</w:t>
                  </w:r>
                </w:p>
              </w:tc>
              <w:tc>
                <w:tcPr>
                  <w:tcW w:w="621" w:type="pct"/>
                  <w:vAlign w:val="center"/>
                </w:tcPr>
                <w:p w14:paraId="47A853D1">
                  <w:pPr>
                    <w:adjustRightInd w:val="0"/>
                    <w:snapToGrid w:val="0"/>
                    <w:jc w:val="center"/>
                    <w:rPr>
                      <w:rFonts w:eastAsiaTheme="minorEastAsia"/>
                      <w:color w:val="auto"/>
                      <w:szCs w:val="21"/>
                    </w:rPr>
                  </w:pPr>
                  <w:r>
                    <w:rPr>
                      <w:rFonts w:eastAsiaTheme="minorEastAsia"/>
                      <w:color w:val="auto"/>
                      <w:szCs w:val="21"/>
                    </w:rPr>
                    <w:t>达标</w:t>
                  </w:r>
                </w:p>
              </w:tc>
            </w:tr>
            <w:tr w14:paraId="0943D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61" w:type="pct"/>
                  <w:vMerge w:val="restart"/>
                  <w:vAlign w:val="center"/>
                </w:tcPr>
                <w:p w14:paraId="32D4AED8">
                  <w:pPr>
                    <w:widowControl/>
                    <w:adjustRightInd w:val="0"/>
                    <w:snapToGrid w:val="0"/>
                    <w:jc w:val="center"/>
                    <w:rPr>
                      <w:rFonts w:eastAsiaTheme="minorEastAsia"/>
                      <w:color w:val="auto"/>
                      <w:szCs w:val="21"/>
                    </w:rPr>
                  </w:pPr>
                  <w:r>
                    <w:rPr>
                      <w:rFonts w:eastAsiaTheme="minorEastAsia"/>
                      <w:color w:val="auto"/>
                      <w:szCs w:val="21"/>
                    </w:rPr>
                    <w:t>N4厂界北</w:t>
                  </w:r>
                </w:p>
              </w:tc>
              <w:tc>
                <w:tcPr>
                  <w:tcW w:w="491" w:type="pct"/>
                  <w:vMerge w:val="restart"/>
                  <w:vAlign w:val="center"/>
                </w:tcPr>
                <w:p w14:paraId="3A7C80EE">
                  <w:pPr>
                    <w:jc w:val="center"/>
                    <w:rPr>
                      <w:rFonts w:eastAsiaTheme="minorEastAsia"/>
                      <w:color w:val="auto"/>
                      <w:szCs w:val="21"/>
                    </w:rPr>
                  </w:pPr>
                  <w:r>
                    <w:rPr>
                      <w:rFonts w:hint="eastAsia" w:eastAsiaTheme="minorEastAsia"/>
                      <w:color w:val="auto"/>
                      <w:szCs w:val="21"/>
                    </w:rPr>
                    <w:t>40</w:t>
                  </w:r>
                </w:p>
              </w:tc>
              <w:tc>
                <w:tcPr>
                  <w:tcW w:w="626" w:type="pct"/>
                  <w:vMerge w:val="restart"/>
                  <w:vAlign w:val="center"/>
                </w:tcPr>
                <w:p w14:paraId="017D2158">
                  <w:pPr>
                    <w:jc w:val="center"/>
                    <w:rPr>
                      <w:rFonts w:eastAsiaTheme="minorEastAsia"/>
                      <w:color w:val="auto"/>
                      <w:szCs w:val="21"/>
                    </w:rPr>
                  </w:pPr>
                  <w:r>
                    <w:rPr>
                      <w:rFonts w:hint="eastAsia" w:eastAsiaTheme="minorEastAsia"/>
                      <w:color w:val="auto"/>
                      <w:szCs w:val="21"/>
                    </w:rPr>
                    <w:t>118</w:t>
                  </w:r>
                </w:p>
              </w:tc>
              <w:tc>
                <w:tcPr>
                  <w:tcW w:w="706" w:type="pct"/>
                  <w:vMerge w:val="restart"/>
                  <w:vAlign w:val="center"/>
                </w:tcPr>
                <w:p w14:paraId="6DF9F1E6">
                  <w:pPr>
                    <w:jc w:val="center"/>
                    <w:rPr>
                      <w:rFonts w:eastAsiaTheme="minorEastAsia"/>
                      <w:color w:val="auto"/>
                      <w:szCs w:val="21"/>
                    </w:rPr>
                  </w:pPr>
                  <w:r>
                    <w:rPr>
                      <w:rFonts w:eastAsiaTheme="minorEastAsia"/>
                      <w:color w:val="auto"/>
                      <w:szCs w:val="21"/>
                    </w:rPr>
                    <w:t>1.5</w:t>
                  </w:r>
                </w:p>
              </w:tc>
              <w:tc>
                <w:tcPr>
                  <w:tcW w:w="544" w:type="pct"/>
                  <w:vAlign w:val="center"/>
                </w:tcPr>
                <w:p w14:paraId="4BCDEC5B">
                  <w:pPr>
                    <w:adjustRightInd w:val="0"/>
                    <w:snapToGrid w:val="0"/>
                    <w:jc w:val="center"/>
                    <w:rPr>
                      <w:rFonts w:eastAsiaTheme="minorEastAsia"/>
                      <w:color w:val="auto"/>
                      <w:szCs w:val="21"/>
                    </w:rPr>
                  </w:pPr>
                  <w:r>
                    <w:rPr>
                      <w:rFonts w:eastAsiaTheme="minorEastAsia"/>
                      <w:color w:val="auto"/>
                      <w:szCs w:val="21"/>
                    </w:rPr>
                    <w:t>昼间</w:t>
                  </w:r>
                </w:p>
              </w:tc>
              <w:tc>
                <w:tcPr>
                  <w:tcW w:w="624" w:type="pct"/>
                  <w:vAlign w:val="center"/>
                </w:tcPr>
                <w:p w14:paraId="06241E75">
                  <w:pPr>
                    <w:adjustRightInd w:val="0"/>
                    <w:snapToGrid w:val="0"/>
                    <w:jc w:val="center"/>
                    <w:rPr>
                      <w:rFonts w:eastAsiaTheme="minorEastAsia"/>
                      <w:color w:val="auto"/>
                      <w:szCs w:val="21"/>
                    </w:rPr>
                  </w:pPr>
                  <w:r>
                    <w:rPr>
                      <w:rFonts w:hint="eastAsia" w:eastAsiaTheme="minorEastAsia"/>
                      <w:color w:val="auto"/>
                      <w:szCs w:val="21"/>
                    </w:rPr>
                    <w:t>42.3</w:t>
                  </w:r>
                </w:p>
              </w:tc>
              <w:tc>
                <w:tcPr>
                  <w:tcW w:w="624" w:type="pct"/>
                  <w:vAlign w:val="center"/>
                </w:tcPr>
                <w:p w14:paraId="6E940765">
                  <w:pPr>
                    <w:adjustRightInd w:val="0"/>
                    <w:snapToGrid w:val="0"/>
                    <w:jc w:val="center"/>
                    <w:rPr>
                      <w:rFonts w:eastAsiaTheme="minorEastAsia"/>
                      <w:color w:val="auto"/>
                      <w:szCs w:val="21"/>
                    </w:rPr>
                  </w:pPr>
                  <w:r>
                    <w:rPr>
                      <w:rFonts w:hint="eastAsia" w:eastAsiaTheme="minorEastAsia"/>
                      <w:color w:val="auto"/>
                      <w:szCs w:val="21"/>
                    </w:rPr>
                    <w:t>60</w:t>
                  </w:r>
                </w:p>
              </w:tc>
              <w:tc>
                <w:tcPr>
                  <w:tcW w:w="621" w:type="pct"/>
                  <w:vAlign w:val="center"/>
                </w:tcPr>
                <w:p w14:paraId="560DC3AA">
                  <w:pPr>
                    <w:adjustRightInd w:val="0"/>
                    <w:snapToGrid w:val="0"/>
                    <w:jc w:val="center"/>
                    <w:rPr>
                      <w:rFonts w:eastAsiaTheme="minorEastAsia"/>
                      <w:color w:val="auto"/>
                      <w:szCs w:val="21"/>
                    </w:rPr>
                  </w:pPr>
                  <w:r>
                    <w:rPr>
                      <w:rFonts w:eastAsiaTheme="minorEastAsia"/>
                      <w:color w:val="auto"/>
                      <w:szCs w:val="21"/>
                    </w:rPr>
                    <w:t>达标</w:t>
                  </w:r>
                </w:p>
              </w:tc>
            </w:tr>
            <w:tr w14:paraId="37967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61" w:type="pct"/>
                  <w:vMerge w:val="continue"/>
                  <w:vAlign w:val="center"/>
                </w:tcPr>
                <w:p w14:paraId="2811730A">
                  <w:pPr>
                    <w:widowControl/>
                    <w:adjustRightInd w:val="0"/>
                    <w:snapToGrid w:val="0"/>
                    <w:jc w:val="center"/>
                    <w:rPr>
                      <w:rFonts w:eastAsiaTheme="minorEastAsia"/>
                      <w:color w:val="auto"/>
                      <w:szCs w:val="21"/>
                    </w:rPr>
                  </w:pPr>
                </w:p>
              </w:tc>
              <w:tc>
                <w:tcPr>
                  <w:tcW w:w="491" w:type="pct"/>
                  <w:vMerge w:val="continue"/>
                  <w:vAlign w:val="center"/>
                </w:tcPr>
                <w:p w14:paraId="1CC4ACB9">
                  <w:pPr>
                    <w:jc w:val="center"/>
                    <w:rPr>
                      <w:rFonts w:hint="eastAsia" w:eastAsiaTheme="minorEastAsia"/>
                      <w:color w:val="auto"/>
                      <w:szCs w:val="21"/>
                    </w:rPr>
                  </w:pPr>
                </w:p>
              </w:tc>
              <w:tc>
                <w:tcPr>
                  <w:tcW w:w="626" w:type="pct"/>
                  <w:vMerge w:val="continue"/>
                  <w:vAlign w:val="center"/>
                </w:tcPr>
                <w:p w14:paraId="1561997A">
                  <w:pPr>
                    <w:jc w:val="center"/>
                    <w:rPr>
                      <w:rFonts w:hint="eastAsia" w:eastAsiaTheme="minorEastAsia"/>
                      <w:color w:val="auto"/>
                      <w:szCs w:val="21"/>
                    </w:rPr>
                  </w:pPr>
                </w:p>
              </w:tc>
              <w:tc>
                <w:tcPr>
                  <w:tcW w:w="706" w:type="pct"/>
                  <w:vMerge w:val="continue"/>
                  <w:vAlign w:val="center"/>
                </w:tcPr>
                <w:p w14:paraId="05F13EDC">
                  <w:pPr>
                    <w:jc w:val="center"/>
                    <w:rPr>
                      <w:rFonts w:eastAsiaTheme="minorEastAsia"/>
                      <w:color w:val="auto"/>
                      <w:szCs w:val="21"/>
                    </w:rPr>
                  </w:pPr>
                </w:p>
              </w:tc>
              <w:tc>
                <w:tcPr>
                  <w:tcW w:w="544" w:type="pct"/>
                  <w:vAlign w:val="center"/>
                </w:tcPr>
                <w:p w14:paraId="7B3D68E3">
                  <w:pPr>
                    <w:adjustRightInd w:val="0"/>
                    <w:snapToGrid w:val="0"/>
                    <w:jc w:val="center"/>
                    <w:rPr>
                      <w:rFonts w:eastAsiaTheme="minorEastAsia"/>
                      <w:color w:val="auto"/>
                      <w:szCs w:val="21"/>
                    </w:rPr>
                  </w:pPr>
                  <w:r>
                    <w:rPr>
                      <w:rFonts w:hint="eastAsia" w:eastAsiaTheme="minorEastAsia"/>
                      <w:color w:val="auto"/>
                      <w:szCs w:val="21"/>
                      <w:lang w:eastAsia="zh-CN"/>
                    </w:rPr>
                    <w:t>夜间</w:t>
                  </w:r>
                </w:p>
              </w:tc>
              <w:tc>
                <w:tcPr>
                  <w:tcW w:w="624" w:type="pct"/>
                  <w:vAlign w:val="center"/>
                </w:tcPr>
                <w:p w14:paraId="5C99B152">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42.3</w:t>
                  </w:r>
                </w:p>
              </w:tc>
              <w:tc>
                <w:tcPr>
                  <w:tcW w:w="624" w:type="pct"/>
                  <w:vAlign w:val="center"/>
                </w:tcPr>
                <w:p w14:paraId="44CE63BE">
                  <w:pPr>
                    <w:adjustRightInd w:val="0"/>
                    <w:snapToGrid w:val="0"/>
                    <w:jc w:val="center"/>
                    <w:rPr>
                      <w:rFonts w:hint="eastAsia" w:eastAsiaTheme="minorEastAsia"/>
                      <w:color w:val="auto"/>
                      <w:szCs w:val="21"/>
                    </w:rPr>
                  </w:pPr>
                  <w:r>
                    <w:rPr>
                      <w:rFonts w:hint="eastAsia" w:eastAsiaTheme="minorEastAsia"/>
                      <w:color w:val="auto"/>
                      <w:szCs w:val="21"/>
                      <w:lang w:val="en-US" w:eastAsia="zh-CN"/>
                    </w:rPr>
                    <w:t>50</w:t>
                  </w:r>
                </w:p>
              </w:tc>
              <w:tc>
                <w:tcPr>
                  <w:tcW w:w="621" w:type="pct"/>
                  <w:vAlign w:val="center"/>
                </w:tcPr>
                <w:p w14:paraId="2D0A81A2">
                  <w:pPr>
                    <w:adjustRightInd w:val="0"/>
                    <w:snapToGrid w:val="0"/>
                    <w:jc w:val="center"/>
                    <w:rPr>
                      <w:rFonts w:eastAsiaTheme="minorEastAsia"/>
                      <w:color w:val="auto"/>
                      <w:szCs w:val="21"/>
                    </w:rPr>
                  </w:pPr>
                  <w:r>
                    <w:rPr>
                      <w:rFonts w:eastAsiaTheme="minorEastAsia"/>
                      <w:color w:val="auto"/>
                      <w:szCs w:val="21"/>
                    </w:rPr>
                    <w:t>达标</w:t>
                  </w:r>
                </w:p>
              </w:tc>
            </w:tr>
          </w:tbl>
          <w:p w14:paraId="5E2D165F">
            <w:pPr>
              <w:autoSpaceDE w:val="0"/>
              <w:autoSpaceDN w:val="0"/>
              <w:adjustRightInd w:val="0"/>
              <w:snapToGrid w:val="0"/>
              <w:jc w:val="left"/>
              <w:rPr>
                <w:rFonts w:eastAsiaTheme="minorEastAsia"/>
                <w:color w:val="auto"/>
                <w:kern w:val="0"/>
                <w:sz w:val="18"/>
                <w:szCs w:val="18"/>
              </w:rPr>
            </w:pPr>
            <w:r>
              <w:rPr>
                <w:rFonts w:eastAsiaTheme="minorEastAsia"/>
                <w:color w:val="auto"/>
                <w:kern w:val="0"/>
                <w:sz w:val="18"/>
                <w:szCs w:val="18"/>
              </w:rPr>
              <w:t>注：</w:t>
            </w:r>
            <w:r>
              <w:rPr>
                <w:rFonts w:eastAsiaTheme="minorEastAsia"/>
                <w:color w:val="auto"/>
                <w:sz w:val="18"/>
                <w:szCs w:val="18"/>
              </w:rPr>
              <w:t>以厂区西南角为（0，0，0）点</w:t>
            </w:r>
            <w:r>
              <w:rPr>
                <w:rFonts w:eastAsiaTheme="minorEastAsia"/>
                <w:color w:val="auto"/>
                <w:kern w:val="0"/>
                <w:sz w:val="18"/>
                <w:szCs w:val="18"/>
              </w:rPr>
              <w:t>。</w:t>
            </w:r>
          </w:p>
          <w:p w14:paraId="7D0621FC">
            <w:pPr>
              <w:widowControl/>
              <w:adjustRightInd w:val="0"/>
              <w:snapToGrid w:val="0"/>
              <w:spacing w:before="120" w:beforeLines="50" w:line="360" w:lineRule="auto"/>
              <w:ind w:firstLine="480" w:firstLineChars="200"/>
              <w:rPr>
                <w:rFonts w:eastAsiaTheme="minorEastAsia"/>
                <w:color w:val="auto"/>
                <w:kern w:val="0"/>
                <w:sz w:val="24"/>
                <w:lang w:bidi="en-US"/>
              </w:rPr>
            </w:pPr>
            <w:bookmarkStart w:id="33" w:name="_Hlk364239474"/>
            <w:bookmarkStart w:id="34" w:name="OLE_LINK9"/>
            <w:r>
              <w:rPr>
                <w:rFonts w:eastAsiaTheme="minorEastAsia"/>
                <w:color w:val="auto"/>
                <w:kern w:val="0"/>
                <w:sz w:val="24"/>
                <w:lang w:bidi="en-US"/>
              </w:rPr>
              <w:t>从表</w:t>
            </w:r>
            <w:bookmarkEnd w:id="33"/>
            <w:bookmarkEnd w:id="34"/>
            <w:r>
              <w:rPr>
                <w:rFonts w:eastAsiaTheme="minorEastAsia"/>
                <w:color w:val="auto"/>
                <w:kern w:val="0"/>
                <w:sz w:val="24"/>
                <w:lang w:bidi="en-US"/>
              </w:rPr>
              <w:t>4.3-3可以看出：项目厂界噪声昼间</w:t>
            </w:r>
            <w:r>
              <w:rPr>
                <w:rFonts w:hint="eastAsia" w:eastAsiaTheme="minorEastAsia"/>
                <w:color w:val="auto"/>
                <w:kern w:val="0"/>
                <w:sz w:val="24"/>
                <w:lang w:eastAsia="zh-CN" w:bidi="en-US"/>
              </w:rPr>
              <w:t>、夜间</w:t>
            </w:r>
            <w:r>
              <w:rPr>
                <w:rFonts w:eastAsiaTheme="minorEastAsia"/>
                <w:color w:val="auto"/>
                <w:kern w:val="0"/>
                <w:sz w:val="24"/>
                <w:lang w:bidi="en-US"/>
              </w:rPr>
              <w:t>贡献值为</w:t>
            </w:r>
            <w:r>
              <w:rPr>
                <w:rFonts w:hint="eastAsia" w:eastAsiaTheme="minorEastAsia"/>
                <w:color w:val="auto"/>
                <w:kern w:val="0"/>
                <w:sz w:val="24"/>
                <w:lang w:bidi="en-US"/>
              </w:rPr>
              <w:t>42.3</w:t>
            </w:r>
            <w:r>
              <w:rPr>
                <w:rFonts w:eastAsiaTheme="minorEastAsia"/>
                <w:color w:val="auto"/>
                <w:kern w:val="0"/>
                <w:sz w:val="24"/>
                <w:lang w:bidi="en-US"/>
              </w:rPr>
              <w:t>~</w:t>
            </w:r>
            <w:r>
              <w:rPr>
                <w:rFonts w:hint="eastAsia" w:eastAsiaTheme="minorEastAsia"/>
                <w:color w:val="auto"/>
                <w:kern w:val="0"/>
                <w:sz w:val="24"/>
                <w:lang w:val="en-US" w:eastAsia="zh-CN" w:bidi="en-US"/>
              </w:rPr>
              <w:t>48.9</w:t>
            </w:r>
            <w:r>
              <w:rPr>
                <w:rFonts w:eastAsiaTheme="minorEastAsia"/>
                <w:color w:val="auto"/>
                <w:kern w:val="0"/>
                <w:sz w:val="24"/>
                <w:lang w:bidi="en-US"/>
              </w:rPr>
              <w:t>dB（A），</w:t>
            </w:r>
            <w:r>
              <w:rPr>
                <w:rStyle w:val="86"/>
                <w:color w:val="auto"/>
              </w:rPr>
              <w:t>厂界</w:t>
            </w:r>
            <w:r>
              <w:rPr>
                <w:rStyle w:val="86"/>
                <w:rFonts w:hint="eastAsia"/>
                <w:color w:val="auto"/>
              </w:rPr>
              <w:t>西侧、南侧、北侧</w:t>
            </w:r>
            <w:r>
              <w:rPr>
                <w:rFonts w:eastAsiaTheme="minorEastAsia"/>
                <w:color w:val="auto"/>
                <w:kern w:val="0"/>
                <w:sz w:val="24"/>
                <w:lang w:bidi="en-US"/>
              </w:rPr>
              <w:t>能够满足</w:t>
            </w:r>
            <w:r>
              <w:rPr>
                <w:rStyle w:val="86"/>
                <w:color w:val="auto"/>
              </w:rPr>
              <w:t>噪声《工业企业厂界环境噪声排放标准》（GB12348-2008）中</w:t>
            </w:r>
            <w:r>
              <w:rPr>
                <w:rStyle w:val="86"/>
                <w:rFonts w:hint="eastAsia"/>
                <w:color w:val="auto"/>
                <w:lang w:val="en-US" w:eastAsia="zh-CN"/>
              </w:rPr>
              <w:t>2</w:t>
            </w:r>
            <w:r>
              <w:rPr>
                <w:rStyle w:val="86"/>
                <w:rFonts w:hint="eastAsia"/>
                <w:color w:val="auto"/>
              </w:rPr>
              <w:t>类</w:t>
            </w:r>
            <w:r>
              <w:rPr>
                <w:rStyle w:val="86"/>
                <w:color w:val="auto"/>
              </w:rPr>
              <w:t>标准。厂界</w:t>
            </w:r>
            <w:r>
              <w:rPr>
                <w:rStyle w:val="86"/>
                <w:rFonts w:hint="eastAsia"/>
                <w:color w:val="auto"/>
              </w:rPr>
              <w:t>东侧满足</w:t>
            </w:r>
            <w:r>
              <w:rPr>
                <w:rStyle w:val="86"/>
                <w:color w:val="auto"/>
              </w:rPr>
              <w:t>《工业企业厂界环境噪声排放标准》（GB12348-2008）中</w:t>
            </w:r>
            <w:r>
              <w:rPr>
                <w:rStyle w:val="86"/>
                <w:rFonts w:hint="eastAsia"/>
                <w:color w:val="auto"/>
              </w:rPr>
              <w:t>4类</w:t>
            </w:r>
            <w:r>
              <w:rPr>
                <w:rStyle w:val="86"/>
                <w:color w:val="auto"/>
              </w:rPr>
              <w:t>标准。</w:t>
            </w:r>
            <w:r>
              <w:rPr>
                <w:rFonts w:eastAsiaTheme="minorEastAsia"/>
                <w:color w:val="auto"/>
                <w:kern w:val="0"/>
                <w:sz w:val="24"/>
                <w:lang w:bidi="en-US"/>
              </w:rPr>
              <w:t>因此项目噪声对环境的影响能够满足环境保护的要求。</w:t>
            </w:r>
          </w:p>
          <w:p w14:paraId="5FEB6AA3">
            <w:pPr>
              <w:widowControl/>
              <w:adjustRightInd w:val="0"/>
              <w:snapToGrid w:val="0"/>
              <w:spacing w:line="360" w:lineRule="auto"/>
              <w:ind w:firstLine="482" w:firstLineChars="200"/>
              <w:jc w:val="left"/>
              <w:rPr>
                <w:rFonts w:eastAsiaTheme="minorEastAsia"/>
                <w:b/>
                <w:color w:val="auto"/>
                <w:kern w:val="0"/>
                <w:sz w:val="24"/>
                <w:lang w:bidi="en-US"/>
              </w:rPr>
            </w:pPr>
            <w:r>
              <w:rPr>
                <w:rFonts w:eastAsiaTheme="minorEastAsia"/>
                <w:b/>
                <w:color w:val="auto"/>
                <w:kern w:val="0"/>
                <w:sz w:val="24"/>
                <w:lang w:bidi="en-US"/>
              </w:rPr>
              <w:t>3.3噪声源监测</w:t>
            </w:r>
          </w:p>
          <w:p w14:paraId="39D78006">
            <w:pPr>
              <w:widowControl/>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 xml:space="preserve">根据《排污单位自行监测技术指南 </w:t>
            </w:r>
            <w:r>
              <w:rPr>
                <w:rFonts w:hint="eastAsia" w:eastAsiaTheme="minorEastAsia"/>
                <w:color w:val="auto"/>
                <w:kern w:val="0"/>
                <w:sz w:val="24"/>
              </w:rPr>
              <w:t>人造板</w:t>
            </w:r>
            <w:r>
              <w:rPr>
                <w:rFonts w:eastAsiaTheme="minorEastAsia"/>
                <w:color w:val="auto"/>
                <w:kern w:val="0"/>
                <w:sz w:val="24"/>
              </w:rPr>
              <w:t>工业》（HJ 1</w:t>
            </w:r>
            <w:r>
              <w:rPr>
                <w:rFonts w:hint="eastAsia" w:eastAsiaTheme="minorEastAsia"/>
                <w:color w:val="auto"/>
                <w:kern w:val="0"/>
                <w:sz w:val="24"/>
              </w:rPr>
              <w:t>032</w:t>
            </w:r>
            <w:r>
              <w:rPr>
                <w:rFonts w:eastAsiaTheme="minorEastAsia"/>
                <w:color w:val="auto"/>
                <w:kern w:val="0"/>
                <w:sz w:val="24"/>
              </w:rPr>
              <w:t>—</w:t>
            </w:r>
            <w:r>
              <w:rPr>
                <w:rFonts w:hint="eastAsia" w:eastAsiaTheme="minorEastAsia"/>
                <w:color w:val="auto"/>
                <w:kern w:val="0"/>
                <w:sz w:val="24"/>
              </w:rPr>
              <w:t>2019</w:t>
            </w:r>
            <w:r>
              <w:rPr>
                <w:rFonts w:eastAsiaTheme="minorEastAsia"/>
                <w:color w:val="auto"/>
                <w:kern w:val="0"/>
                <w:sz w:val="24"/>
              </w:rPr>
              <w:t>）</w:t>
            </w:r>
            <w:r>
              <w:rPr>
                <w:rFonts w:eastAsiaTheme="minorEastAsia"/>
                <w:color w:val="auto"/>
                <w:sz w:val="24"/>
              </w:rPr>
              <w:t>要求需对厂界噪声的例行监测。</w:t>
            </w:r>
            <w:r>
              <w:rPr>
                <w:rFonts w:eastAsiaTheme="minorEastAsia"/>
                <w:color w:val="auto"/>
                <w:kern w:val="0"/>
                <w:sz w:val="24"/>
              </w:rPr>
              <w:t>监测的实施可以根据实际情况由厂方自测或委托有资质的环境监测单位监测，</w:t>
            </w:r>
            <w:r>
              <w:rPr>
                <w:rFonts w:eastAsiaTheme="minorEastAsia"/>
                <w:bCs/>
                <w:color w:val="auto"/>
                <w:kern w:val="0"/>
                <w:sz w:val="24"/>
                <w:lang w:bidi="en-US"/>
              </w:rPr>
              <w:t>建设项目噪声监测计划表4.3-4</w:t>
            </w:r>
            <w:r>
              <w:rPr>
                <w:rFonts w:eastAsiaTheme="minorEastAsia"/>
                <w:color w:val="auto"/>
                <w:kern w:val="0"/>
                <w:sz w:val="24"/>
              </w:rPr>
              <w:t>。</w:t>
            </w:r>
          </w:p>
          <w:p w14:paraId="3444F03C">
            <w:pPr>
              <w:widowControl/>
              <w:adjustRightInd w:val="0"/>
              <w:snapToGrid w:val="0"/>
              <w:ind w:firstLine="482" w:firstLineChars="200"/>
              <w:jc w:val="center"/>
              <w:rPr>
                <w:rFonts w:eastAsiaTheme="minorEastAsia"/>
                <w:b/>
                <w:bCs/>
                <w:color w:val="auto"/>
                <w:kern w:val="0"/>
                <w:sz w:val="24"/>
                <w:lang w:bidi="en-US"/>
              </w:rPr>
            </w:pPr>
            <w:r>
              <w:rPr>
                <w:rFonts w:eastAsiaTheme="minorEastAsia"/>
                <w:b/>
                <w:bCs/>
                <w:color w:val="auto"/>
                <w:kern w:val="0"/>
                <w:sz w:val="24"/>
                <w:lang w:bidi="en-US"/>
              </w:rPr>
              <w:t xml:space="preserve">表4.3-4  </w:t>
            </w:r>
            <w:r>
              <w:rPr>
                <w:rFonts w:hint="eastAsia" w:eastAsiaTheme="minorEastAsia"/>
                <w:b/>
                <w:bCs/>
                <w:color w:val="auto"/>
                <w:kern w:val="0"/>
                <w:sz w:val="24"/>
                <w:lang w:bidi="en-US"/>
              </w:rPr>
              <w:t>建设</w:t>
            </w:r>
            <w:r>
              <w:rPr>
                <w:rFonts w:eastAsiaTheme="minorEastAsia"/>
                <w:b/>
                <w:bCs/>
                <w:color w:val="auto"/>
                <w:kern w:val="0"/>
                <w:sz w:val="24"/>
                <w:lang w:bidi="en-US"/>
              </w:rPr>
              <w:t>项目噪声监测计划表</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907"/>
              <w:gridCol w:w="1144"/>
              <w:gridCol w:w="1270"/>
              <w:gridCol w:w="4064"/>
            </w:tblGrid>
            <w:tr w14:paraId="7D78C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137" w:type="pct"/>
                  <w:vAlign w:val="center"/>
                </w:tcPr>
                <w:p w14:paraId="3E9CEAB7">
                  <w:pPr>
                    <w:widowControl/>
                    <w:adjustRightInd w:val="0"/>
                    <w:snapToGrid w:val="0"/>
                    <w:jc w:val="center"/>
                    <w:rPr>
                      <w:rFonts w:eastAsiaTheme="minorEastAsia"/>
                      <w:b/>
                      <w:bCs/>
                      <w:color w:val="auto"/>
                      <w:kern w:val="0"/>
                      <w:szCs w:val="21"/>
                      <w:lang w:bidi="en-US"/>
                    </w:rPr>
                  </w:pPr>
                  <w:r>
                    <w:rPr>
                      <w:rFonts w:eastAsiaTheme="minorEastAsia"/>
                      <w:b/>
                      <w:bCs/>
                      <w:color w:val="auto"/>
                      <w:kern w:val="0"/>
                      <w:szCs w:val="21"/>
                      <w:lang w:bidi="en-US"/>
                    </w:rPr>
                    <w:t>监测点位</w:t>
                  </w:r>
                </w:p>
              </w:tc>
              <w:tc>
                <w:tcPr>
                  <w:tcW w:w="682" w:type="pct"/>
                  <w:vAlign w:val="center"/>
                </w:tcPr>
                <w:p w14:paraId="10C1D269">
                  <w:pPr>
                    <w:widowControl/>
                    <w:adjustRightInd w:val="0"/>
                    <w:snapToGrid w:val="0"/>
                    <w:jc w:val="center"/>
                    <w:rPr>
                      <w:rFonts w:eastAsiaTheme="minorEastAsia"/>
                      <w:b/>
                      <w:bCs/>
                      <w:color w:val="auto"/>
                      <w:kern w:val="0"/>
                      <w:szCs w:val="21"/>
                      <w:lang w:bidi="en-US"/>
                    </w:rPr>
                  </w:pPr>
                  <w:r>
                    <w:rPr>
                      <w:rFonts w:eastAsiaTheme="minorEastAsia"/>
                      <w:b/>
                      <w:bCs/>
                      <w:color w:val="auto"/>
                      <w:kern w:val="0"/>
                      <w:szCs w:val="21"/>
                      <w:lang w:bidi="en-US"/>
                    </w:rPr>
                    <w:t>监测指标</w:t>
                  </w:r>
                </w:p>
              </w:tc>
              <w:tc>
                <w:tcPr>
                  <w:tcW w:w="757" w:type="pct"/>
                  <w:vAlign w:val="center"/>
                </w:tcPr>
                <w:p w14:paraId="4825E878">
                  <w:pPr>
                    <w:widowControl/>
                    <w:adjustRightInd w:val="0"/>
                    <w:snapToGrid w:val="0"/>
                    <w:jc w:val="center"/>
                    <w:rPr>
                      <w:rFonts w:eastAsiaTheme="minorEastAsia"/>
                      <w:b/>
                      <w:bCs/>
                      <w:color w:val="auto"/>
                      <w:kern w:val="0"/>
                      <w:szCs w:val="21"/>
                      <w:lang w:bidi="en-US"/>
                    </w:rPr>
                  </w:pPr>
                  <w:r>
                    <w:rPr>
                      <w:rFonts w:eastAsiaTheme="minorEastAsia"/>
                      <w:b/>
                      <w:bCs/>
                      <w:color w:val="auto"/>
                      <w:kern w:val="0"/>
                      <w:szCs w:val="21"/>
                      <w:lang w:bidi="en-US"/>
                    </w:rPr>
                    <w:t>监测频次</w:t>
                  </w:r>
                </w:p>
              </w:tc>
              <w:tc>
                <w:tcPr>
                  <w:tcW w:w="2422" w:type="pct"/>
                  <w:vAlign w:val="center"/>
                </w:tcPr>
                <w:p w14:paraId="4E393149">
                  <w:pPr>
                    <w:widowControl/>
                    <w:adjustRightInd w:val="0"/>
                    <w:snapToGrid w:val="0"/>
                    <w:jc w:val="center"/>
                    <w:rPr>
                      <w:rFonts w:eastAsiaTheme="minorEastAsia"/>
                      <w:b/>
                      <w:bCs/>
                      <w:color w:val="auto"/>
                      <w:kern w:val="0"/>
                      <w:szCs w:val="21"/>
                      <w:lang w:bidi="en-US"/>
                    </w:rPr>
                  </w:pPr>
                  <w:r>
                    <w:rPr>
                      <w:rFonts w:eastAsiaTheme="minorEastAsia"/>
                      <w:b/>
                      <w:bCs/>
                      <w:color w:val="auto"/>
                      <w:kern w:val="0"/>
                      <w:szCs w:val="21"/>
                      <w:lang w:bidi="en-US"/>
                    </w:rPr>
                    <w:t>执行排放标准</w:t>
                  </w:r>
                </w:p>
              </w:tc>
            </w:tr>
            <w:tr w14:paraId="010AA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137" w:type="pct"/>
                  <w:vAlign w:val="center"/>
                </w:tcPr>
                <w:p w14:paraId="2DF84E7C">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厂区南侧、西侧、北侧边界</w:t>
                  </w:r>
                </w:p>
              </w:tc>
              <w:tc>
                <w:tcPr>
                  <w:tcW w:w="682" w:type="pct"/>
                  <w:vMerge w:val="restart"/>
                  <w:vAlign w:val="center"/>
                </w:tcPr>
                <w:p w14:paraId="03B097A0">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等效连续A声级</w:t>
                  </w:r>
                </w:p>
              </w:tc>
              <w:tc>
                <w:tcPr>
                  <w:tcW w:w="757" w:type="pct"/>
                  <w:vMerge w:val="restart"/>
                  <w:vAlign w:val="center"/>
                </w:tcPr>
                <w:p w14:paraId="593FC7B0">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1次/季度</w:t>
                  </w:r>
                </w:p>
              </w:tc>
              <w:tc>
                <w:tcPr>
                  <w:tcW w:w="2422" w:type="pct"/>
                  <w:vAlign w:val="center"/>
                </w:tcPr>
                <w:p w14:paraId="3B4FF92C">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《工业企业厂界环境噪声排放标准》（GB12348-2008）中的</w:t>
                  </w:r>
                  <w:r>
                    <w:rPr>
                      <w:rFonts w:hint="eastAsia" w:eastAsiaTheme="minorEastAsia"/>
                      <w:color w:val="auto"/>
                      <w:kern w:val="0"/>
                      <w:szCs w:val="21"/>
                      <w:lang w:val="en-US" w:eastAsia="zh-CN" w:bidi="en-US"/>
                    </w:rPr>
                    <w:t>2</w:t>
                  </w:r>
                  <w:r>
                    <w:rPr>
                      <w:rFonts w:eastAsiaTheme="minorEastAsia"/>
                      <w:color w:val="auto"/>
                      <w:kern w:val="0"/>
                      <w:szCs w:val="21"/>
                      <w:lang w:bidi="en-US"/>
                    </w:rPr>
                    <w:t>类标准</w:t>
                  </w:r>
                </w:p>
              </w:tc>
            </w:tr>
            <w:tr w14:paraId="13E51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137" w:type="pct"/>
                  <w:vAlign w:val="center"/>
                </w:tcPr>
                <w:p w14:paraId="045D3325">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厂区东侧边界</w:t>
                  </w:r>
                </w:p>
              </w:tc>
              <w:tc>
                <w:tcPr>
                  <w:tcW w:w="682" w:type="pct"/>
                  <w:vMerge w:val="continue"/>
                  <w:vAlign w:val="center"/>
                </w:tcPr>
                <w:p w14:paraId="4463CEEE">
                  <w:pPr>
                    <w:widowControl/>
                    <w:adjustRightInd w:val="0"/>
                    <w:snapToGrid w:val="0"/>
                    <w:jc w:val="center"/>
                    <w:rPr>
                      <w:rFonts w:eastAsiaTheme="minorEastAsia"/>
                      <w:color w:val="auto"/>
                      <w:kern w:val="0"/>
                      <w:szCs w:val="21"/>
                      <w:lang w:bidi="en-US"/>
                    </w:rPr>
                  </w:pPr>
                </w:p>
              </w:tc>
              <w:tc>
                <w:tcPr>
                  <w:tcW w:w="757" w:type="pct"/>
                  <w:vMerge w:val="continue"/>
                  <w:vAlign w:val="center"/>
                </w:tcPr>
                <w:p w14:paraId="0D7DE553">
                  <w:pPr>
                    <w:widowControl/>
                    <w:adjustRightInd w:val="0"/>
                    <w:snapToGrid w:val="0"/>
                    <w:jc w:val="center"/>
                    <w:rPr>
                      <w:rFonts w:eastAsiaTheme="minorEastAsia"/>
                      <w:color w:val="auto"/>
                      <w:kern w:val="0"/>
                      <w:szCs w:val="21"/>
                      <w:lang w:bidi="en-US"/>
                    </w:rPr>
                  </w:pPr>
                </w:p>
              </w:tc>
              <w:tc>
                <w:tcPr>
                  <w:tcW w:w="2422" w:type="pct"/>
                  <w:vAlign w:val="center"/>
                </w:tcPr>
                <w:p w14:paraId="66AE1889">
                  <w:pPr>
                    <w:widowControl/>
                    <w:adjustRightInd w:val="0"/>
                    <w:snapToGrid w:val="0"/>
                    <w:jc w:val="center"/>
                    <w:rPr>
                      <w:rFonts w:eastAsiaTheme="minorEastAsia"/>
                      <w:color w:val="auto"/>
                      <w:kern w:val="0"/>
                      <w:szCs w:val="21"/>
                      <w:lang w:bidi="en-US"/>
                    </w:rPr>
                  </w:pPr>
                  <w:r>
                    <w:rPr>
                      <w:rFonts w:eastAsiaTheme="minorEastAsia"/>
                      <w:color w:val="auto"/>
                      <w:kern w:val="0"/>
                      <w:szCs w:val="21"/>
                      <w:lang w:bidi="en-US"/>
                    </w:rPr>
                    <w:t>《工业企业厂界环境噪声排放标准》（GB12348-2008）中的4类标准</w:t>
                  </w:r>
                </w:p>
              </w:tc>
            </w:tr>
          </w:tbl>
          <w:p w14:paraId="38597C74">
            <w:pPr>
              <w:spacing w:line="360" w:lineRule="auto"/>
              <w:ind w:firstLine="482" w:firstLineChars="200"/>
              <w:contextualSpacing/>
              <w:rPr>
                <w:b/>
                <w:bCs/>
                <w:color w:val="auto"/>
                <w:sz w:val="24"/>
              </w:rPr>
            </w:pPr>
            <w:r>
              <w:rPr>
                <w:b/>
                <w:bCs/>
                <w:color w:val="auto"/>
                <w:sz w:val="24"/>
              </w:rPr>
              <w:t>4、固体废物</w:t>
            </w:r>
          </w:p>
          <w:p w14:paraId="0737CB8B">
            <w:pPr>
              <w:widowControl/>
              <w:autoSpaceDE w:val="0"/>
              <w:autoSpaceDN w:val="0"/>
              <w:adjustRightInd w:val="0"/>
              <w:snapToGrid w:val="0"/>
              <w:spacing w:line="360" w:lineRule="auto"/>
              <w:ind w:firstLine="482" w:firstLineChars="200"/>
              <w:jc w:val="left"/>
              <w:rPr>
                <w:rFonts w:eastAsiaTheme="minorEastAsia"/>
                <w:b/>
                <w:color w:val="auto"/>
                <w:kern w:val="0"/>
                <w:sz w:val="24"/>
              </w:rPr>
            </w:pPr>
            <w:r>
              <w:rPr>
                <w:rFonts w:eastAsiaTheme="minorEastAsia"/>
                <w:b/>
                <w:color w:val="auto"/>
                <w:kern w:val="0"/>
                <w:sz w:val="24"/>
              </w:rPr>
              <w:t>4.1固体废物产生环节及源强分析</w:t>
            </w:r>
          </w:p>
          <w:p w14:paraId="5A80F947">
            <w:pPr>
              <w:widowControl/>
              <w:adjustRightInd w:val="0"/>
              <w:snapToGrid w:val="0"/>
              <w:spacing w:line="360" w:lineRule="auto"/>
              <w:ind w:firstLine="480" w:firstLineChars="200"/>
              <w:jc w:val="left"/>
              <w:rPr>
                <w:rFonts w:eastAsiaTheme="minorEastAsia"/>
                <w:bCs/>
                <w:color w:val="auto"/>
                <w:kern w:val="0"/>
                <w:sz w:val="24"/>
              </w:rPr>
            </w:pPr>
            <w:r>
              <w:rPr>
                <w:rFonts w:eastAsiaTheme="minorEastAsia"/>
                <w:bCs/>
                <w:color w:val="auto"/>
                <w:kern w:val="0"/>
                <w:sz w:val="24"/>
              </w:rPr>
              <w:t>根据《中华人民共和国固体废物污染环境防治法</w:t>
            </w:r>
            <w:r>
              <w:rPr>
                <w:rFonts w:hint="eastAsia" w:eastAsiaTheme="minorEastAsia"/>
                <w:bCs/>
                <w:color w:val="auto"/>
                <w:kern w:val="0"/>
                <w:sz w:val="24"/>
                <w:lang w:eastAsia="zh-CN"/>
              </w:rPr>
              <w:t>》《</w:t>
            </w:r>
            <w:r>
              <w:rPr>
                <w:rFonts w:eastAsiaTheme="minorEastAsia"/>
                <w:bCs/>
                <w:color w:val="auto"/>
                <w:kern w:val="0"/>
                <w:sz w:val="24"/>
              </w:rPr>
              <w:t>固体废物鉴别标准通则》（GB34330-2017）的规定，判断</w:t>
            </w:r>
            <w:r>
              <w:rPr>
                <w:rFonts w:hint="eastAsia" w:eastAsiaTheme="minorEastAsia"/>
                <w:bCs/>
                <w:color w:val="auto"/>
                <w:kern w:val="0"/>
                <w:sz w:val="24"/>
              </w:rPr>
              <w:t>建设</w:t>
            </w:r>
            <w:r>
              <w:rPr>
                <w:rFonts w:eastAsiaTheme="minorEastAsia"/>
                <w:bCs/>
                <w:color w:val="auto"/>
                <w:kern w:val="0"/>
                <w:sz w:val="24"/>
              </w:rPr>
              <w:t>项目生产过程中产生的副产物是否属于固体废物。</w:t>
            </w:r>
            <w:r>
              <w:rPr>
                <w:rFonts w:hint="eastAsia" w:eastAsiaTheme="minorEastAsia"/>
                <w:bCs/>
                <w:color w:val="auto"/>
                <w:kern w:val="0"/>
                <w:sz w:val="24"/>
              </w:rPr>
              <w:t>建设</w:t>
            </w:r>
            <w:r>
              <w:rPr>
                <w:rFonts w:eastAsiaTheme="minorEastAsia"/>
                <w:bCs/>
                <w:color w:val="auto"/>
                <w:kern w:val="0"/>
                <w:sz w:val="24"/>
              </w:rPr>
              <w:t>项目固体废物的副产物属性判定见表</w:t>
            </w:r>
            <w:r>
              <w:rPr>
                <w:rFonts w:eastAsiaTheme="minorEastAsia"/>
                <w:bCs/>
                <w:color w:val="auto"/>
                <w:kern w:val="0"/>
                <w:sz w:val="24"/>
                <w:lang w:bidi="en-US"/>
              </w:rPr>
              <w:t>4.4-1</w:t>
            </w:r>
            <w:r>
              <w:rPr>
                <w:rFonts w:hint="eastAsia" w:eastAsiaTheme="minorEastAsia"/>
                <w:bCs/>
                <w:color w:val="auto"/>
                <w:kern w:val="0"/>
                <w:sz w:val="24"/>
              </w:rPr>
              <w:t>，</w:t>
            </w:r>
            <w:r>
              <w:rPr>
                <w:rFonts w:eastAsiaTheme="minorEastAsia"/>
                <w:bCs/>
                <w:color w:val="auto"/>
                <w:kern w:val="0"/>
                <w:sz w:val="24"/>
              </w:rPr>
              <w:t>污染源源强核算结果及相关参数一览详见表</w:t>
            </w:r>
            <w:r>
              <w:rPr>
                <w:rFonts w:eastAsiaTheme="minorEastAsia"/>
                <w:bCs/>
                <w:color w:val="auto"/>
                <w:kern w:val="0"/>
                <w:sz w:val="24"/>
                <w:lang w:bidi="en-US"/>
              </w:rPr>
              <w:t>4.4-2</w:t>
            </w:r>
            <w:r>
              <w:rPr>
                <w:rFonts w:eastAsiaTheme="minorEastAsia"/>
                <w:bCs/>
                <w:color w:val="auto"/>
                <w:kern w:val="0"/>
                <w:sz w:val="24"/>
              </w:rPr>
              <w:t>。</w:t>
            </w:r>
          </w:p>
          <w:p w14:paraId="6C3A6C4F">
            <w:pPr>
              <w:adjustRightInd w:val="0"/>
              <w:snapToGrid w:val="0"/>
              <w:jc w:val="center"/>
              <w:rPr>
                <w:rFonts w:eastAsiaTheme="minorEastAsia"/>
                <w:color w:val="auto"/>
                <w:kern w:val="0"/>
                <w:szCs w:val="21"/>
              </w:rPr>
            </w:pPr>
            <w:r>
              <w:rPr>
                <w:rFonts w:eastAsiaTheme="minorEastAsia"/>
                <w:b/>
                <w:color w:val="auto"/>
                <w:kern w:val="0"/>
                <w:sz w:val="24"/>
              </w:rPr>
              <w:t>表</w:t>
            </w:r>
            <w:r>
              <w:rPr>
                <w:rFonts w:eastAsiaTheme="minorEastAsia"/>
                <w:b/>
                <w:bCs/>
                <w:color w:val="auto"/>
                <w:kern w:val="0"/>
                <w:sz w:val="24"/>
                <w:lang w:bidi="en-US"/>
              </w:rPr>
              <w:t xml:space="preserve">4.4-1  </w:t>
            </w:r>
            <w:r>
              <w:rPr>
                <w:rFonts w:hint="eastAsia" w:eastAsiaTheme="minorEastAsia"/>
                <w:b/>
                <w:bCs/>
                <w:color w:val="auto"/>
                <w:kern w:val="0"/>
                <w:sz w:val="24"/>
                <w:lang w:bidi="en-US"/>
              </w:rPr>
              <w:t>建设</w:t>
            </w:r>
            <w:r>
              <w:rPr>
                <w:rFonts w:eastAsiaTheme="minorEastAsia"/>
                <w:b/>
                <w:color w:val="auto"/>
                <w:kern w:val="0"/>
                <w:sz w:val="24"/>
              </w:rPr>
              <w:t>项目固体废物属性判定表</w:t>
            </w:r>
            <w:r>
              <w:rPr>
                <w:rFonts w:eastAsiaTheme="minorEastAsia"/>
                <w:color w:val="auto"/>
                <w:kern w:val="0"/>
                <w:szCs w:val="21"/>
              </w:rPr>
              <w:t>单位：t/a</w:t>
            </w:r>
          </w:p>
          <w:tbl>
            <w:tblPr>
              <w:tblStyle w:val="4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69"/>
              <w:gridCol w:w="1072"/>
              <w:gridCol w:w="483"/>
              <w:gridCol w:w="1464"/>
              <w:gridCol w:w="899"/>
              <w:gridCol w:w="681"/>
              <w:gridCol w:w="585"/>
              <w:gridCol w:w="1700"/>
            </w:tblGrid>
            <w:tr w14:paraId="4E9CA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vAlign w:val="center"/>
                </w:tcPr>
                <w:p w14:paraId="1370A89E">
                  <w:pPr>
                    <w:adjustRightInd w:val="0"/>
                    <w:snapToGrid w:val="0"/>
                    <w:jc w:val="center"/>
                    <w:rPr>
                      <w:rFonts w:eastAsiaTheme="minorEastAsia"/>
                      <w:b/>
                      <w:color w:val="auto"/>
                      <w:szCs w:val="21"/>
                    </w:rPr>
                  </w:pPr>
                  <w:r>
                    <w:rPr>
                      <w:rFonts w:eastAsiaTheme="minorEastAsia"/>
                      <w:b/>
                      <w:color w:val="auto"/>
                      <w:szCs w:val="21"/>
                    </w:rPr>
                    <w:t>序号</w:t>
                  </w:r>
                </w:p>
              </w:tc>
              <w:tc>
                <w:tcPr>
                  <w:tcW w:w="638" w:type="pct"/>
                  <w:vMerge w:val="restart"/>
                  <w:vAlign w:val="center"/>
                </w:tcPr>
                <w:p w14:paraId="16C06FE8">
                  <w:pPr>
                    <w:adjustRightInd w:val="0"/>
                    <w:snapToGrid w:val="0"/>
                    <w:jc w:val="center"/>
                    <w:rPr>
                      <w:rFonts w:eastAsiaTheme="minorEastAsia"/>
                      <w:b/>
                      <w:color w:val="auto"/>
                      <w:szCs w:val="21"/>
                    </w:rPr>
                  </w:pPr>
                  <w:r>
                    <w:rPr>
                      <w:rFonts w:eastAsiaTheme="minorEastAsia"/>
                      <w:b/>
                      <w:color w:val="auto"/>
                      <w:szCs w:val="21"/>
                    </w:rPr>
                    <w:t>名称</w:t>
                  </w:r>
                </w:p>
              </w:tc>
              <w:tc>
                <w:tcPr>
                  <w:tcW w:w="639" w:type="pct"/>
                  <w:vMerge w:val="restart"/>
                  <w:vAlign w:val="center"/>
                </w:tcPr>
                <w:p w14:paraId="16C3DCBF">
                  <w:pPr>
                    <w:adjustRightInd w:val="0"/>
                    <w:snapToGrid w:val="0"/>
                    <w:jc w:val="center"/>
                    <w:rPr>
                      <w:rFonts w:eastAsiaTheme="minorEastAsia"/>
                      <w:b/>
                      <w:color w:val="auto"/>
                      <w:szCs w:val="21"/>
                    </w:rPr>
                  </w:pPr>
                  <w:r>
                    <w:rPr>
                      <w:rFonts w:eastAsiaTheme="minorEastAsia"/>
                      <w:b/>
                      <w:color w:val="auto"/>
                      <w:szCs w:val="21"/>
                    </w:rPr>
                    <w:t>产生工序</w:t>
                  </w:r>
                </w:p>
              </w:tc>
              <w:tc>
                <w:tcPr>
                  <w:tcW w:w="288" w:type="pct"/>
                  <w:vMerge w:val="restart"/>
                  <w:vAlign w:val="center"/>
                </w:tcPr>
                <w:p w14:paraId="60146BCE">
                  <w:pPr>
                    <w:adjustRightInd w:val="0"/>
                    <w:snapToGrid w:val="0"/>
                    <w:jc w:val="center"/>
                    <w:rPr>
                      <w:rFonts w:eastAsiaTheme="minorEastAsia"/>
                      <w:b/>
                      <w:color w:val="auto"/>
                      <w:szCs w:val="21"/>
                    </w:rPr>
                  </w:pPr>
                  <w:r>
                    <w:rPr>
                      <w:rFonts w:eastAsiaTheme="minorEastAsia"/>
                      <w:b/>
                      <w:color w:val="auto"/>
                      <w:szCs w:val="21"/>
                    </w:rPr>
                    <w:t>形态</w:t>
                  </w:r>
                </w:p>
              </w:tc>
              <w:tc>
                <w:tcPr>
                  <w:tcW w:w="873" w:type="pct"/>
                  <w:vMerge w:val="restart"/>
                  <w:vAlign w:val="center"/>
                </w:tcPr>
                <w:p w14:paraId="4438D0C2">
                  <w:pPr>
                    <w:adjustRightInd w:val="0"/>
                    <w:snapToGrid w:val="0"/>
                    <w:jc w:val="center"/>
                    <w:rPr>
                      <w:rFonts w:eastAsiaTheme="minorEastAsia"/>
                      <w:b/>
                      <w:color w:val="auto"/>
                      <w:szCs w:val="21"/>
                    </w:rPr>
                  </w:pPr>
                  <w:r>
                    <w:rPr>
                      <w:rFonts w:eastAsiaTheme="minorEastAsia"/>
                      <w:b/>
                      <w:color w:val="auto"/>
                      <w:szCs w:val="21"/>
                    </w:rPr>
                    <w:t>主要成分</w:t>
                  </w:r>
                </w:p>
              </w:tc>
              <w:tc>
                <w:tcPr>
                  <w:tcW w:w="536" w:type="pct"/>
                  <w:vMerge w:val="restart"/>
                  <w:vAlign w:val="center"/>
                </w:tcPr>
                <w:p w14:paraId="33279968">
                  <w:pPr>
                    <w:adjustRightInd w:val="0"/>
                    <w:snapToGrid w:val="0"/>
                    <w:jc w:val="center"/>
                    <w:rPr>
                      <w:rFonts w:eastAsiaTheme="minorEastAsia"/>
                      <w:b/>
                      <w:color w:val="auto"/>
                      <w:szCs w:val="21"/>
                    </w:rPr>
                  </w:pPr>
                  <w:r>
                    <w:rPr>
                      <w:rFonts w:eastAsiaTheme="minorEastAsia"/>
                      <w:b/>
                      <w:color w:val="auto"/>
                      <w:szCs w:val="21"/>
                    </w:rPr>
                    <w:t>产生量</w:t>
                  </w:r>
                </w:p>
              </w:tc>
              <w:tc>
                <w:tcPr>
                  <w:tcW w:w="1769" w:type="pct"/>
                  <w:gridSpan w:val="3"/>
                  <w:vAlign w:val="center"/>
                </w:tcPr>
                <w:p w14:paraId="3A5BAD63">
                  <w:pPr>
                    <w:adjustRightInd w:val="0"/>
                    <w:snapToGrid w:val="0"/>
                    <w:jc w:val="center"/>
                    <w:rPr>
                      <w:rFonts w:eastAsiaTheme="minorEastAsia"/>
                      <w:b/>
                      <w:color w:val="auto"/>
                      <w:szCs w:val="21"/>
                    </w:rPr>
                  </w:pPr>
                  <w:r>
                    <w:rPr>
                      <w:rFonts w:eastAsiaTheme="minorEastAsia"/>
                      <w:b/>
                      <w:color w:val="auto"/>
                      <w:szCs w:val="21"/>
                    </w:rPr>
                    <w:t>种类判断</w:t>
                  </w:r>
                </w:p>
              </w:tc>
            </w:tr>
            <w:tr w14:paraId="315CB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vAlign w:val="center"/>
                </w:tcPr>
                <w:p w14:paraId="3414FEFC">
                  <w:pPr>
                    <w:adjustRightInd w:val="0"/>
                    <w:snapToGrid w:val="0"/>
                    <w:jc w:val="center"/>
                    <w:rPr>
                      <w:rFonts w:eastAsiaTheme="minorEastAsia"/>
                      <w:b/>
                      <w:color w:val="auto"/>
                      <w:szCs w:val="21"/>
                    </w:rPr>
                  </w:pPr>
                </w:p>
              </w:tc>
              <w:tc>
                <w:tcPr>
                  <w:tcW w:w="638" w:type="pct"/>
                  <w:vMerge w:val="continue"/>
                  <w:vAlign w:val="center"/>
                </w:tcPr>
                <w:p w14:paraId="23273719">
                  <w:pPr>
                    <w:adjustRightInd w:val="0"/>
                    <w:snapToGrid w:val="0"/>
                    <w:jc w:val="center"/>
                    <w:rPr>
                      <w:rFonts w:eastAsiaTheme="minorEastAsia"/>
                      <w:b/>
                      <w:color w:val="auto"/>
                      <w:szCs w:val="21"/>
                    </w:rPr>
                  </w:pPr>
                </w:p>
              </w:tc>
              <w:tc>
                <w:tcPr>
                  <w:tcW w:w="639" w:type="pct"/>
                  <w:vMerge w:val="continue"/>
                  <w:vAlign w:val="center"/>
                </w:tcPr>
                <w:p w14:paraId="57DE6AB5">
                  <w:pPr>
                    <w:adjustRightInd w:val="0"/>
                    <w:snapToGrid w:val="0"/>
                    <w:jc w:val="center"/>
                    <w:rPr>
                      <w:rFonts w:eastAsiaTheme="minorEastAsia"/>
                      <w:b/>
                      <w:color w:val="auto"/>
                      <w:szCs w:val="21"/>
                    </w:rPr>
                  </w:pPr>
                </w:p>
              </w:tc>
              <w:tc>
                <w:tcPr>
                  <w:tcW w:w="288" w:type="pct"/>
                  <w:vMerge w:val="continue"/>
                  <w:vAlign w:val="center"/>
                </w:tcPr>
                <w:p w14:paraId="06952125">
                  <w:pPr>
                    <w:adjustRightInd w:val="0"/>
                    <w:snapToGrid w:val="0"/>
                    <w:jc w:val="center"/>
                    <w:rPr>
                      <w:rFonts w:eastAsiaTheme="minorEastAsia"/>
                      <w:b/>
                      <w:color w:val="auto"/>
                      <w:szCs w:val="21"/>
                    </w:rPr>
                  </w:pPr>
                </w:p>
              </w:tc>
              <w:tc>
                <w:tcPr>
                  <w:tcW w:w="873" w:type="pct"/>
                  <w:vMerge w:val="continue"/>
                  <w:vAlign w:val="center"/>
                </w:tcPr>
                <w:p w14:paraId="22123457">
                  <w:pPr>
                    <w:adjustRightInd w:val="0"/>
                    <w:snapToGrid w:val="0"/>
                    <w:jc w:val="center"/>
                    <w:rPr>
                      <w:rFonts w:eastAsiaTheme="minorEastAsia"/>
                      <w:b/>
                      <w:color w:val="auto"/>
                      <w:szCs w:val="21"/>
                    </w:rPr>
                  </w:pPr>
                </w:p>
              </w:tc>
              <w:tc>
                <w:tcPr>
                  <w:tcW w:w="536" w:type="pct"/>
                  <w:vMerge w:val="continue"/>
                  <w:vAlign w:val="center"/>
                </w:tcPr>
                <w:p w14:paraId="23ABD554">
                  <w:pPr>
                    <w:adjustRightInd w:val="0"/>
                    <w:snapToGrid w:val="0"/>
                    <w:jc w:val="center"/>
                    <w:rPr>
                      <w:rFonts w:eastAsiaTheme="minorEastAsia"/>
                      <w:b/>
                      <w:color w:val="auto"/>
                      <w:szCs w:val="21"/>
                    </w:rPr>
                  </w:pPr>
                </w:p>
              </w:tc>
              <w:tc>
                <w:tcPr>
                  <w:tcW w:w="406" w:type="pct"/>
                  <w:vAlign w:val="center"/>
                </w:tcPr>
                <w:p w14:paraId="478433F7">
                  <w:pPr>
                    <w:adjustRightInd w:val="0"/>
                    <w:snapToGrid w:val="0"/>
                    <w:jc w:val="center"/>
                    <w:rPr>
                      <w:rFonts w:eastAsiaTheme="minorEastAsia"/>
                      <w:b/>
                      <w:color w:val="auto"/>
                      <w:szCs w:val="21"/>
                    </w:rPr>
                  </w:pPr>
                  <w:r>
                    <w:rPr>
                      <w:rFonts w:eastAsiaTheme="minorEastAsia"/>
                      <w:b/>
                      <w:color w:val="auto"/>
                      <w:szCs w:val="21"/>
                    </w:rPr>
                    <w:t>固体废物</w:t>
                  </w:r>
                </w:p>
              </w:tc>
              <w:tc>
                <w:tcPr>
                  <w:tcW w:w="349" w:type="pct"/>
                  <w:vAlign w:val="center"/>
                </w:tcPr>
                <w:p w14:paraId="7A327A32">
                  <w:pPr>
                    <w:adjustRightInd w:val="0"/>
                    <w:snapToGrid w:val="0"/>
                    <w:jc w:val="center"/>
                    <w:rPr>
                      <w:rFonts w:eastAsiaTheme="minorEastAsia"/>
                      <w:b/>
                      <w:color w:val="auto"/>
                      <w:szCs w:val="21"/>
                    </w:rPr>
                  </w:pPr>
                  <w:r>
                    <w:rPr>
                      <w:rFonts w:eastAsiaTheme="minorEastAsia"/>
                      <w:b/>
                      <w:color w:val="auto"/>
                      <w:szCs w:val="21"/>
                    </w:rPr>
                    <w:t>副产品</w:t>
                  </w:r>
                </w:p>
              </w:tc>
              <w:tc>
                <w:tcPr>
                  <w:tcW w:w="1014" w:type="pct"/>
                  <w:vAlign w:val="center"/>
                </w:tcPr>
                <w:p w14:paraId="61EE7D90">
                  <w:pPr>
                    <w:adjustRightInd w:val="0"/>
                    <w:snapToGrid w:val="0"/>
                    <w:jc w:val="center"/>
                    <w:rPr>
                      <w:rFonts w:eastAsiaTheme="minorEastAsia"/>
                      <w:b/>
                      <w:color w:val="auto"/>
                      <w:szCs w:val="21"/>
                    </w:rPr>
                  </w:pPr>
                  <w:r>
                    <w:rPr>
                      <w:rFonts w:eastAsiaTheme="minorEastAsia"/>
                      <w:b/>
                      <w:color w:val="auto"/>
                      <w:szCs w:val="21"/>
                    </w:rPr>
                    <w:t>判定依据</w:t>
                  </w:r>
                </w:p>
              </w:tc>
            </w:tr>
            <w:tr w14:paraId="5CD57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4BB0E6E4">
                  <w:pPr>
                    <w:adjustRightInd w:val="0"/>
                    <w:snapToGrid w:val="0"/>
                    <w:jc w:val="center"/>
                    <w:rPr>
                      <w:rFonts w:eastAsiaTheme="minorEastAsia"/>
                      <w:color w:val="auto"/>
                      <w:szCs w:val="21"/>
                    </w:rPr>
                  </w:pPr>
                  <w:r>
                    <w:rPr>
                      <w:rFonts w:eastAsiaTheme="minorEastAsia"/>
                      <w:color w:val="auto"/>
                      <w:szCs w:val="21"/>
                    </w:rPr>
                    <w:t>1</w:t>
                  </w:r>
                </w:p>
              </w:tc>
              <w:tc>
                <w:tcPr>
                  <w:tcW w:w="638" w:type="pct"/>
                  <w:vAlign w:val="center"/>
                </w:tcPr>
                <w:p w14:paraId="469542CC">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废活性炭</w:t>
                  </w:r>
                </w:p>
              </w:tc>
              <w:tc>
                <w:tcPr>
                  <w:tcW w:w="639" w:type="pct"/>
                  <w:vAlign w:val="center"/>
                </w:tcPr>
                <w:p w14:paraId="23B37E99">
                  <w:pPr>
                    <w:jc w:val="center"/>
                    <w:rPr>
                      <w:rFonts w:eastAsiaTheme="minorEastAsia"/>
                      <w:color w:val="auto"/>
                      <w:szCs w:val="21"/>
                    </w:rPr>
                  </w:pPr>
                  <w:r>
                    <w:rPr>
                      <w:rFonts w:hint="eastAsia" w:eastAsiaTheme="minorEastAsia"/>
                      <w:color w:val="auto"/>
                      <w:szCs w:val="21"/>
                    </w:rPr>
                    <w:t>废气</w:t>
                  </w:r>
                </w:p>
                <w:p w14:paraId="6DB57BD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治理</w:t>
                  </w:r>
                </w:p>
              </w:tc>
              <w:tc>
                <w:tcPr>
                  <w:tcW w:w="288" w:type="pct"/>
                  <w:vAlign w:val="center"/>
                </w:tcPr>
                <w:p w14:paraId="3EF6BE2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873" w:type="pct"/>
                  <w:vAlign w:val="center"/>
                </w:tcPr>
                <w:p w14:paraId="23A8E34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活性炭</w:t>
                  </w:r>
                </w:p>
              </w:tc>
              <w:tc>
                <w:tcPr>
                  <w:tcW w:w="536" w:type="pct"/>
                  <w:vAlign w:val="center"/>
                </w:tcPr>
                <w:p w14:paraId="1FC4F5BC">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1.77</w:t>
                  </w:r>
                </w:p>
              </w:tc>
              <w:tc>
                <w:tcPr>
                  <w:tcW w:w="406" w:type="pct"/>
                  <w:vAlign w:val="center"/>
                </w:tcPr>
                <w:p w14:paraId="7E5564C5">
                  <w:pPr>
                    <w:jc w:val="center"/>
                    <w:rPr>
                      <w:rFonts w:eastAsiaTheme="minorEastAsia"/>
                      <w:color w:val="auto"/>
                      <w:szCs w:val="21"/>
                    </w:rPr>
                  </w:pPr>
                  <w:r>
                    <w:rPr>
                      <w:rFonts w:hint="eastAsia" w:eastAsiaTheme="minorEastAsia"/>
                      <w:color w:val="auto"/>
                      <w:szCs w:val="21"/>
                    </w:rPr>
                    <w:t>√</w:t>
                  </w:r>
                </w:p>
              </w:tc>
              <w:tc>
                <w:tcPr>
                  <w:tcW w:w="349" w:type="pct"/>
                  <w:vAlign w:val="center"/>
                </w:tcPr>
                <w:p w14:paraId="4567B05A">
                  <w:pPr>
                    <w:jc w:val="center"/>
                    <w:rPr>
                      <w:rFonts w:eastAsiaTheme="minorEastAsia"/>
                      <w:color w:val="auto"/>
                      <w:szCs w:val="21"/>
                    </w:rPr>
                  </w:pPr>
                  <w:r>
                    <w:rPr>
                      <w:rFonts w:hint="eastAsia" w:eastAsiaTheme="minorEastAsia"/>
                      <w:color w:val="auto"/>
                      <w:szCs w:val="21"/>
                    </w:rPr>
                    <w:t>/</w:t>
                  </w:r>
                </w:p>
              </w:tc>
              <w:tc>
                <w:tcPr>
                  <w:tcW w:w="1014" w:type="pct"/>
                  <w:vMerge w:val="restart"/>
                  <w:vAlign w:val="center"/>
                </w:tcPr>
                <w:p w14:paraId="114B9543">
                  <w:pPr>
                    <w:adjustRightInd w:val="0"/>
                    <w:snapToGrid w:val="0"/>
                    <w:jc w:val="center"/>
                    <w:rPr>
                      <w:rFonts w:eastAsiaTheme="minorEastAsia"/>
                      <w:color w:val="auto"/>
                      <w:szCs w:val="21"/>
                    </w:rPr>
                  </w:pPr>
                  <w:r>
                    <w:rPr>
                      <w:rFonts w:eastAsiaTheme="minorEastAsia"/>
                      <w:color w:val="auto"/>
                      <w:szCs w:val="21"/>
                    </w:rPr>
                    <w:t>《固体废物鉴别标准通则》(GB34330-201</w:t>
                  </w:r>
                  <w:r>
                    <w:rPr>
                      <w:rFonts w:hint="eastAsia" w:eastAsiaTheme="minorEastAsia"/>
                      <w:color w:val="auto"/>
                      <w:szCs w:val="21"/>
                      <w:lang w:eastAsia="zh-CN"/>
                    </w:rPr>
                    <w:t>，</w:t>
                  </w:r>
                  <w:r>
                    <w:rPr>
                      <w:rFonts w:eastAsiaTheme="minorEastAsia"/>
                      <w:color w:val="auto"/>
                      <w:szCs w:val="21"/>
                    </w:rPr>
                    <w:t>7)</w:t>
                  </w:r>
                </w:p>
              </w:tc>
            </w:tr>
            <w:tr w14:paraId="056DE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1BC137A5">
                  <w:pPr>
                    <w:adjustRightInd w:val="0"/>
                    <w:snapToGrid w:val="0"/>
                    <w:jc w:val="center"/>
                    <w:rPr>
                      <w:rFonts w:eastAsiaTheme="minorEastAsia"/>
                      <w:color w:val="auto"/>
                      <w:szCs w:val="21"/>
                    </w:rPr>
                  </w:pPr>
                  <w:r>
                    <w:rPr>
                      <w:rFonts w:eastAsiaTheme="minorEastAsia"/>
                      <w:color w:val="auto"/>
                      <w:szCs w:val="21"/>
                    </w:rPr>
                    <w:t>2</w:t>
                  </w:r>
                </w:p>
              </w:tc>
              <w:tc>
                <w:tcPr>
                  <w:tcW w:w="638" w:type="pct"/>
                  <w:vAlign w:val="center"/>
                </w:tcPr>
                <w:p w14:paraId="4F1353A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废油桶</w:t>
                  </w:r>
                </w:p>
              </w:tc>
              <w:tc>
                <w:tcPr>
                  <w:tcW w:w="639" w:type="pct"/>
                  <w:vAlign w:val="center"/>
                </w:tcPr>
                <w:p w14:paraId="182A2B1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设备维修、保养</w:t>
                  </w:r>
                </w:p>
              </w:tc>
              <w:tc>
                <w:tcPr>
                  <w:tcW w:w="288" w:type="pct"/>
                  <w:vAlign w:val="center"/>
                </w:tcPr>
                <w:p w14:paraId="5AA7525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液态</w:t>
                  </w:r>
                </w:p>
              </w:tc>
              <w:tc>
                <w:tcPr>
                  <w:tcW w:w="873" w:type="pct"/>
                  <w:vAlign w:val="center"/>
                </w:tcPr>
                <w:p w14:paraId="7299BF9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液压油</w:t>
                  </w:r>
                </w:p>
              </w:tc>
              <w:tc>
                <w:tcPr>
                  <w:tcW w:w="536" w:type="pct"/>
                  <w:vAlign w:val="center"/>
                </w:tcPr>
                <w:p w14:paraId="1BC9226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w:t>
                  </w:r>
                  <w:r>
                    <w:rPr>
                      <w:rFonts w:hint="eastAsia" w:eastAsiaTheme="minorEastAsia"/>
                      <w:color w:val="auto"/>
                      <w:szCs w:val="21"/>
                      <w:lang w:val="en-US" w:eastAsia="zh-CN"/>
                    </w:rPr>
                    <w:t>0</w:t>
                  </w:r>
                  <w:r>
                    <w:rPr>
                      <w:rFonts w:hint="eastAsia" w:eastAsiaTheme="minorEastAsia"/>
                      <w:color w:val="auto"/>
                      <w:szCs w:val="21"/>
                    </w:rPr>
                    <w:t>6</w:t>
                  </w:r>
                </w:p>
              </w:tc>
              <w:tc>
                <w:tcPr>
                  <w:tcW w:w="406" w:type="pct"/>
                  <w:vAlign w:val="center"/>
                </w:tcPr>
                <w:p w14:paraId="4527D5D1">
                  <w:pPr>
                    <w:jc w:val="center"/>
                    <w:rPr>
                      <w:rFonts w:eastAsiaTheme="minorEastAsia"/>
                      <w:color w:val="auto"/>
                      <w:szCs w:val="21"/>
                    </w:rPr>
                  </w:pPr>
                  <w:r>
                    <w:rPr>
                      <w:rFonts w:hint="eastAsia" w:eastAsiaTheme="minorEastAsia"/>
                      <w:color w:val="auto"/>
                      <w:szCs w:val="21"/>
                    </w:rPr>
                    <w:t>√</w:t>
                  </w:r>
                </w:p>
              </w:tc>
              <w:tc>
                <w:tcPr>
                  <w:tcW w:w="349" w:type="pct"/>
                  <w:vAlign w:val="center"/>
                </w:tcPr>
                <w:p w14:paraId="2296288B">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798E48C8">
                  <w:pPr>
                    <w:adjustRightInd w:val="0"/>
                    <w:snapToGrid w:val="0"/>
                    <w:jc w:val="center"/>
                    <w:rPr>
                      <w:rFonts w:eastAsiaTheme="minorEastAsia"/>
                      <w:color w:val="auto"/>
                      <w:szCs w:val="21"/>
                    </w:rPr>
                  </w:pPr>
                </w:p>
              </w:tc>
            </w:tr>
            <w:tr w14:paraId="6BC91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3EAC8097">
                  <w:pPr>
                    <w:adjustRightInd w:val="0"/>
                    <w:snapToGrid w:val="0"/>
                    <w:jc w:val="center"/>
                    <w:rPr>
                      <w:rFonts w:eastAsiaTheme="minorEastAsia"/>
                      <w:color w:val="auto"/>
                      <w:szCs w:val="21"/>
                    </w:rPr>
                  </w:pPr>
                  <w:r>
                    <w:rPr>
                      <w:rFonts w:eastAsiaTheme="minorEastAsia"/>
                      <w:color w:val="auto"/>
                      <w:szCs w:val="21"/>
                    </w:rPr>
                    <w:t>3</w:t>
                  </w:r>
                </w:p>
              </w:tc>
              <w:tc>
                <w:tcPr>
                  <w:tcW w:w="638" w:type="pct"/>
                  <w:vAlign w:val="center"/>
                </w:tcPr>
                <w:p w14:paraId="6B4EEDA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废胶桶</w:t>
                  </w:r>
                </w:p>
              </w:tc>
              <w:tc>
                <w:tcPr>
                  <w:tcW w:w="639" w:type="pct"/>
                  <w:vAlign w:val="center"/>
                </w:tcPr>
                <w:p w14:paraId="370CFAC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热压</w:t>
                  </w:r>
                </w:p>
              </w:tc>
              <w:tc>
                <w:tcPr>
                  <w:tcW w:w="288" w:type="pct"/>
                  <w:vAlign w:val="center"/>
                </w:tcPr>
                <w:p w14:paraId="5C83F75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6953C9F4">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脲醛胶</w:t>
                  </w:r>
                </w:p>
              </w:tc>
              <w:tc>
                <w:tcPr>
                  <w:tcW w:w="536" w:type="pct"/>
                  <w:vAlign w:val="center"/>
                </w:tcPr>
                <w:p w14:paraId="62E44A1A">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0.103</w:t>
                  </w:r>
                </w:p>
              </w:tc>
              <w:tc>
                <w:tcPr>
                  <w:tcW w:w="406" w:type="pct"/>
                  <w:vAlign w:val="center"/>
                </w:tcPr>
                <w:p w14:paraId="4B334354">
                  <w:pPr>
                    <w:jc w:val="center"/>
                    <w:rPr>
                      <w:rFonts w:eastAsiaTheme="minorEastAsia"/>
                      <w:color w:val="auto"/>
                      <w:szCs w:val="21"/>
                    </w:rPr>
                  </w:pPr>
                  <w:r>
                    <w:rPr>
                      <w:rFonts w:hint="eastAsia" w:eastAsiaTheme="minorEastAsia"/>
                      <w:color w:val="auto"/>
                      <w:szCs w:val="21"/>
                    </w:rPr>
                    <w:t>√</w:t>
                  </w:r>
                </w:p>
              </w:tc>
              <w:tc>
                <w:tcPr>
                  <w:tcW w:w="349" w:type="pct"/>
                  <w:vAlign w:val="center"/>
                </w:tcPr>
                <w:p w14:paraId="3C306C71">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12D551D6">
                  <w:pPr>
                    <w:adjustRightInd w:val="0"/>
                    <w:snapToGrid w:val="0"/>
                    <w:jc w:val="center"/>
                    <w:rPr>
                      <w:rFonts w:eastAsiaTheme="minorEastAsia"/>
                      <w:color w:val="auto"/>
                      <w:szCs w:val="21"/>
                    </w:rPr>
                  </w:pPr>
                </w:p>
              </w:tc>
            </w:tr>
            <w:tr w14:paraId="347EE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243FE15B">
                  <w:pPr>
                    <w:adjustRightInd w:val="0"/>
                    <w:snapToGrid w:val="0"/>
                    <w:jc w:val="center"/>
                    <w:rPr>
                      <w:rFonts w:eastAsiaTheme="minorEastAsia"/>
                      <w:color w:val="auto"/>
                      <w:szCs w:val="21"/>
                    </w:rPr>
                  </w:pPr>
                  <w:r>
                    <w:rPr>
                      <w:rFonts w:hint="eastAsia" w:eastAsiaTheme="minorEastAsia"/>
                      <w:color w:val="auto"/>
                      <w:szCs w:val="21"/>
                    </w:rPr>
                    <w:t>4</w:t>
                  </w:r>
                </w:p>
              </w:tc>
              <w:tc>
                <w:tcPr>
                  <w:tcW w:w="638" w:type="pct"/>
                  <w:vAlign w:val="center"/>
                </w:tcPr>
                <w:p w14:paraId="1476F5B0">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含油抹布和手套</w:t>
                  </w:r>
                </w:p>
              </w:tc>
              <w:tc>
                <w:tcPr>
                  <w:tcW w:w="639" w:type="pct"/>
                  <w:vAlign w:val="center"/>
                </w:tcPr>
                <w:p w14:paraId="4119F38A">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设备保养</w:t>
                  </w:r>
                </w:p>
              </w:tc>
              <w:tc>
                <w:tcPr>
                  <w:tcW w:w="288" w:type="pct"/>
                  <w:vAlign w:val="center"/>
                </w:tcPr>
                <w:p w14:paraId="32A2D19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4D6619CC">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油类物质</w:t>
                  </w:r>
                </w:p>
              </w:tc>
              <w:tc>
                <w:tcPr>
                  <w:tcW w:w="536" w:type="pct"/>
                  <w:vAlign w:val="center"/>
                </w:tcPr>
                <w:p w14:paraId="003F397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0.002</w:t>
                  </w:r>
                </w:p>
              </w:tc>
              <w:tc>
                <w:tcPr>
                  <w:tcW w:w="406" w:type="pct"/>
                  <w:vAlign w:val="center"/>
                </w:tcPr>
                <w:p w14:paraId="687CBE2C">
                  <w:pPr>
                    <w:jc w:val="center"/>
                    <w:rPr>
                      <w:rFonts w:eastAsiaTheme="minorEastAsia"/>
                      <w:color w:val="auto"/>
                      <w:szCs w:val="21"/>
                    </w:rPr>
                  </w:pPr>
                  <w:r>
                    <w:rPr>
                      <w:rFonts w:hint="eastAsia" w:eastAsiaTheme="minorEastAsia"/>
                      <w:color w:val="auto"/>
                      <w:szCs w:val="21"/>
                    </w:rPr>
                    <w:t>√</w:t>
                  </w:r>
                </w:p>
              </w:tc>
              <w:tc>
                <w:tcPr>
                  <w:tcW w:w="349" w:type="pct"/>
                  <w:vAlign w:val="center"/>
                </w:tcPr>
                <w:p w14:paraId="423EAE20">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0CE2B8A4">
                  <w:pPr>
                    <w:adjustRightInd w:val="0"/>
                    <w:snapToGrid w:val="0"/>
                    <w:jc w:val="center"/>
                    <w:rPr>
                      <w:rFonts w:eastAsiaTheme="minorEastAsia"/>
                      <w:color w:val="auto"/>
                      <w:szCs w:val="21"/>
                    </w:rPr>
                  </w:pPr>
                </w:p>
              </w:tc>
            </w:tr>
            <w:tr w14:paraId="3A38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4A66D7FD">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5</w:t>
                  </w:r>
                </w:p>
              </w:tc>
              <w:tc>
                <w:tcPr>
                  <w:tcW w:w="638" w:type="pct"/>
                  <w:vAlign w:val="center"/>
                </w:tcPr>
                <w:p w14:paraId="160961D5">
                  <w:pPr>
                    <w:adjustRightInd w:val="0"/>
                    <w:snapToGrid w:val="0"/>
                    <w:jc w:val="center"/>
                    <w:rPr>
                      <w:rFonts w:hint="eastAsia" w:eastAsia="宋体"/>
                      <w:color w:val="auto"/>
                      <w:szCs w:val="21"/>
                      <w:lang w:eastAsia="zh-CN"/>
                    </w:rPr>
                  </w:pPr>
                  <w:r>
                    <w:rPr>
                      <w:rFonts w:hint="eastAsia"/>
                      <w:color w:val="auto"/>
                      <w:szCs w:val="21"/>
                      <w:lang w:eastAsia="zh-CN"/>
                    </w:rPr>
                    <w:t>清洗废水</w:t>
                  </w:r>
                </w:p>
              </w:tc>
              <w:tc>
                <w:tcPr>
                  <w:tcW w:w="639" w:type="pct"/>
                  <w:vAlign w:val="center"/>
                </w:tcPr>
                <w:p w14:paraId="5310CBF3">
                  <w:pPr>
                    <w:adjustRightInd w:val="0"/>
                    <w:snapToGrid w:val="0"/>
                    <w:jc w:val="center"/>
                    <w:rPr>
                      <w:rFonts w:hint="eastAsia" w:eastAsia="宋体"/>
                      <w:color w:val="auto"/>
                      <w:szCs w:val="21"/>
                      <w:lang w:eastAsia="zh-CN"/>
                    </w:rPr>
                  </w:pPr>
                  <w:r>
                    <w:rPr>
                      <w:rFonts w:hint="eastAsia"/>
                      <w:color w:val="auto"/>
                      <w:szCs w:val="21"/>
                      <w:lang w:eastAsia="zh-CN"/>
                    </w:rPr>
                    <w:t>热压</w:t>
                  </w:r>
                </w:p>
              </w:tc>
              <w:tc>
                <w:tcPr>
                  <w:tcW w:w="288" w:type="pct"/>
                  <w:vAlign w:val="center"/>
                </w:tcPr>
                <w:p w14:paraId="48C92A69">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液态</w:t>
                  </w:r>
                </w:p>
              </w:tc>
              <w:tc>
                <w:tcPr>
                  <w:tcW w:w="873" w:type="pct"/>
                  <w:vAlign w:val="center"/>
                </w:tcPr>
                <w:p w14:paraId="479A4FED">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胶</w:t>
                  </w:r>
                </w:p>
              </w:tc>
              <w:tc>
                <w:tcPr>
                  <w:tcW w:w="536" w:type="pct"/>
                  <w:vAlign w:val="center"/>
                </w:tcPr>
                <w:p w14:paraId="05A75C16">
                  <w:pPr>
                    <w:jc w:val="center"/>
                    <w:rPr>
                      <w:rFonts w:hint="default" w:eastAsiaTheme="minorEastAsia"/>
                      <w:color w:val="auto"/>
                      <w:szCs w:val="21"/>
                      <w:lang w:val="en-US" w:eastAsia="zh-CN"/>
                    </w:rPr>
                  </w:pPr>
                  <w:r>
                    <w:rPr>
                      <w:rFonts w:hint="eastAsia" w:eastAsiaTheme="minorEastAsia"/>
                      <w:color w:val="auto"/>
                      <w:szCs w:val="21"/>
                      <w:lang w:val="en-US" w:eastAsia="zh-CN"/>
                    </w:rPr>
                    <w:t>9.6</w:t>
                  </w:r>
                </w:p>
              </w:tc>
              <w:tc>
                <w:tcPr>
                  <w:tcW w:w="406" w:type="pct"/>
                  <w:vAlign w:val="center"/>
                </w:tcPr>
                <w:p w14:paraId="6987C2FF">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349" w:type="pct"/>
                  <w:vAlign w:val="center"/>
                </w:tcPr>
                <w:p w14:paraId="7F98030D">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1014" w:type="pct"/>
                  <w:vMerge w:val="continue"/>
                  <w:vAlign w:val="center"/>
                </w:tcPr>
                <w:p w14:paraId="23F8DF32">
                  <w:pPr>
                    <w:adjustRightInd w:val="0"/>
                    <w:snapToGrid w:val="0"/>
                    <w:jc w:val="center"/>
                    <w:rPr>
                      <w:rFonts w:eastAsiaTheme="minorEastAsia"/>
                      <w:color w:val="auto"/>
                      <w:szCs w:val="21"/>
                    </w:rPr>
                  </w:pPr>
                </w:p>
              </w:tc>
            </w:tr>
            <w:tr w14:paraId="0F519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496D4376">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6</w:t>
                  </w:r>
                </w:p>
              </w:tc>
              <w:tc>
                <w:tcPr>
                  <w:tcW w:w="638" w:type="pct"/>
                  <w:vAlign w:val="center"/>
                </w:tcPr>
                <w:p w14:paraId="434CDA11">
                  <w:pPr>
                    <w:adjustRightInd w:val="0"/>
                    <w:snapToGrid w:val="0"/>
                    <w:jc w:val="center"/>
                    <w:rPr>
                      <w:rFonts w:hint="eastAsia"/>
                      <w:color w:val="auto"/>
                      <w:szCs w:val="21"/>
                      <w:lang w:eastAsia="zh-CN"/>
                    </w:rPr>
                  </w:pPr>
                  <w:r>
                    <w:rPr>
                      <w:rFonts w:hint="eastAsia"/>
                      <w:color w:val="auto"/>
                      <w:szCs w:val="21"/>
                      <w:lang w:eastAsia="zh-CN"/>
                    </w:rPr>
                    <w:t>水喷淋废液</w:t>
                  </w:r>
                </w:p>
              </w:tc>
              <w:tc>
                <w:tcPr>
                  <w:tcW w:w="639" w:type="pct"/>
                  <w:vAlign w:val="center"/>
                </w:tcPr>
                <w:p w14:paraId="2066B81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热压</w:t>
                  </w:r>
                </w:p>
              </w:tc>
              <w:tc>
                <w:tcPr>
                  <w:tcW w:w="288" w:type="pct"/>
                  <w:vAlign w:val="center"/>
                </w:tcPr>
                <w:p w14:paraId="474BA06F">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液态</w:t>
                  </w:r>
                </w:p>
              </w:tc>
              <w:tc>
                <w:tcPr>
                  <w:tcW w:w="873" w:type="pct"/>
                  <w:vAlign w:val="center"/>
                </w:tcPr>
                <w:p w14:paraId="4011A7A3">
                  <w:pPr>
                    <w:jc w:val="center"/>
                    <w:rPr>
                      <w:rFonts w:hint="eastAsia" w:eastAsiaTheme="minorEastAsia"/>
                      <w:color w:val="auto"/>
                      <w:szCs w:val="21"/>
                      <w:lang w:eastAsia="zh-CN"/>
                    </w:rPr>
                  </w:pPr>
                  <w:r>
                    <w:rPr>
                      <w:rFonts w:hint="eastAsia" w:eastAsiaTheme="minorEastAsia"/>
                      <w:color w:val="auto"/>
                      <w:szCs w:val="21"/>
                      <w:lang w:eastAsia="zh-CN"/>
                    </w:rPr>
                    <w:t>氨</w:t>
                  </w:r>
                </w:p>
              </w:tc>
              <w:tc>
                <w:tcPr>
                  <w:tcW w:w="536" w:type="pct"/>
                  <w:vAlign w:val="center"/>
                </w:tcPr>
                <w:p w14:paraId="1804279D">
                  <w:pPr>
                    <w:jc w:val="center"/>
                    <w:rPr>
                      <w:rFonts w:hint="default" w:eastAsiaTheme="minorEastAsia"/>
                      <w:color w:val="auto"/>
                      <w:szCs w:val="21"/>
                      <w:lang w:val="en-US" w:eastAsia="zh-CN"/>
                    </w:rPr>
                  </w:pPr>
                  <w:r>
                    <w:rPr>
                      <w:rFonts w:hint="eastAsia" w:eastAsiaTheme="minorEastAsia"/>
                      <w:color w:val="auto"/>
                      <w:szCs w:val="21"/>
                      <w:lang w:val="en-US" w:eastAsia="zh-CN"/>
                    </w:rPr>
                    <w:t>10</w:t>
                  </w:r>
                </w:p>
              </w:tc>
              <w:tc>
                <w:tcPr>
                  <w:tcW w:w="406" w:type="pct"/>
                  <w:vAlign w:val="center"/>
                </w:tcPr>
                <w:p w14:paraId="3CF8C159">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349" w:type="pct"/>
                  <w:vAlign w:val="center"/>
                </w:tcPr>
                <w:p w14:paraId="4C00312C">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1014" w:type="pct"/>
                  <w:vMerge w:val="continue"/>
                  <w:vAlign w:val="center"/>
                </w:tcPr>
                <w:p w14:paraId="0E93A874">
                  <w:pPr>
                    <w:adjustRightInd w:val="0"/>
                    <w:snapToGrid w:val="0"/>
                    <w:jc w:val="center"/>
                    <w:rPr>
                      <w:rFonts w:eastAsiaTheme="minorEastAsia"/>
                      <w:color w:val="auto"/>
                      <w:szCs w:val="21"/>
                    </w:rPr>
                  </w:pPr>
                </w:p>
              </w:tc>
            </w:tr>
            <w:tr w14:paraId="20F3F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217926A0">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7</w:t>
                  </w:r>
                </w:p>
              </w:tc>
              <w:tc>
                <w:tcPr>
                  <w:tcW w:w="638" w:type="pct"/>
                  <w:vAlign w:val="center"/>
                </w:tcPr>
                <w:p w14:paraId="1CE2607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边角料</w:t>
                  </w:r>
                </w:p>
              </w:tc>
              <w:tc>
                <w:tcPr>
                  <w:tcW w:w="639" w:type="pct"/>
                  <w:vAlign w:val="center"/>
                </w:tcPr>
                <w:p w14:paraId="04DC8A9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裁边</w:t>
                  </w:r>
                </w:p>
              </w:tc>
              <w:tc>
                <w:tcPr>
                  <w:tcW w:w="288" w:type="pct"/>
                  <w:vAlign w:val="center"/>
                </w:tcPr>
                <w:p w14:paraId="5B6B90A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0104612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木材</w:t>
                  </w:r>
                </w:p>
              </w:tc>
              <w:tc>
                <w:tcPr>
                  <w:tcW w:w="536" w:type="pct"/>
                  <w:vAlign w:val="center"/>
                </w:tcPr>
                <w:p w14:paraId="00CFEE9C">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1000</w:t>
                  </w:r>
                </w:p>
              </w:tc>
              <w:tc>
                <w:tcPr>
                  <w:tcW w:w="406" w:type="pct"/>
                  <w:vAlign w:val="center"/>
                </w:tcPr>
                <w:p w14:paraId="0A1FF1B2">
                  <w:pPr>
                    <w:jc w:val="center"/>
                    <w:rPr>
                      <w:rFonts w:eastAsiaTheme="minorEastAsia"/>
                      <w:color w:val="auto"/>
                      <w:szCs w:val="21"/>
                    </w:rPr>
                  </w:pPr>
                  <w:r>
                    <w:rPr>
                      <w:rFonts w:hint="eastAsia" w:eastAsiaTheme="minorEastAsia"/>
                      <w:color w:val="auto"/>
                      <w:szCs w:val="21"/>
                    </w:rPr>
                    <w:t>√</w:t>
                  </w:r>
                </w:p>
              </w:tc>
              <w:tc>
                <w:tcPr>
                  <w:tcW w:w="349" w:type="pct"/>
                  <w:vAlign w:val="center"/>
                </w:tcPr>
                <w:p w14:paraId="19972683">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418E6286">
                  <w:pPr>
                    <w:adjustRightInd w:val="0"/>
                    <w:snapToGrid w:val="0"/>
                    <w:jc w:val="center"/>
                    <w:rPr>
                      <w:rFonts w:eastAsiaTheme="minorEastAsia"/>
                      <w:color w:val="auto"/>
                      <w:szCs w:val="21"/>
                    </w:rPr>
                  </w:pPr>
                </w:p>
              </w:tc>
            </w:tr>
            <w:tr w14:paraId="7FC69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54" w:type="pct"/>
                  <w:vAlign w:val="center"/>
                </w:tcPr>
                <w:p w14:paraId="6039EE44">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8</w:t>
                  </w:r>
                </w:p>
              </w:tc>
              <w:tc>
                <w:tcPr>
                  <w:tcW w:w="638" w:type="pct"/>
                  <w:vAlign w:val="center"/>
                </w:tcPr>
                <w:p w14:paraId="4F85C4BC">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不合格胶合板</w:t>
                  </w:r>
                </w:p>
              </w:tc>
              <w:tc>
                <w:tcPr>
                  <w:tcW w:w="639" w:type="pct"/>
                  <w:vAlign w:val="center"/>
                </w:tcPr>
                <w:p w14:paraId="0E294CD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检验</w:t>
                  </w:r>
                </w:p>
              </w:tc>
              <w:tc>
                <w:tcPr>
                  <w:tcW w:w="288" w:type="pct"/>
                  <w:vAlign w:val="center"/>
                </w:tcPr>
                <w:p w14:paraId="36DA8F0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873" w:type="pct"/>
                  <w:vAlign w:val="center"/>
                </w:tcPr>
                <w:p w14:paraId="2A5428DC">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胶合板</w:t>
                  </w:r>
                </w:p>
              </w:tc>
              <w:tc>
                <w:tcPr>
                  <w:tcW w:w="536" w:type="pct"/>
                  <w:vAlign w:val="center"/>
                </w:tcPr>
                <w:p w14:paraId="21133328">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5.5</w:t>
                  </w:r>
                </w:p>
              </w:tc>
              <w:tc>
                <w:tcPr>
                  <w:tcW w:w="406" w:type="pct"/>
                  <w:vAlign w:val="center"/>
                </w:tcPr>
                <w:p w14:paraId="04D8FE4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349" w:type="pct"/>
                  <w:vAlign w:val="center"/>
                </w:tcPr>
                <w:p w14:paraId="03B134A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1014" w:type="pct"/>
                  <w:vMerge w:val="continue"/>
                  <w:vAlign w:val="center"/>
                </w:tcPr>
                <w:p w14:paraId="17666E5B">
                  <w:pPr>
                    <w:adjustRightInd w:val="0"/>
                    <w:snapToGrid w:val="0"/>
                    <w:jc w:val="center"/>
                    <w:rPr>
                      <w:rFonts w:eastAsiaTheme="minorEastAsia"/>
                      <w:color w:val="auto"/>
                      <w:szCs w:val="21"/>
                    </w:rPr>
                  </w:pPr>
                </w:p>
              </w:tc>
            </w:tr>
            <w:tr w14:paraId="4F726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0EEE35D6">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9</w:t>
                  </w:r>
                </w:p>
              </w:tc>
              <w:tc>
                <w:tcPr>
                  <w:tcW w:w="638" w:type="pct"/>
                  <w:vAlign w:val="center"/>
                </w:tcPr>
                <w:p w14:paraId="03B09CF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收集灰</w:t>
                  </w:r>
                </w:p>
              </w:tc>
              <w:tc>
                <w:tcPr>
                  <w:tcW w:w="639" w:type="pct"/>
                  <w:vAlign w:val="center"/>
                </w:tcPr>
                <w:p w14:paraId="527F08FF">
                  <w:pPr>
                    <w:jc w:val="center"/>
                    <w:rPr>
                      <w:rFonts w:eastAsiaTheme="minorEastAsia"/>
                      <w:color w:val="auto"/>
                      <w:szCs w:val="21"/>
                    </w:rPr>
                  </w:pPr>
                  <w:r>
                    <w:rPr>
                      <w:rFonts w:hint="eastAsia" w:eastAsiaTheme="minorEastAsia"/>
                      <w:color w:val="auto"/>
                      <w:szCs w:val="21"/>
                    </w:rPr>
                    <w:t>废气</w:t>
                  </w:r>
                </w:p>
                <w:p w14:paraId="216AD50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治理</w:t>
                  </w:r>
                </w:p>
              </w:tc>
              <w:tc>
                <w:tcPr>
                  <w:tcW w:w="288" w:type="pct"/>
                  <w:vAlign w:val="center"/>
                </w:tcPr>
                <w:p w14:paraId="36AFA76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18D7A83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木粉</w:t>
                  </w:r>
                </w:p>
              </w:tc>
              <w:tc>
                <w:tcPr>
                  <w:tcW w:w="536" w:type="pct"/>
                  <w:vAlign w:val="center"/>
                </w:tcPr>
                <w:p w14:paraId="6F83502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36.2052</w:t>
                  </w:r>
                </w:p>
              </w:tc>
              <w:tc>
                <w:tcPr>
                  <w:tcW w:w="406" w:type="pct"/>
                  <w:vAlign w:val="center"/>
                </w:tcPr>
                <w:p w14:paraId="3F39FB79">
                  <w:pPr>
                    <w:jc w:val="center"/>
                    <w:rPr>
                      <w:rFonts w:eastAsiaTheme="minorEastAsia"/>
                      <w:color w:val="auto"/>
                      <w:szCs w:val="21"/>
                    </w:rPr>
                  </w:pPr>
                  <w:r>
                    <w:rPr>
                      <w:rFonts w:hint="eastAsia" w:eastAsiaTheme="minorEastAsia"/>
                      <w:color w:val="auto"/>
                      <w:szCs w:val="21"/>
                    </w:rPr>
                    <w:t>√</w:t>
                  </w:r>
                </w:p>
              </w:tc>
              <w:tc>
                <w:tcPr>
                  <w:tcW w:w="349" w:type="pct"/>
                  <w:vAlign w:val="center"/>
                </w:tcPr>
                <w:p w14:paraId="0CCC9E11">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6E774354">
                  <w:pPr>
                    <w:adjustRightInd w:val="0"/>
                    <w:snapToGrid w:val="0"/>
                    <w:jc w:val="center"/>
                    <w:rPr>
                      <w:rFonts w:eastAsiaTheme="minorEastAsia"/>
                      <w:color w:val="auto"/>
                      <w:szCs w:val="21"/>
                    </w:rPr>
                  </w:pPr>
                </w:p>
              </w:tc>
            </w:tr>
            <w:tr w14:paraId="54DF8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01D33EEE">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10</w:t>
                  </w:r>
                </w:p>
              </w:tc>
              <w:tc>
                <w:tcPr>
                  <w:tcW w:w="638" w:type="pct"/>
                  <w:vAlign w:val="center"/>
                </w:tcPr>
                <w:p w14:paraId="244F50B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废布袋</w:t>
                  </w:r>
                </w:p>
              </w:tc>
              <w:tc>
                <w:tcPr>
                  <w:tcW w:w="639" w:type="pct"/>
                  <w:vAlign w:val="center"/>
                </w:tcPr>
                <w:p w14:paraId="30188E08">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投料、裁边</w:t>
                  </w:r>
                </w:p>
              </w:tc>
              <w:tc>
                <w:tcPr>
                  <w:tcW w:w="288" w:type="pct"/>
                  <w:vAlign w:val="center"/>
                </w:tcPr>
                <w:p w14:paraId="7E9C15C8">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484447D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布袋、颗粒物</w:t>
                  </w:r>
                </w:p>
              </w:tc>
              <w:tc>
                <w:tcPr>
                  <w:tcW w:w="536" w:type="pct"/>
                  <w:vAlign w:val="center"/>
                </w:tcPr>
                <w:p w14:paraId="5AB583F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406" w:type="pct"/>
                  <w:vAlign w:val="center"/>
                </w:tcPr>
                <w:p w14:paraId="1FC87153">
                  <w:pPr>
                    <w:jc w:val="center"/>
                    <w:rPr>
                      <w:rFonts w:eastAsiaTheme="minorEastAsia"/>
                      <w:color w:val="auto"/>
                      <w:szCs w:val="21"/>
                    </w:rPr>
                  </w:pPr>
                  <w:r>
                    <w:rPr>
                      <w:rFonts w:hint="eastAsia" w:eastAsiaTheme="minorEastAsia"/>
                      <w:color w:val="auto"/>
                      <w:szCs w:val="21"/>
                    </w:rPr>
                    <w:t>√</w:t>
                  </w:r>
                </w:p>
              </w:tc>
              <w:tc>
                <w:tcPr>
                  <w:tcW w:w="349" w:type="pct"/>
                  <w:vAlign w:val="center"/>
                </w:tcPr>
                <w:p w14:paraId="30EF2211">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463C92C1">
                  <w:pPr>
                    <w:adjustRightInd w:val="0"/>
                    <w:snapToGrid w:val="0"/>
                    <w:jc w:val="center"/>
                    <w:rPr>
                      <w:rFonts w:eastAsiaTheme="minorEastAsia"/>
                      <w:color w:val="auto"/>
                      <w:szCs w:val="21"/>
                    </w:rPr>
                  </w:pPr>
                </w:p>
              </w:tc>
            </w:tr>
            <w:tr w14:paraId="78FDE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308770CC">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11</w:t>
                  </w:r>
                </w:p>
              </w:tc>
              <w:tc>
                <w:tcPr>
                  <w:tcW w:w="638" w:type="pct"/>
                  <w:vAlign w:val="center"/>
                </w:tcPr>
                <w:p w14:paraId="3056D16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废包装袋</w:t>
                  </w:r>
                </w:p>
              </w:tc>
              <w:tc>
                <w:tcPr>
                  <w:tcW w:w="639" w:type="pct"/>
                  <w:vAlign w:val="center"/>
                </w:tcPr>
                <w:p w14:paraId="377189A7">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投料</w:t>
                  </w:r>
                </w:p>
              </w:tc>
              <w:tc>
                <w:tcPr>
                  <w:tcW w:w="288" w:type="pct"/>
                  <w:vAlign w:val="center"/>
                </w:tcPr>
                <w:p w14:paraId="6BBDE7D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873" w:type="pct"/>
                  <w:vAlign w:val="center"/>
                </w:tcPr>
                <w:p w14:paraId="61946DF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包装袋</w:t>
                  </w:r>
                </w:p>
              </w:tc>
              <w:tc>
                <w:tcPr>
                  <w:tcW w:w="536" w:type="pct"/>
                  <w:vAlign w:val="center"/>
                </w:tcPr>
                <w:p w14:paraId="6B52EE6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4.8</w:t>
                  </w:r>
                </w:p>
              </w:tc>
              <w:tc>
                <w:tcPr>
                  <w:tcW w:w="406" w:type="pct"/>
                  <w:vAlign w:val="center"/>
                </w:tcPr>
                <w:p w14:paraId="345E7180">
                  <w:pPr>
                    <w:jc w:val="center"/>
                    <w:rPr>
                      <w:rFonts w:eastAsiaTheme="minorEastAsia"/>
                      <w:color w:val="auto"/>
                      <w:szCs w:val="21"/>
                    </w:rPr>
                  </w:pPr>
                  <w:r>
                    <w:rPr>
                      <w:rFonts w:hint="eastAsia" w:eastAsiaTheme="minorEastAsia"/>
                      <w:color w:val="auto"/>
                      <w:szCs w:val="21"/>
                    </w:rPr>
                    <w:t>√</w:t>
                  </w:r>
                </w:p>
              </w:tc>
              <w:tc>
                <w:tcPr>
                  <w:tcW w:w="349" w:type="pct"/>
                  <w:vAlign w:val="center"/>
                </w:tcPr>
                <w:p w14:paraId="4A50E805">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3B5371A1">
                  <w:pPr>
                    <w:adjustRightInd w:val="0"/>
                    <w:snapToGrid w:val="0"/>
                    <w:jc w:val="center"/>
                    <w:rPr>
                      <w:rFonts w:eastAsiaTheme="minorEastAsia"/>
                      <w:color w:val="auto"/>
                      <w:szCs w:val="21"/>
                    </w:rPr>
                  </w:pPr>
                </w:p>
              </w:tc>
            </w:tr>
            <w:tr w14:paraId="1F9BC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51F21EF1">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12</w:t>
                  </w:r>
                </w:p>
              </w:tc>
              <w:tc>
                <w:tcPr>
                  <w:tcW w:w="638" w:type="pct"/>
                  <w:vAlign w:val="center"/>
                </w:tcPr>
                <w:p w14:paraId="15649FF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废砂轮</w:t>
                  </w:r>
                </w:p>
              </w:tc>
              <w:tc>
                <w:tcPr>
                  <w:tcW w:w="639" w:type="pct"/>
                  <w:vAlign w:val="center"/>
                </w:tcPr>
                <w:p w14:paraId="5808B4C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砂光</w:t>
                  </w:r>
                </w:p>
              </w:tc>
              <w:tc>
                <w:tcPr>
                  <w:tcW w:w="288" w:type="pct"/>
                  <w:vAlign w:val="center"/>
                </w:tcPr>
                <w:p w14:paraId="2DBFADF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873" w:type="pct"/>
                  <w:vAlign w:val="center"/>
                </w:tcPr>
                <w:p w14:paraId="31229A9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砂轮片</w:t>
                  </w:r>
                </w:p>
              </w:tc>
              <w:tc>
                <w:tcPr>
                  <w:tcW w:w="536" w:type="pct"/>
                  <w:vAlign w:val="center"/>
                </w:tcPr>
                <w:p w14:paraId="74587C0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406" w:type="pct"/>
                  <w:vAlign w:val="center"/>
                </w:tcPr>
                <w:p w14:paraId="6CA1E7DE">
                  <w:pPr>
                    <w:jc w:val="center"/>
                    <w:rPr>
                      <w:rFonts w:eastAsiaTheme="minorEastAsia"/>
                      <w:color w:val="auto"/>
                      <w:szCs w:val="21"/>
                    </w:rPr>
                  </w:pPr>
                  <w:r>
                    <w:rPr>
                      <w:rFonts w:hint="eastAsia" w:eastAsiaTheme="minorEastAsia"/>
                      <w:color w:val="auto"/>
                      <w:szCs w:val="21"/>
                    </w:rPr>
                    <w:t>√</w:t>
                  </w:r>
                </w:p>
              </w:tc>
              <w:tc>
                <w:tcPr>
                  <w:tcW w:w="349" w:type="pct"/>
                  <w:vAlign w:val="center"/>
                </w:tcPr>
                <w:p w14:paraId="78B2B0D7">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5DBEE108">
                  <w:pPr>
                    <w:adjustRightInd w:val="0"/>
                    <w:snapToGrid w:val="0"/>
                    <w:jc w:val="center"/>
                    <w:rPr>
                      <w:rFonts w:eastAsiaTheme="minorEastAsia"/>
                      <w:color w:val="auto"/>
                      <w:szCs w:val="21"/>
                    </w:rPr>
                  </w:pPr>
                </w:p>
              </w:tc>
            </w:tr>
            <w:tr w14:paraId="156F6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6FFF6B80">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13</w:t>
                  </w:r>
                </w:p>
              </w:tc>
              <w:tc>
                <w:tcPr>
                  <w:tcW w:w="638" w:type="pct"/>
                  <w:vAlign w:val="center"/>
                </w:tcPr>
                <w:p w14:paraId="3EE1002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废木屑</w:t>
                  </w:r>
                </w:p>
              </w:tc>
              <w:tc>
                <w:tcPr>
                  <w:tcW w:w="639" w:type="pct"/>
                  <w:vAlign w:val="center"/>
                </w:tcPr>
                <w:p w14:paraId="20D0848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锯边、砂光</w:t>
                  </w:r>
                </w:p>
              </w:tc>
              <w:tc>
                <w:tcPr>
                  <w:tcW w:w="288" w:type="pct"/>
                  <w:vAlign w:val="center"/>
                </w:tcPr>
                <w:p w14:paraId="4C30628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873" w:type="pct"/>
                  <w:vAlign w:val="center"/>
                </w:tcPr>
                <w:p w14:paraId="4AEF08D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木屑</w:t>
                  </w:r>
                </w:p>
              </w:tc>
              <w:tc>
                <w:tcPr>
                  <w:tcW w:w="536" w:type="pct"/>
                  <w:vAlign w:val="center"/>
                </w:tcPr>
                <w:p w14:paraId="1CCB150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3.3858</w:t>
                  </w:r>
                </w:p>
              </w:tc>
              <w:tc>
                <w:tcPr>
                  <w:tcW w:w="406" w:type="pct"/>
                  <w:vAlign w:val="center"/>
                </w:tcPr>
                <w:p w14:paraId="34319865">
                  <w:pPr>
                    <w:jc w:val="center"/>
                    <w:rPr>
                      <w:rFonts w:eastAsiaTheme="minorEastAsia"/>
                      <w:color w:val="auto"/>
                      <w:szCs w:val="21"/>
                    </w:rPr>
                  </w:pPr>
                  <w:r>
                    <w:rPr>
                      <w:rFonts w:hint="eastAsia" w:eastAsiaTheme="minorEastAsia"/>
                      <w:color w:val="auto"/>
                      <w:szCs w:val="21"/>
                    </w:rPr>
                    <w:t>√</w:t>
                  </w:r>
                </w:p>
              </w:tc>
              <w:tc>
                <w:tcPr>
                  <w:tcW w:w="349" w:type="pct"/>
                  <w:vAlign w:val="center"/>
                </w:tcPr>
                <w:p w14:paraId="189D7FFD">
                  <w:pPr>
                    <w:jc w:val="center"/>
                    <w:rPr>
                      <w:rFonts w:eastAsiaTheme="minorEastAsia"/>
                      <w:color w:val="auto"/>
                      <w:szCs w:val="21"/>
                    </w:rPr>
                  </w:pPr>
                  <w:r>
                    <w:rPr>
                      <w:rFonts w:hint="eastAsia" w:eastAsiaTheme="minorEastAsia"/>
                      <w:color w:val="auto"/>
                      <w:szCs w:val="21"/>
                    </w:rPr>
                    <w:t>/</w:t>
                  </w:r>
                </w:p>
              </w:tc>
              <w:tc>
                <w:tcPr>
                  <w:tcW w:w="1014" w:type="pct"/>
                  <w:vMerge w:val="continue"/>
                  <w:vAlign w:val="center"/>
                </w:tcPr>
                <w:p w14:paraId="7E94CFF5">
                  <w:pPr>
                    <w:adjustRightInd w:val="0"/>
                    <w:snapToGrid w:val="0"/>
                    <w:jc w:val="center"/>
                    <w:rPr>
                      <w:rFonts w:eastAsiaTheme="minorEastAsia"/>
                      <w:color w:val="auto"/>
                      <w:szCs w:val="21"/>
                    </w:rPr>
                  </w:pPr>
                </w:p>
              </w:tc>
            </w:tr>
            <w:tr w14:paraId="61873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4F86ECDC">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14</w:t>
                  </w:r>
                </w:p>
              </w:tc>
              <w:tc>
                <w:tcPr>
                  <w:tcW w:w="638" w:type="pct"/>
                  <w:vAlign w:val="center"/>
                </w:tcPr>
                <w:p w14:paraId="14F50CD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生活垃圾</w:t>
                  </w:r>
                </w:p>
              </w:tc>
              <w:tc>
                <w:tcPr>
                  <w:tcW w:w="639" w:type="pct"/>
                  <w:vAlign w:val="center"/>
                </w:tcPr>
                <w:p w14:paraId="273A081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员工生活</w:t>
                  </w:r>
                </w:p>
              </w:tc>
              <w:tc>
                <w:tcPr>
                  <w:tcW w:w="288" w:type="pct"/>
                  <w:vAlign w:val="center"/>
                </w:tcPr>
                <w:p w14:paraId="256B3FC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0695A98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纸塑料等</w:t>
                  </w:r>
                </w:p>
              </w:tc>
              <w:tc>
                <w:tcPr>
                  <w:tcW w:w="536" w:type="pct"/>
                  <w:vAlign w:val="center"/>
                </w:tcPr>
                <w:p w14:paraId="67D9E95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4.41</w:t>
                  </w:r>
                </w:p>
              </w:tc>
              <w:tc>
                <w:tcPr>
                  <w:tcW w:w="406" w:type="pct"/>
                  <w:vAlign w:val="center"/>
                </w:tcPr>
                <w:p w14:paraId="229D0D1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349" w:type="pct"/>
                  <w:vAlign w:val="center"/>
                </w:tcPr>
                <w:p w14:paraId="6971B788">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1014" w:type="pct"/>
                  <w:vMerge w:val="continue"/>
                  <w:vAlign w:val="center"/>
                </w:tcPr>
                <w:p w14:paraId="13607FFD">
                  <w:pPr>
                    <w:adjustRightInd w:val="0"/>
                    <w:snapToGrid w:val="0"/>
                    <w:jc w:val="center"/>
                    <w:rPr>
                      <w:rFonts w:eastAsiaTheme="minorEastAsia"/>
                      <w:color w:val="auto"/>
                      <w:szCs w:val="21"/>
                    </w:rPr>
                  </w:pPr>
                </w:p>
              </w:tc>
            </w:tr>
            <w:tr w14:paraId="0C4F9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0C0ACC3B">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15</w:t>
                  </w:r>
                </w:p>
              </w:tc>
              <w:tc>
                <w:tcPr>
                  <w:tcW w:w="638" w:type="pct"/>
                  <w:vAlign w:val="center"/>
                </w:tcPr>
                <w:p w14:paraId="46B76CB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化粪池污泥</w:t>
                  </w:r>
                </w:p>
              </w:tc>
              <w:tc>
                <w:tcPr>
                  <w:tcW w:w="639" w:type="pct"/>
                  <w:vAlign w:val="center"/>
                </w:tcPr>
                <w:p w14:paraId="72F811F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员工生活</w:t>
                  </w:r>
                </w:p>
              </w:tc>
              <w:tc>
                <w:tcPr>
                  <w:tcW w:w="288" w:type="pct"/>
                  <w:vAlign w:val="center"/>
                </w:tcPr>
                <w:p w14:paraId="1F022BF7">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固态</w:t>
                  </w:r>
                </w:p>
              </w:tc>
              <w:tc>
                <w:tcPr>
                  <w:tcW w:w="873" w:type="pct"/>
                  <w:vAlign w:val="center"/>
                </w:tcPr>
                <w:p w14:paraId="0C8DD8D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污泥</w:t>
                  </w:r>
                </w:p>
              </w:tc>
              <w:tc>
                <w:tcPr>
                  <w:tcW w:w="536" w:type="pct"/>
                  <w:vAlign w:val="center"/>
                </w:tcPr>
                <w:p w14:paraId="50D53C24">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3.15</w:t>
                  </w:r>
                </w:p>
              </w:tc>
              <w:tc>
                <w:tcPr>
                  <w:tcW w:w="406" w:type="pct"/>
                  <w:vAlign w:val="center"/>
                </w:tcPr>
                <w:p w14:paraId="3C28D4C0">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349" w:type="pct"/>
                  <w:vAlign w:val="center"/>
                </w:tcPr>
                <w:p w14:paraId="0A28566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1014" w:type="pct"/>
                  <w:vMerge w:val="continue"/>
                  <w:vAlign w:val="center"/>
                </w:tcPr>
                <w:p w14:paraId="6D9510CC">
                  <w:pPr>
                    <w:adjustRightInd w:val="0"/>
                    <w:snapToGrid w:val="0"/>
                    <w:jc w:val="center"/>
                    <w:rPr>
                      <w:rFonts w:eastAsiaTheme="minorEastAsia"/>
                      <w:color w:val="auto"/>
                      <w:szCs w:val="21"/>
                    </w:rPr>
                  </w:pPr>
                </w:p>
              </w:tc>
            </w:tr>
          </w:tbl>
          <w:p w14:paraId="4C154B17">
            <w:pPr>
              <w:adjustRightInd w:val="0"/>
              <w:snapToGrid w:val="0"/>
              <w:spacing w:before="120" w:beforeLines="50"/>
              <w:jc w:val="center"/>
              <w:rPr>
                <w:rFonts w:eastAsiaTheme="minorEastAsia"/>
                <w:b/>
                <w:color w:val="auto"/>
                <w:kern w:val="0"/>
                <w:sz w:val="24"/>
              </w:rPr>
            </w:pPr>
            <w:r>
              <w:rPr>
                <w:rFonts w:eastAsiaTheme="minorEastAsia"/>
                <w:b/>
                <w:color w:val="auto"/>
                <w:kern w:val="0"/>
                <w:sz w:val="24"/>
              </w:rPr>
              <w:t>表</w:t>
            </w:r>
            <w:r>
              <w:rPr>
                <w:rFonts w:eastAsiaTheme="minorEastAsia"/>
                <w:b/>
                <w:bCs/>
                <w:color w:val="auto"/>
                <w:kern w:val="0"/>
                <w:sz w:val="24"/>
                <w:lang w:bidi="en-US"/>
              </w:rPr>
              <w:t xml:space="preserve">4.4-2  </w:t>
            </w:r>
            <w:r>
              <w:rPr>
                <w:rFonts w:hint="eastAsia" w:eastAsiaTheme="minorEastAsia"/>
                <w:b/>
                <w:bCs/>
                <w:color w:val="auto"/>
                <w:kern w:val="0"/>
                <w:sz w:val="24"/>
                <w:lang w:bidi="en-US"/>
              </w:rPr>
              <w:t>建设</w:t>
            </w:r>
            <w:r>
              <w:rPr>
                <w:rFonts w:eastAsiaTheme="minorEastAsia"/>
                <w:b/>
                <w:color w:val="auto"/>
                <w:kern w:val="0"/>
                <w:sz w:val="24"/>
              </w:rPr>
              <w:t>项目固</w:t>
            </w:r>
            <w:r>
              <w:rPr>
                <w:rFonts w:hint="eastAsia" w:eastAsiaTheme="minorEastAsia"/>
                <w:b/>
                <w:color w:val="auto"/>
                <w:kern w:val="0"/>
                <w:sz w:val="24"/>
              </w:rPr>
              <w:t>体</w:t>
            </w:r>
            <w:r>
              <w:rPr>
                <w:rFonts w:eastAsiaTheme="minorEastAsia"/>
                <w:b/>
                <w:color w:val="auto"/>
                <w:kern w:val="0"/>
                <w:sz w:val="24"/>
              </w:rPr>
              <w:t xml:space="preserve">废物污染源源强核算结果及相关参数一览表  </w:t>
            </w:r>
            <w:r>
              <w:rPr>
                <w:rFonts w:eastAsiaTheme="minorEastAsia"/>
                <w:color w:val="auto"/>
                <w:kern w:val="0"/>
                <w:szCs w:val="21"/>
              </w:rPr>
              <w:t>单位：t/a</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8"/>
              <w:gridCol w:w="1137"/>
              <w:gridCol w:w="928"/>
              <w:gridCol w:w="697"/>
              <w:gridCol w:w="1153"/>
              <w:gridCol w:w="928"/>
              <w:gridCol w:w="789"/>
              <w:gridCol w:w="552"/>
              <w:gridCol w:w="741"/>
              <w:gridCol w:w="555"/>
            </w:tblGrid>
            <w:tr w14:paraId="433FC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Merge w:val="restart"/>
                  <w:vAlign w:val="center"/>
                </w:tcPr>
                <w:p w14:paraId="2A50E2C3">
                  <w:pPr>
                    <w:adjustRightInd w:val="0"/>
                    <w:snapToGrid w:val="0"/>
                    <w:jc w:val="center"/>
                    <w:rPr>
                      <w:rFonts w:eastAsiaTheme="minorEastAsia"/>
                      <w:b/>
                      <w:color w:val="auto"/>
                      <w:szCs w:val="21"/>
                    </w:rPr>
                  </w:pPr>
                  <w:r>
                    <w:rPr>
                      <w:rFonts w:eastAsiaTheme="minorEastAsia"/>
                      <w:b/>
                      <w:color w:val="auto"/>
                      <w:szCs w:val="21"/>
                    </w:rPr>
                    <w:t>工序</w:t>
                  </w:r>
                </w:p>
                <w:p w14:paraId="2338D3D9">
                  <w:pPr>
                    <w:adjustRightInd w:val="0"/>
                    <w:snapToGrid w:val="0"/>
                    <w:jc w:val="center"/>
                    <w:rPr>
                      <w:rFonts w:eastAsiaTheme="minorEastAsia"/>
                      <w:b/>
                      <w:color w:val="auto"/>
                      <w:szCs w:val="21"/>
                    </w:rPr>
                  </w:pPr>
                  <w:r>
                    <w:rPr>
                      <w:rFonts w:eastAsiaTheme="minorEastAsia"/>
                      <w:b/>
                      <w:color w:val="auto"/>
                      <w:szCs w:val="21"/>
                    </w:rPr>
                    <w:t>/生产线</w:t>
                  </w:r>
                </w:p>
              </w:tc>
              <w:tc>
                <w:tcPr>
                  <w:tcW w:w="677" w:type="pct"/>
                  <w:vMerge w:val="restart"/>
                  <w:vAlign w:val="center"/>
                </w:tcPr>
                <w:p w14:paraId="5397B1E5">
                  <w:pPr>
                    <w:adjustRightInd w:val="0"/>
                    <w:snapToGrid w:val="0"/>
                    <w:jc w:val="center"/>
                    <w:rPr>
                      <w:rFonts w:eastAsiaTheme="minorEastAsia"/>
                      <w:b/>
                      <w:color w:val="auto"/>
                      <w:szCs w:val="21"/>
                    </w:rPr>
                  </w:pPr>
                  <w:r>
                    <w:rPr>
                      <w:rFonts w:eastAsiaTheme="minorEastAsia"/>
                      <w:b/>
                      <w:color w:val="auto"/>
                      <w:szCs w:val="21"/>
                    </w:rPr>
                    <w:t>装置</w:t>
                  </w:r>
                </w:p>
              </w:tc>
              <w:tc>
                <w:tcPr>
                  <w:tcW w:w="553" w:type="pct"/>
                  <w:vMerge w:val="restart"/>
                  <w:vAlign w:val="center"/>
                </w:tcPr>
                <w:p w14:paraId="1251C7FE">
                  <w:pPr>
                    <w:adjustRightInd w:val="0"/>
                    <w:snapToGrid w:val="0"/>
                    <w:jc w:val="center"/>
                    <w:rPr>
                      <w:rFonts w:eastAsiaTheme="minorEastAsia"/>
                      <w:b/>
                      <w:color w:val="auto"/>
                      <w:szCs w:val="21"/>
                    </w:rPr>
                  </w:pPr>
                  <w:r>
                    <w:rPr>
                      <w:rFonts w:eastAsiaTheme="minorEastAsia"/>
                      <w:b/>
                      <w:color w:val="auto"/>
                      <w:szCs w:val="21"/>
                    </w:rPr>
                    <w:t>固体废物名称</w:t>
                  </w:r>
                </w:p>
              </w:tc>
              <w:tc>
                <w:tcPr>
                  <w:tcW w:w="415" w:type="pct"/>
                  <w:vMerge w:val="restart"/>
                  <w:vAlign w:val="center"/>
                </w:tcPr>
                <w:p w14:paraId="3BF9043C">
                  <w:pPr>
                    <w:adjustRightInd w:val="0"/>
                    <w:snapToGrid w:val="0"/>
                    <w:jc w:val="center"/>
                    <w:rPr>
                      <w:rFonts w:eastAsiaTheme="minorEastAsia"/>
                      <w:b/>
                      <w:bCs/>
                      <w:color w:val="auto"/>
                      <w:szCs w:val="21"/>
                    </w:rPr>
                  </w:pPr>
                  <w:r>
                    <w:rPr>
                      <w:rFonts w:eastAsiaTheme="minorEastAsia"/>
                      <w:b/>
                      <w:bCs/>
                      <w:color w:val="auto"/>
                      <w:szCs w:val="21"/>
                    </w:rPr>
                    <w:t>固废属性</w:t>
                  </w:r>
                </w:p>
              </w:tc>
              <w:tc>
                <w:tcPr>
                  <w:tcW w:w="687" w:type="pct"/>
                  <w:vMerge w:val="restart"/>
                  <w:vAlign w:val="center"/>
                </w:tcPr>
                <w:p w14:paraId="094026B3">
                  <w:pPr>
                    <w:adjustRightInd w:val="0"/>
                    <w:snapToGrid w:val="0"/>
                    <w:jc w:val="center"/>
                    <w:rPr>
                      <w:rFonts w:eastAsiaTheme="minorEastAsia"/>
                      <w:b/>
                      <w:color w:val="auto"/>
                      <w:szCs w:val="21"/>
                    </w:rPr>
                  </w:pPr>
                  <w:r>
                    <w:rPr>
                      <w:rFonts w:eastAsiaTheme="minorEastAsia"/>
                      <w:b/>
                      <w:color w:val="auto"/>
                      <w:szCs w:val="21"/>
                    </w:rPr>
                    <w:t>废物代码</w:t>
                  </w:r>
                </w:p>
              </w:tc>
              <w:tc>
                <w:tcPr>
                  <w:tcW w:w="1023" w:type="pct"/>
                  <w:gridSpan w:val="2"/>
                  <w:vAlign w:val="center"/>
                </w:tcPr>
                <w:p w14:paraId="66587445">
                  <w:pPr>
                    <w:adjustRightInd w:val="0"/>
                    <w:snapToGrid w:val="0"/>
                    <w:jc w:val="center"/>
                    <w:rPr>
                      <w:rFonts w:eastAsiaTheme="minorEastAsia"/>
                      <w:b/>
                      <w:color w:val="auto"/>
                      <w:szCs w:val="21"/>
                    </w:rPr>
                  </w:pPr>
                  <w:r>
                    <w:rPr>
                      <w:rFonts w:eastAsiaTheme="minorEastAsia"/>
                      <w:b/>
                      <w:color w:val="auto"/>
                      <w:szCs w:val="21"/>
                    </w:rPr>
                    <w:t>产生情况</w:t>
                  </w:r>
                </w:p>
              </w:tc>
              <w:tc>
                <w:tcPr>
                  <w:tcW w:w="770" w:type="pct"/>
                  <w:gridSpan w:val="2"/>
                  <w:vAlign w:val="center"/>
                </w:tcPr>
                <w:p w14:paraId="7FF923F4">
                  <w:pPr>
                    <w:adjustRightInd w:val="0"/>
                    <w:snapToGrid w:val="0"/>
                    <w:jc w:val="center"/>
                    <w:rPr>
                      <w:rFonts w:eastAsiaTheme="minorEastAsia"/>
                      <w:b/>
                      <w:color w:val="auto"/>
                      <w:szCs w:val="21"/>
                    </w:rPr>
                  </w:pPr>
                  <w:r>
                    <w:rPr>
                      <w:rFonts w:eastAsiaTheme="minorEastAsia"/>
                      <w:b/>
                      <w:color w:val="auto"/>
                      <w:szCs w:val="21"/>
                    </w:rPr>
                    <w:t>处置措施</w:t>
                  </w:r>
                </w:p>
              </w:tc>
              <w:tc>
                <w:tcPr>
                  <w:tcW w:w="330" w:type="pct"/>
                  <w:vMerge w:val="restart"/>
                  <w:vAlign w:val="center"/>
                </w:tcPr>
                <w:p w14:paraId="36BE40CE">
                  <w:pPr>
                    <w:adjustRightInd w:val="0"/>
                    <w:snapToGrid w:val="0"/>
                    <w:jc w:val="center"/>
                    <w:rPr>
                      <w:rFonts w:eastAsiaTheme="minorEastAsia"/>
                      <w:b/>
                      <w:color w:val="auto"/>
                      <w:szCs w:val="21"/>
                    </w:rPr>
                  </w:pPr>
                  <w:r>
                    <w:rPr>
                      <w:rFonts w:eastAsiaTheme="minorEastAsia"/>
                      <w:b/>
                      <w:color w:val="auto"/>
                      <w:szCs w:val="21"/>
                    </w:rPr>
                    <w:t>最终去向</w:t>
                  </w:r>
                </w:p>
              </w:tc>
            </w:tr>
            <w:tr w14:paraId="769E3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Merge w:val="continue"/>
                  <w:vAlign w:val="center"/>
                </w:tcPr>
                <w:p w14:paraId="4D59CD42">
                  <w:pPr>
                    <w:adjustRightInd w:val="0"/>
                    <w:snapToGrid w:val="0"/>
                    <w:jc w:val="center"/>
                    <w:rPr>
                      <w:rFonts w:eastAsiaTheme="minorEastAsia"/>
                      <w:b/>
                      <w:color w:val="auto"/>
                      <w:szCs w:val="21"/>
                    </w:rPr>
                  </w:pPr>
                </w:p>
              </w:tc>
              <w:tc>
                <w:tcPr>
                  <w:tcW w:w="677" w:type="pct"/>
                  <w:vMerge w:val="continue"/>
                  <w:vAlign w:val="center"/>
                </w:tcPr>
                <w:p w14:paraId="5DD54167">
                  <w:pPr>
                    <w:adjustRightInd w:val="0"/>
                    <w:snapToGrid w:val="0"/>
                    <w:jc w:val="center"/>
                    <w:rPr>
                      <w:rFonts w:eastAsiaTheme="minorEastAsia"/>
                      <w:b/>
                      <w:color w:val="auto"/>
                      <w:szCs w:val="21"/>
                    </w:rPr>
                  </w:pPr>
                </w:p>
              </w:tc>
              <w:tc>
                <w:tcPr>
                  <w:tcW w:w="553" w:type="pct"/>
                  <w:vMerge w:val="continue"/>
                  <w:vAlign w:val="center"/>
                </w:tcPr>
                <w:p w14:paraId="1E96CDC5">
                  <w:pPr>
                    <w:adjustRightInd w:val="0"/>
                    <w:snapToGrid w:val="0"/>
                    <w:jc w:val="center"/>
                    <w:rPr>
                      <w:rFonts w:eastAsiaTheme="minorEastAsia"/>
                      <w:b/>
                      <w:color w:val="auto"/>
                      <w:szCs w:val="21"/>
                    </w:rPr>
                  </w:pPr>
                </w:p>
              </w:tc>
              <w:tc>
                <w:tcPr>
                  <w:tcW w:w="415" w:type="pct"/>
                  <w:vMerge w:val="continue"/>
                  <w:vAlign w:val="center"/>
                </w:tcPr>
                <w:p w14:paraId="68202FB9">
                  <w:pPr>
                    <w:adjustRightInd w:val="0"/>
                    <w:snapToGrid w:val="0"/>
                    <w:jc w:val="center"/>
                    <w:rPr>
                      <w:rFonts w:eastAsiaTheme="minorEastAsia"/>
                      <w:b/>
                      <w:color w:val="auto"/>
                      <w:szCs w:val="21"/>
                    </w:rPr>
                  </w:pPr>
                </w:p>
              </w:tc>
              <w:tc>
                <w:tcPr>
                  <w:tcW w:w="687" w:type="pct"/>
                  <w:vMerge w:val="continue"/>
                  <w:vAlign w:val="center"/>
                </w:tcPr>
                <w:p w14:paraId="72F631B3">
                  <w:pPr>
                    <w:adjustRightInd w:val="0"/>
                    <w:snapToGrid w:val="0"/>
                    <w:jc w:val="center"/>
                    <w:rPr>
                      <w:rFonts w:eastAsiaTheme="minorEastAsia"/>
                      <w:b/>
                      <w:color w:val="auto"/>
                      <w:szCs w:val="21"/>
                    </w:rPr>
                  </w:pPr>
                </w:p>
              </w:tc>
              <w:tc>
                <w:tcPr>
                  <w:tcW w:w="553" w:type="pct"/>
                  <w:vAlign w:val="center"/>
                </w:tcPr>
                <w:p w14:paraId="78F386D0">
                  <w:pPr>
                    <w:adjustRightInd w:val="0"/>
                    <w:snapToGrid w:val="0"/>
                    <w:jc w:val="center"/>
                    <w:rPr>
                      <w:rFonts w:eastAsiaTheme="minorEastAsia"/>
                      <w:b/>
                      <w:color w:val="auto"/>
                      <w:szCs w:val="21"/>
                    </w:rPr>
                  </w:pPr>
                  <w:r>
                    <w:rPr>
                      <w:rFonts w:eastAsiaTheme="minorEastAsia"/>
                      <w:b/>
                      <w:color w:val="auto"/>
                      <w:szCs w:val="21"/>
                    </w:rPr>
                    <w:t>核算方法</w:t>
                  </w:r>
                </w:p>
              </w:tc>
              <w:tc>
                <w:tcPr>
                  <w:tcW w:w="470" w:type="pct"/>
                  <w:vAlign w:val="center"/>
                </w:tcPr>
                <w:p w14:paraId="38241398">
                  <w:pPr>
                    <w:adjustRightInd w:val="0"/>
                    <w:snapToGrid w:val="0"/>
                    <w:jc w:val="center"/>
                    <w:rPr>
                      <w:rFonts w:eastAsiaTheme="minorEastAsia"/>
                      <w:b/>
                      <w:color w:val="auto"/>
                      <w:szCs w:val="21"/>
                    </w:rPr>
                  </w:pPr>
                  <w:r>
                    <w:rPr>
                      <w:rFonts w:eastAsiaTheme="minorEastAsia"/>
                      <w:b/>
                      <w:color w:val="auto"/>
                      <w:szCs w:val="21"/>
                    </w:rPr>
                    <w:t>产生量</w:t>
                  </w:r>
                </w:p>
              </w:tc>
              <w:tc>
                <w:tcPr>
                  <w:tcW w:w="329" w:type="pct"/>
                  <w:vAlign w:val="center"/>
                </w:tcPr>
                <w:p w14:paraId="565B41B6">
                  <w:pPr>
                    <w:adjustRightInd w:val="0"/>
                    <w:snapToGrid w:val="0"/>
                    <w:jc w:val="center"/>
                    <w:rPr>
                      <w:rFonts w:eastAsiaTheme="minorEastAsia"/>
                      <w:b/>
                      <w:color w:val="auto"/>
                      <w:szCs w:val="21"/>
                    </w:rPr>
                  </w:pPr>
                  <w:r>
                    <w:rPr>
                      <w:rFonts w:eastAsiaTheme="minorEastAsia"/>
                      <w:b/>
                      <w:color w:val="auto"/>
                      <w:szCs w:val="21"/>
                    </w:rPr>
                    <w:t>工艺</w:t>
                  </w:r>
                </w:p>
              </w:tc>
              <w:tc>
                <w:tcPr>
                  <w:tcW w:w="441" w:type="pct"/>
                  <w:vAlign w:val="center"/>
                </w:tcPr>
                <w:p w14:paraId="119E6F65">
                  <w:pPr>
                    <w:adjustRightInd w:val="0"/>
                    <w:snapToGrid w:val="0"/>
                    <w:jc w:val="center"/>
                    <w:rPr>
                      <w:rFonts w:eastAsiaTheme="minorEastAsia"/>
                      <w:b/>
                      <w:color w:val="auto"/>
                      <w:szCs w:val="21"/>
                    </w:rPr>
                  </w:pPr>
                  <w:r>
                    <w:rPr>
                      <w:rFonts w:eastAsiaTheme="minorEastAsia"/>
                      <w:b/>
                      <w:color w:val="auto"/>
                      <w:szCs w:val="21"/>
                    </w:rPr>
                    <w:t>处置量</w:t>
                  </w:r>
                </w:p>
              </w:tc>
              <w:tc>
                <w:tcPr>
                  <w:tcW w:w="330" w:type="pct"/>
                  <w:vMerge w:val="continue"/>
                  <w:vAlign w:val="center"/>
                </w:tcPr>
                <w:p w14:paraId="7FD095DC">
                  <w:pPr>
                    <w:adjustRightInd w:val="0"/>
                    <w:snapToGrid w:val="0"/>
                    <w:jc w:val="center"/>
                    <w:rPr>
                      <w:rFonts w:eastAsiaTheme="minorEastAsia"/>
                      <w:color w:val="auto"/>
                      <w:szCs w:val="21"/>
                    </w:rPr>
                  </w:pPr>
                </w:p>
              </w:tc>
            </w:tr>
            <w:tr w14:paraId="59391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43B690B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废气治理</w:t>
                  </w:r>
                </w:p>
              </w:tc>
              <w:tc>
                <w:tcPr>
                  <w:tcW w:w="677" w:type="pct"/>
                  <w:vAlign w:val="center"/>
                </w:tcPr>
                <w:p w14:paraId="4C7B131E">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活性炭吸附装置</w:t>
                  </w:r>
                </w:p>
              </w:tc>
              <w:tc>
                <w:tcPr>
                  <w:tcW w:w="553" w:type="pct"/>
                  <w:vAlign w:val="center"/>
                </w:tcPr>
                <w:p w14:paraId="7AC3810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废活性炭</w:t>
                  </w:r>
                </w:p>
              </w:tc>
              <w:tc>
                <w:tcPr>
                  <w:tcW w:w="415" w:type="pct"/>
                  <w:vMerge w:val="restart"/>
                  <w:vAlign w:val="center"/>
                </w:tcPr>
                <w:p w14:paraId="40EEDCF4">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危险废物</w:t>
                  </w:r>
                </w:p>
              </w:tc>
              <w:tc>
                <w:tcPr>
                  <w:tcW w:w="687" w:type="pct"/>
                  <w:vAlign w:val="center"/>
                </w:tcPr>
                <w:p w14:paraId="47AA3E0E">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 xml:space="preserve">HW49 </w:t>
                  </w:r>
                  <w:r>
                    <w:rPr>
                      <w:rFonts w:eastAsiaTheme="minorEastAsia"/>
                      <w:bCs/>
                      <w:color w:val="auto"/>
                      <w:kern w:val="0"/>
                      <w:szCs w:val="21"/>
                      <w:lang w:bidi="en-US"/>
                    </w:rPr>
                    <w:t>900-039-49</w:t>
                  </w:r>
                </w:p>
              </w:tc>
              <w:tc>
                <w:tcPr>
                  <w:tcW w:w="553" w:type="pct"/>
                  <w:vAlign w:val="center"/>
                </w:tcPr>
                <w:p w14:paraId="61A5891C">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72595D8B">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1.77</w:t>
                  </w:r>
                </w:p>
              </w:tc>
              <w:tc>
                <w:tcPr>
                  <w:tcW w:w="329" w:type="pct"/>
                  <w:vMerge w:val="restart"/>
                  <w:vAlign w:val="center"/>
                </w:tcPr>
                <w:p w14:paraId="6C8FCEF2">
                  <w:pPr>
                    <w:adjustRightInd w:val="0"/>
                    <w:snapToGrid w:val="0"/>
                    <w:jc w:val="center"/>
                    <w:rPr>
                      <w:rFonts w:eastAsiaTheme="minorEastAsia"/>
                      <w:color w:val="auto"/>
                      <w:szCs w:val="21"/>
                    </w:rPr>
                  </w:pPr>
                  <w:r>
                    <w:rPr>
                      <w:rFonts w:eastAsiaTheme="minorEastAsia"/>
                      <w:color w:val="auto"/>
                      <w:szCs w:val="21"/>
                    </w:rPr>
                    <w:t>有资质单位安全处置</w:t>
                  </w:r>
                </w:p>
              </w:tc>
              <w:tc>
                <w:tcPr>
                  <w:tcW w:w="441" w:type="pct"/>
                  <w:vAlign w:val="center"/>
                </w:tcPr>
                <w:p w14:paraId="33B92139">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1.77</w:t>
                  </w:r>
                </w:p>
              </w:tc>
              <w:tc>
                <w:tcPr>
                  <w:tcW w:w="330" w:type="pct"/>
                  <w:vMerge w:val="restart"/>
                  <w:vAlign w:val="center"/>
                </w:tcPr>
                <w:p w14:paraId="07C1117B">
                  <w:pPr>
                    <w:adjustRightInd w:val="0"/>
                    <w:snapToGrid w:val="0"/>
                    <w:jc w:val="center"/>
                    <w:rPr>
                      <w:rFonts w:eastAsiaTheme="minorEastAsia"/>
                      <w:color w:val="auto"/>
                      <w:szCs w:val="21"/>
                    </w:rPr>
                  </w:pPr>
                  <w:r>
                    <w:rPr>
                      <w:rFonts w:eastAsiaTheme="minorEastAsia"/>
                      <w:color w:val="auto"/>
                      <w:szCs w:val="21"/>
                    </w:rPr>
                    <w:t>有资质单位</w:t>
                  </w:r>
                </w:p>
              </w:tc>
            </w:tr>
            <w:tr w14:paraId="4BBA3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541" w:type="pct"/>
                  <w:vAlign w:val="center"/>
                </w:tcPr>
                <w:p w14:paraId="0C149400">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设备维修、保养</w:t>
                  </w:r>
                </w:p>
              </w:tc>
              <w:tc>
                <w:tcPr>
                  <w:tcW w:w="677" w:type="pct"/>
                  <w:vAlign w:val="center"/>
                </w:tcPr>
                <w:p w14:paraId="7352E20D">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553" w:type="pct"/>
                  <w:vAlign w:val="center"/>
                </w:tcPr>
                <w:p w14:paraId="1040F294">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废油桶</w:t>
                  </w:r>
                </w:p>
              </w:tc>
              <w:tc>
                <w:tcPr>
                  <w:tcW w:w="415" w:type="pct"/>
                  <w:vMerge w:val="continue"/>
                  <w:vAlign w:val="center"/>
                </w:tcPr>
                <w:p w14:paraId="2B9B56CE">
                  <w:pPr>
                    <w:adjustRightInd w:val="0"/>
                    <w:snapToGrid w:val="0"/>
                    <w:jc w:val="center"/>
                    <w:rPr>
                      <w:rFonts w:eastAsiaTheme="minorEastAsia"/>
                      <w:bCs/>
                      <w:color w:val="auto"/>
                      <w:kern w:val="0"/>
                      <w:szCs w:val="21"/>
                      <w:lang w:bidi="en-US"/>
                    </w:rPr>
                  </w:pPr>
                </w:p>
              </w:tc>
              <w:tc>
                <w:tcPr>
                  <w:tcW w:w="687" w:type="pct"/>
                  <w:vAlign w:val="center"/>
                </w:tcPr>
                <w:p w14:paraId="1CB97788">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color w:val="auto"/>
                      <w:szCs w:val="21"/>
                    </w:rPr>
                    <w:t>HW08 900-249-08</w:t>
                  </w:r>
                </w:p>
              </w:tc>
              <w:tc>
                <w:tcPr>
                  <w:tcW w:w="553" w:type="pct"/>
                  <w:vAlign w:val="center"/>
                </w:tcPr>
                <w:p w14:paraId="56DB1B93">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6CB40164">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w:t>
                  </w:r>
                  <w:r>
                    <w:rPr>
                      <w:rFonts w:hint="eastAsia" w:eastAsiaTheme="minorEastAsia"/>
                      <w:color w:val="auto"/>
                      <w:szCs w:val="21"/>
                      <w:lang w:val="en-US" w:eastAsia="zh-CN"/>
                    </w:rPr>
                    <w:t>0</w:t>
                  </w:r>
                  <w:r>
                    <w:rPr>
                      <w:rFonts w:hint="eastAsia" w:eastAsiaTheme="minorEastAsia"/>
                      <w:color w:val="auto"/>
                      <w:szCs w:val="21"/>
                    </w:rPr>
                    <w:t>6</w:t>
                  </w:r>
                </w:p>
              </w:tc>
              <w:tc>
                <w:tcPr>
                  <w:tcW w:w="329" w:type="pct"/>
                  <w:vMerge w:val="continue"/>
                  <w:vAlign w:val="center"/>
                </w:tcPr>
                <w:p w14:paraId="0497A318">
                  <w:pPr>
                    <w:adjustRightInd w:val="0"/>
                    <w:snapToGrid w:val="0"/>
                    <w:jc w:val="center"/>
                    <w:rPr>
                      <w:rFonts w:eastAsiaTheme="minorEastAsia"/>
                      <w:color w:val="auto"/>
                      <w:szCs w:val="21"/>
                    </w:rPr>
                  </w:pPr>
                </w:p>
              </w:tc>
              <w:tc>
                <w:tcPr>
                  <w:tcW w:w="441" w:type="pct"/>
                  <w:vAlign w:val="center"/>
                </w:tcPr>
                <w:p w14:paraId="5F93E7E7">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w:t>
                  </w:r>
                  <w:r>
                    <w:rPr>
                      <w:rFonts w:hint="eastAsia" w:eastAsiaTheme="minorEastAsia"/>
                      <w:color w:val="auto"/>
                      <w:szCs w:val="21"/>
                      <w:lang w:val="en-US" w:eastAsia="zh-CN"/>
                    </w:rPr>
                    <w:t>0</w:t>
                  </w:r>
                  <w:r>
                    <w:rPr>
                      <w:rFonts w:hint="eastAsia" w:eastAsiaTheme="minorEastAsia"/>
                      <w:color w:val="auto"/>
                      <w:szCs w:val="21"/>
                    </w:rPr>
                    <w:t>6</w:t>
                  </w:r>
                </w:p>
              </w:tc>
              <w:tc>
                <w:tcPr>
                  <w:tcW w:w="330" w:type="pct"/>
                  <w:vMerge w:val="continue"/>
                  <w:vAlign w:val="center"/>
                </w:tcPr>
                <w:p w14:paraId="1EDCA5AB">
                  <w:pPr>
                    <w:adjustRightInd w:val="0"/>
                    <w:snapToGrid w:val="0"/>
                    <w:jc w:val="center"/>
                    <w:rPr>
                      <w:rFonts w:eastAsiaTheme="minorEastAsia"/>
                      <w:color w:val="auto"/>
                      <w:szCs w:val="21"/>
                    </w:rPr>
                  </w:pPr>
                </w:p>
              </w:tc>
            </w:tr>
            <w:tr w14:paraId="090CA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541" w:type="pct"/>
                  <w:vAlign w:val="center"/>
                </w:tcPr>
                <w:p w14:paraId="5A19B006">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设备维修、保养</w:t>
                  </w:r>
                </w:p>
              </w:tc>
              <w:tc>
                <w:tcPr>
                  <w:tcW w:w="677" w:type="pct"/>
                  <w:vAlign w:val="center"/>
                </w:tcPr>
                <w:p w14:paraId="14DF4F78">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553" w:type="pct"/>
                  <w:vAlign w:val="center"/>
                </w:tcPr>
                <w:p w14:paraId="7177DF0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废胶桶</w:t>
                  </w:r>
                </w:p>
              </w:tc>
              <w:tc>
                <w:tcPr>
                  <w:tcW w:w="415" w:type="pct"/>
                  <w:vMerge w:val="continue"/>
                  <w:vAlign w:val="center"/>
                </w:tcPr>
                <w:p w14:paraId="4FD7A4AD">
                  <w:pPr>
                    <w:adjustRightInd w:val="0"/>
                    <w:snapToGrid w:val="0"/>
                    <w:jc w:val="center"/>
                    <w:rPr>
                      <w:rFonts w:eastAsiaTheme="minorEastAsia"/>
                      <w:bCs/>
                      <w:color w:val="auto"/>
                      <w:kern w:val="0"/>
                      <w:szCs w:val="21"/>
                      <w:lang w:bidi="en-US"/>
                    </w:rPr>
                  </w:pPr>
                </w:p>
              </w:tc>
              <w:tc>
                <w:tcPr>
                  <w:tcW w:w="687" w:type="pct"/>
                  <w:vAlign w:val="center"/>
                </w:tcPr>
                <w:p w14:paraId="649E410C">
                  <w:pPr>
                    <w:adjustRightInd w:val="0"/>
                    <w:snapToGrid w:val="0"/>
                    <w:jc w:val="center"/>
                    <w:rPr>
                      <w:color w:val="auto"/>
                      <w:szCs w:val="21"/>
                    </w:rPr>
                  </w:pPr>
                  <w:r>
                    <w:rPr>
                      <w:color w:val="auto"/>
                      <w:szCs w:val="21"/>
                    </w:rPr>
                    <w:t>HW</w:t>
                  </w:r>
                  <w:r>
                    <w:rPr>
                      <w:rFonts w:hint="eastAsia"/>
                      <w:color w:val="auto"/>
                      <w:szCs w:val="21"/>
                    </w:rPr>
                    <w:t>49</w:t>
                  </w:r>
                </w:p>
                <w:p w14:paraId="4E00BFAC">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900-041-49</w:t>
                  </w:r>
                </w:p>
              </w:tc>
              <w:tc>
                <w:tcPr>
                  <w:tcW w:w="553" w:type="pct"/>
                  <w:vAlign w:val="center"/>
                </w:tcPr>
                <w:p w14:paraId="12E6F8BC">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43FEACE4">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0.103</w:t>
                  </w:r>
                </w:p>
              </w:tc>
              <w:tc>
                <w:tcPr>
                  <w:tcW w:w="329" w:type="pct"/>
                  <w:vMerge w:val="continue"/>
                  <w:vAlign w:val="center"/>
                </w:tcPr>
                <w:p w14:paraId="3BA90354">
                  <w:pPr>
                    <w:adjustRightInd w:val="0"/>
                    <w:snapToGrid w:val="0"/>
                    <w:jc w:val="center"/>
                    <w:rPr>
                      <w:rFonts w:eastAsiaTheme="minorEastAsia"/>
                      <w:color w:val="auto"/>
                      <w:szCs w:val="21"/>
                    </w:rPr>
                  </w:pPr>
                </w:p>
              </w:tc>
              <w:tc>
                <w:tcPr>
                  <w:tcW w:w="441" w:type="pct"/>
                  <w:vAlign w:val="center"/>
                </w:tcPr>
                <w:p w14:paraId="68E90785">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0.103</w:t>
                  </w:r>
                </w:p>
              </w:tc>
              <w:tc>
                <w:tcPr>
                  <w:tcW w:w="330" w:type="pct"/>
                  <w:vMerge w:val="continue"/>
                  <w:vAlign w:val="center"/>
                </w:tcPr>
                <w:p w14:paraId="0579A0E3">
                  <w:pPr>
                    <w:adjustRightInd w:val="0"/>
                    <w:snapToGrid w:val="0"/>
                    <w:jc w:val="center"/>
                    <w:rPr>
                      <w:rFonts w:eastAsiaTheme="minorEastAsia"/>
                      <w:color w:val="auto"/>
                      <w:szCs w:val="21"/>
                    </w:rPr>
                  </w:pPr>
                </w:p>
              </w:tc>
            </w:tr>
            <w:tr w14:paraId="3C4EF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504F17A6">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设备保养</w:t>
                  </w:r>
                </w:p>
              </w:tc>
              <w:tc>
                <w:tcPr>
                  <w:tcW w:w="677" w:type="pct"/>
                  <w:vAlign w:val="center"/>
                </w:tcPr>
                <w:p w14:paraId="0EE70878">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553" w:type="pct"/>
                  <w:vAlign w:val="center"/>
                </w:tcPr>
                <w:p w14:paraId="0D5B69D5">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含油抹布和手套</w:t>
                  </w:r>
                </w:p>
              </w:tc>
              <w:tc>
                <w:tcPr>
                  <w:tcW w:w="415" w:type="pct"/>
                  <w:vMerge w:val="continue"/>
                  <w:vAlign w:val="center"/>
                </w:tcPr>
                <w:p w14:paraId="20878A20">
                  <w:pPr>
                    <w:adjustRightInd w:val="0"/>
                    <w:snapToGrid w:val="0"/>
                    <w:jc w:val="center"/>
                    <w:rPr>
                      <w:rFonts w:eastAsiaTheme="minorEastAsia"/>
                      <w:bCs/>
                      <w:color w:val="auto"/>
                      <w:kern w:val="0"/>
                      <w:szCs w:val="21"/>
                      <w:lang w:bidi="en-US"/>
                    </w:rPr>
                  </w:pPr>
                </w:p>
              </w:tc>
              <w:tc>
                <w:tcPr>
                  <w:tcW w:w="687" w:type="pct"/>
                  <w:vAlign w:val="center"/>
                </w:tcPr>
                <w:p w14:paraId="75AF735B">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color w:val="auto"/>
                      <w:szCs w:val="21"/>
                    </w:rPr>
                    <w:t>HW</w:t>
                  </w:r>
                  <w:r>
                    <w:rPr>
                      <w:rFonts w:hint="eastAsia"/>
                      <w:color w:val="auto"/>
                      <w:szCs w:val="21"/>
                    </w:rPr>
                    <w:t>4</w:t>
                  </w:r>
                  <w:r>
                    <w:rPr>
                      <w:color w:val="auto"/>
                      <w:szCs w:val="21"/>
                    </w:rPr>
                    <w:t>9 900-041-49</w:t>
                  </w:r>
                </w:p>
              </w:tc>
              <w:tc>
                <w:tcPr>
                  <w:tcW w:w="553" w:type="pct"/>
                  <w:vAlign w:val="center"/>
                </w:tcPr>
                <w:p w14:paraId="1A2D6CD9">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6C5F72C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0.002</w:t>
                  </w:r>
                </w:p>
              </w:tc>
              <w:tc>
                <w:tcPr>
                  <w:tcW w:w="329" w:type="pct"/>
                  <w:vMerge w:val="continue"/>
                  <w:vAlign w:val="center"/>
                </w:tcPr>
                <w:p w14:paraId="1A01DDA8">
                  <w:pPr>
                    <w:adjustRightInd w:val="0"/>
                    <w:snapToGrid w:val="0"/>
                    <w:jc w:val="center"/>
                    <w:rPr>
                      <w:rFonts w:eastAsiaTheme="minorEastAsia"/>
                      <w:color w:val="auto"/>
                      <w:szCs w:val="21"/>
                    </w:rPr>
                  </w:pPr>
                </w:p>
              </w:tc>
              <w:tc>
                <w:tcPr>
                  <w:tcW w:w="441" w:type="pct"/>
                  <w:vAlign w:val="center"/>
                </w:tcPr>
                <w:p w14:paraId="5D0381FD">
                  <w:pPr>
                    <w:jc w:val="center"/>
                    <w:rPr>
                      <w:rFonts w:eastAsiaTheme="minorEastAsia"/>
                      <w:color w:val="auto"/>
                      <w:szCs w:val="21"/>
                    </w:rPr>
                  </w:pPr>
                  <w:r>
                    <w:rPr>
                      <w:rFonts w:hint="eastAsia" w:eastAsiaTheme="minorEastAsia"/>
                      <w:color w:val="auto"/>
                      <w:szCs w:val="21"/>
                    </w:rPr>
                    <w:t>0.002</w:t>
                  </w:r>
                </w:p>
              </w:tc>
              <w:tc>
                <w:tcPr>
                  <w:tcW w:w="330" w:type="pct"/>
                  <w:vMerge w:val="continue"/>
                  <w:vAlign w:val="center"/>
                </w:tcPr>
                <w:p w14:paraId="26A1B04E">
                  <w:pPr>
                    <w:adjustRightInd w:val="0"/>
                    <w:snapToGrid w:val="0"/>
                    <w:jc w:val="center"/>
                    <w:rPr>
                      <w:rFonts w:eastAsiaTheme="minorEastAsia"/>
                      <w:color w:val="auto"/>
                      <w:szCs w:val="21"/>
                    </w:rPr>
                  </w:pPr>
                </w:p>
              </w:tc>
            </w:tr>
            <w:tr w14:paraId="400AD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41" w:type="pct"/>
                  <w:vAlign w:val="center"/>
                </w:tcPr>
                <w:p w14:paraId="7C8ECB9D">
                  <w:pPr>
                    <w:adjustRightInd w:val="0"/>
                    <w:snapToGrid w:val="0"/>
                    <w:jc w:val="center"/>
                    <w:rPr>
                      <w:rFonts w:hint="default" w:eastAsia="宋体"/>
                      <w:color w:val="auto"/>
                      <w:szCs w:val="21"/>
                      <w:lang w:val="en-US" w:eastAsia="zh-CN"/>
                    </w:rPr>
                  </w:pPr>
                  <w:r>
                    <w:rPr>
                      <w:rFonts w:hint="eastAsia"/>
                      <w:color w:val="auto"/>
                      <w:szCs w:val="21"/>
                      <w:lang w:val="en-US" w:eastAsia="zh-CN"/>
                    </w:rPr>
                    <w:t>热压</w:t>
                  </w:r>
                </w:p>
              </w:tc>
              <w:tc>
                <w:tcPr>
                  <w:tcW w:w="677" w:type="pct"/>
                  <w:vAlign w:val="center"/>
                </w:tcPr>
                <w:p w14:paraId="6A7D4756">
                  <w:pPr>
                    <w:adjustRightInd w:val="0"/>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w:t>
                  </w:r>
                </w:p>
              </w:tc>
              <w:tc>
                <w:tcPr>
                  <w:tcW w:w="553" w:type="pct"/>
                  <w:vAlign w:val="center"/>
                </w:tcPr>
                <w:p w14:paraId="22D1E5BD">
                  <w:pPr>
                    <w:adjustRightInd w:val="0"/>
                    <w:snapToGrid w:val="0"/>
                    <w:jc w:val="center"/>
                    <w:rPr>
                      <w:rFonts w:hint="eastAsia" w:eastAsia="宋体"/>
                      <w:color w:val="auto"/>
                      <w:szCs w:val="21"/>
                      <w:lang w:eastAsia="zh-CN"/>
                    </w:rPr>
                  </w:pPr>
                  <w:r>
                    <w:rPr>
                      <w:rFonts w:hint="eastAsia"/>
                      <w:color w:val="auto"/>
                      <w:szCs w:val="21"/>
                      <w:lang w:eastAsia="zh-CN"/>
                    </w:rPr>
                    <w:t>清洗废水</w:t>
                  </w:r>
                </w:p>
              </w:tc>
              <w:tc>
                <w:tcPr>
                  <w:tcW w:w="415" w:type="pct"/>
                  <w:vMerge w:val="continue"/>
                  <w:vAlign w:val="center"/>
                </w:tcPr>
                <w:p w14:paraId="63B86842">
                  <w:pPr>
                    <w:adjustRightInd w:val="0"/>
                    <w:snapToGrid w:val="0"/>
                    <w:jc w:val="center"/>
                    <w:rPr>
                      <w:rFonts w:eastAsiaTheme="minorEastAsia"/>
                      <w:bCs/>
                      <w:color w:val="auto"/>
                      <w:kern w:val="0"/>
                      <w:szCs w:val="21"/>
                      <w:lang w:bidi="en-US"/>
                    </w:rPr>
                  </w:pPr>
                </w:p>
              </w:tc>
              <w:tc>
                <w:tcPr>
                  <w:tcW w:w="687" w:type="pct"/>
                  <w:vAlign w:val="center"/>
                </w:tcPr>
                <w:p w14:paraId="18633E38">
                  <w:pPr>
                    <w:adjustRightInd w:val="0"/>
                    <w:snapToGrid w:val="0"/>
                    <w:jc w:val="center"/>
                    <w:rPr>
                      <w:rFonts w:hint="default"/>
                      <w:color w:val="auto"/>
                      <w:szCs w:val="21"/>
                      <w:lang w:val="en-US" w:eastAsia="zh-CN"/>
                    </w:rPr>
                  </w:pPr>
                  <w:r>
                    <w:rPr>
                      <w:rFonts w:hint="eastAsia"/>
                      <w:color w:val="auto"/>
                      <w:szCs w:val="21"/>
                      <w:lang w:val="en-US" w:eastAsia="zh-CN"/>
                    </w:rPr>
                    <w:t>HW49</w:t>
                  </w:r>
                </w:p>
                <w:p w14:paraId="555A4008">
                  <w:pPr>
                    <w:adjustRightInd w:val="0"/>
                    <w:snapToGrid w:val="0"/>
                    <w:jc w:val="center"/>
                    <w:rPr>
                      <w:rFonts w:hint="default" w:eastAsia="宋体"/>
                      <w:color w:val="auto"/>
                      <w:szCs w:val="21"/>
                      <w:lang w:val="en-US" w:eastAsia="zh-CN"/>
                    </w:rPr>
                  </w:pPr>
                  <w:r>
                    <w:rPr>
                      <w:rFonts w:hint="eastAsia"/>
                      <w:color w:val="auto"/>
                      <w:szCs w:val="21"/>
                      <w:lang w:val="en-US" w:eastAsia="zh-CN"/>
                    </w:rPr>
                    <w:t>900-047-49</w:t>
                  </w:r>
                </w:p>
              </w:tc>
              <w:tc>
                <w:tcPr>
                  <w:tcW w:w="553" w:type="pct"/>
                  <w:vAlign w:val="center"/>
                </w:tcPr>
                <w:p w14:paraId="20932279">
                  <w:pPr>
                    <w:adjustRightInd w:val="0"/>
                    <w:snapToGrid w:val="0"/>
                    <w:jc w:val="center"/>
                    <w:rPr>
                      <w:rFonts w:eastAsiaTheme="minorEastAsia"/>
                      <w:color w:val="auto"/>
                      <w:szCs w:val="21"/>
                    </w:rPr>
                  </w:pPr>
                  <w:r>
                    <w:rPr>
                      <w:rFonts w:eastAsiaTheme="minorEastAsia"/>
                      <w:color w:val="auto"/>
                      <w:szCs w:val="21"/>
                    </w:rPr>
                    <w:t>物料衡算法</w:t>
                  </w:r>
                </w:p>
              </w:tc>
              <w:tc>
                <w:tcPr>
                  <w:tcW w:w="470" w:type="pct"/>
                  <w:vAlign w:val="center"/>
                </w:tcPr>
                <w:p w14:paraId="2B74A03D">
                  <w:pPr>
                    <w:jc w:val="center"/>
                    <w:rPr>
                      <w:rFonts w:hint="eastAsia" w:eastAsiaTheme="minorEastAsia"/>
                      <w:color w:val="auto"/>
                      <w:szCs w:val="21"/>
                    </w:rPr>
                  </w:pPr>
                  <w:r>
                    <w:rPr>
                      <w:rFonts w:hint="eastAsia" w:eastAsiaTheme="minorEastAsia"/>
                      <w:color w:val="auto"/>
                      <w:szCs w:val="21"/>
                      <w:lang w:val="en-US" w:eastAsia="zh-CN"/>
                    </w:rPr>
                    <w:t>9.6</w:t>
                  </w:r>
                </w:p>
              </w:tc>
              <w:tc>
                <w:tcPr>
                  <w:tcW w:w="329" w:type="pct"/>
                  <w:vMerge w:val="continue"/>
                  <w:vAlign w:val="center"/>
                </w:tcPr>
                <w:p w14:paraId="6797A206">
                  <w:pPr>
                    <w:adjustRightInd w:val="0"/>
                    <w:snapToGrid w:val="0"/>
                    <w:jc w:val="center"/>
                    <w:rPr>
                      <w:rFonts w:eastAsiaTheme="minorEastAsia"/>
                      <w:color w:val="auto"/>
                      <w:szCs w:val="21"/>
                    </w:rPr>
                  </w:pPr>
                </w:p>
              </w:tc>
              <w:tc>
                <w:tcPr>
                  <w:tcW w:w="441" w:type="pct"/>
                  <w:vAlign w:val="center"/>
                </w:tcPr>
                <w:p w14:paraId="38D124EF">
                  <w:pPr>
                    <w:jc w:val="center"/>
                    <w:rPr>
                      <w:rFonts w:hint="eastAsia" w:eastAsiaTheme="minorEastAsia"/>
                      <w:color w:val="auto"/>
                      <w:szCs w:val="21"/>
                    </w:rPr>
                  </w:pPr>
                  <w:r>
                    <w:rPr>
                      <w:rFonts w:hint="eastAsia" w:eastAsiaTheme="minorEastAsia"/>
                      <w:color w:val="auto"/>
                      <w:szCs w:val="21"/>
                      <w:lang w:val="en-US" w:eastAsia="zh-CN"/>
                    </w:rPr>
                    <w:t>9.6</w:t>
                  </w:r>
                </w:p>
              </w:tc>
              <w:tc>
                <w:tcPr>
                  <w:tcW w:w="330" w:type="pct"/>
                  <w:vMerge w:val="continue"/>
                  <w:vAlign w:val="center"/>
                </w:tcPr>
                <w:p w14:paraId="328F6238">
                  <w:pPr>
                    <w:adjustRightInd w:val="0"/>
                    <w:snapToGrid w:val="0"/>
                    <w:jc w:val="center"/>
                    <w:rPr>
                      <w:rFonts w:eastAsiaTheme="minorEastAsia"/>
                      <w:color w:val="auto"/>
                      <w:szCs w:val="21"/>
                    </w:rPr>
                  </w:pPr>
                </w:p>
              </w:tc>
            </w:tr>
            <w:tr w14:paraId="72EE1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448A69A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热压</w:t>
                  </w:r>
                </w:p>
              </w:tc>
              <w:tc>
                <w:tcPr>
                  <w:tcW w:w="677" w:type="pct"/>
                  <w:vAlign w:val="center"/>
                </w:tcPr>
                <w:p w14:paraId="03B936D2">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w:t>
                  </w:r>
                </w:p>
              </w:tc>
              <w:tc>
                <w:tcPr>
                  <w:tcW w:w="553" w:type="pct"/>
                  <w:vAlign w:val="center"/>
                </w:tcPr>
                <w:p w14:paraId="0DB5DE9A">
                  <w:pPr>
                    <w:adjustRightInd w:val="0"/>
                    <w:snapToGrid w:val="0"/>
                    <w:jc w:val="center"/>
                    <w:rPr>
                      <w:rFonts w:hint="eastAsia"/>
                      <w:color w:val="auto"/>
                      <w:szCs w:val="21"/>
                      <w:lang w:eastAsia="zh-CN"/>
                    </w:rPr>
                  </w:pPr>
                  <w:r>
                    <w:rPr>
                      <w:rFonts w:hint="eastAsia"/>
                      <w:color w:val="auto"/>
                      <w:szCs w:val="21"/>
                      <w:lang w:eastAsia="zh-CN"/>
                    </w:rPr>
                    <w:t>水喷淋废液</w:t>
                  </w:r>
                </w:p>
              </w:tc>
              <w:tc>
                <w:tcPr>
                  <w:tcW w:w="415" w:type="pct"/>
                  <w:vMerge w:val="continue"/>
                  <w:vAlign w:val="center"/>
                </w:tcPr>
                <w:p w14:paraId="13B7913A">
                  <w:pPr>
                    <w:adjustRightInd w:val="0"/>
                    <w:snapToGrid w:val="0"/>
                    <w:jc w:val="center"/>
                    <w:rPr>
                      <w:rFonts w:eastAsiaTheme="minorEastAsia"/>
                      <w:bCs/>
                      <w:color w:val="auto"/>
                      <w:kern w:val="0"/>
                      <w:szCs w:val="21"/>
                      <w:lang w:bidi="en-US"/>
                    </w:rPr>
                  </w:pPr>
                </w:p>
              </w:tc>
              <w:tc>
                <w:tcPr>
                  <w:tcW w:w="687" w:type="pct"/>
                  <w:vAlign w:val="center"/>
                </w:tcPr>
                <w:p w14:paraId="513E06F9">
                  <w:pPr>
                    <w:adjustRightInd w:val="0"/>
                    <w:snapToGrid w:val="0"/>
                    <w:jc w:val="center"/>
                    <w:rPr>
                      <w:rFonts w:hint="default"/>
                      <w:color w:val="auto"/>
                      <w:szCs w:val="21"/>
                      <w:lang w:val="en-US" w:eastAsia="zh-CN"/>
                    </w:rPr>
                  </w:pPr>
                  <w:r>
                    <w:rPr>
                      <w:rFonts w:hint="eastAsia"/>
                      <w:color w:val="auto"/>
                      <w:szCs w:val="21"/>
                      <w:lang w:val="en-US" w:eastAsia="zh-CN"/>
                    </w:rPr>
                    <w:t>HW49</w:t>
                  </w:r>
                </w:p>
                <w:p w14:paraId="336F9C86">
                  <w:pPr>
                    <w:adjustRightInd w:val="0"/>
                    <w:snapToGrid w:val="0"/>
                    <w:jc w:val="center"/>
                    <w:rPr>
                      <w:rFonts w:hint="eastAsia"/>
                      <w:color w:val="auto"/>
                      <w:szCs w:val="21"/>
                      <w:lang w:val="en-US" w:eastAsia="zh-CN"/>
                    </w:rPr>
                  </w:pPr>
                  <w:r>
                    <w:rPr>
                      <w:rFonts w:hint="eastAsia"/>
                      <w:color w:val="auto"/>
                      <w:szCs w:val="21"/>
                      <w:lang w:val="en-US" w:eastAsia="zh-CN"/>
                    </w:rPr>
                    <w:t>772-006-49</w:t>
                  </w:r>
                </w:p>
              </w:tc>
              <w:tc>
                <w:tcPr>
                  <w:tcW w:w="553" w:type="pct"/>
                  <w:vAlign w:val="center"/>
                </w:tcPr>
                <w:p w14:paraId="702F2F30">
                  <w:pPr>
                    <w:adjustRightInd w:val="0"/>
                    <w:snapToGrid w:val="0"/>
                    <w:jc w:val="center"/>
                    <w:rPr>
                      <w:rFonts w:eastAsiaTheme="minorEastAsia"/>
                      <w:color w:val="auto"/>
                      <w:szCs w:val="21"/>
                    </w:rPr>
                  </w:pPr>
                  <w:r>
                    <w:rPr>
                      <w:rFonts w:eastAsiaTheme="minorEastAsia"/>
                      <w:color w:val="auto"/>
                      <w:szCs w:val="21"/>
                    </w:rPr>
                    <w:t>物料衡算法</w:t>
                  </w:r>
                </w:p>
              </w:tc>
              <w:tc>
                <w:tcPr>
                  <w:tcW w:w="470" w:type="pct"/>
                  <w:vAlign w:val="center"/>
                </w:tcPr>
                <w:p w14:paraId="46B5D5AA">
                  <w:pPr>
                    <w:jc w:val="center"/>
                    <w:rPr>
                      <w:rFonts w:hint="default" w:eastAsiaTheme="minorEastAsia"/>
                      <w:color w:val="auto"/>
                      <w:szCs w:val="21"/>
                      <w:lang w:val="en-US" w:eastAsia="zh-CN"/>
                    </w:rPr>
                  </w:pPr>
                  <w:r>
                    <w:rPr>
                      <w:rFonts w:hint="eastAsia" w:eastAsiaTheme="minorEastAsia"/>
                      <w:color w:val="auto"/>
                      <w:szCs w:val="21"/>
                      <w:lang w:val="en-US" w:eastAsia="zh-CN"/>
                    </w:rPr>
                    <w:t>10</w:t>
                  </w:r>
                </w:p>
              </w:tc>
              <w:tc>
                <w:tcPr>
                  <w:tcW w:w="329" w:type="pct"/>
                  <w:vMerge w:val="continue"/>
                  <w:vAlign w:val="center"/>
                </w:tcPr>
                <w:p w14:paraId="162BDF86">
                  <w:pPr>
                    <w:adjustRightInd w:val="0"/>
                    <w:snapToGrid w:val="0"/>
                    <w:jc w:val="center"/>
                    <w:rPr>
                      <w:rFonts w:eastAsiaTheme="minorEastAsia"/>
                      <w:color w:val="auto"/>
                      <w:szCs w:val="21"/>
                    </w:rPr>
                  </w:pPr>
                </w:p>
              </w:tc>
              <w:tc>
                <w:tcPr>
                  <w:tcW w:w="441" w:type="pct"/>
                  <w:vAlign w:val="center"/>
                </w:tcPr>
                <w:p w14:paraId="2DE23D06">
                  <w:pPr>
                    <w:jc w:val="center"/>
                    <w:rPr>
                      <w:rFonts w:hint="default" w:eastAsiaTheme="minorEastAsia"/>
                      <w:color w:val="auto"/>
                      <w:szCs w:val="21"/>
                      <w:lang w:val="en-US" w:eastAsia="zh-CN"/>
                    </w:rPr>
                  </w:pPr>
                  <w:r>
                    <w:rPr>
                      <w:rFonts w:hint="eastAsia" w:eastAsiaTheme="minorEastAsia"/>
                      <w:color w:val="auto"/>
                      <w:szCs w:val="21"/>
                      <w:lang w:val="en-US" w:eastAsia="zh-CN"/>
                    </w:rPr>
                    <w:t>10</w:t>
                  </w:r>
                </w:p>
              </w:tc>
              <w:tc>
                <w:tcPr>
                  <w:tcW w:w="330" w:type="pct"/>
                  <w:vMerge w:val="continue"/>
                  <w:vAlign w:val="center"/>
                </w:tcPr>
                <w:p w14:paraId="0AD400B3">
                  <w:pPr>
                    <w:adjustRightInd w:val="0"/>
                    <w:snapToGrid w:val="0"/>
                    <w:jc w:val="center"/>
                    <w:rPr>
                      <w:rFonts w:eastAsiaTheme="minorEastAsia"/>
                      <w:color w:val="auto"/>
                      <w:szCs w:val="21"/>
                    </w:rPr>
                  </w:pPr>
                </w:p>
              </w:tc>
            </w:tr>
            <w:tr w14:paraId="5DF81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32A3DE6E">
                  <w:pPr>
                    <w:jc w:val="center"/>
                    <w:rPr>
                      <w:rFonts w:eastAsiaTheme="minorEastAsia"/>
                      <w:color w:val="auto"/>
                      <w:szCs w:val="21"/>
                    </w:rPr>
                  </w:pPr>
                  <w:r>
                    <w:rPr>
                      <w:rFonts w:hint="eastAsia" w:eastAsiaTheme="minorEastAsia"/>
                      <w:color w:val="auto"/>
                      <w:szCs w:val="21"/>
                    </w:rPr>
                    <w:t>裁边</w:t>
                  </w:r>
                </w:p>
              </w:tc>
              <w:tc>
                <w:tcPr>
                  <w:tcW w:w="677" w:type="pct"/>
                  <w:vAlign w:val="center"/>
                </w:tcPr>
                <w:p w14:paraId="0135740D">
                  <w:pPr>
                    <w:adjustRightInd w:val="0"/>
                    <w:snapToGrid w:val="0"/>
                    <w:jc w:val="center"/>
                    <w:rPr>
                      <w:rFonts w:eastAsiaTheme="minorEastAsia"/>
                      <w:color w:val="auto"/>
                      <w:szCs w:val="21"/>
                    </w:rPr>
                  </w:pPr>
                  <w:r>
                    <w:rPr>
                      <w:rFonts w:hint="eastAsia" w:eastAsiaTheme="minorEastAsia"/>
                      <w:color w:val="auto"/>
                      <w:szCs w:val="21"/>
                    </w:rPr>
                    <w:t>裁边机</w:t>
                  </w:r>
                </w:p>
              </w:tc>
              <w:tc>
                <w:tcPr>
                  <w:tcW w:w="553" w:type="pct"/>
                  <w:vAlign w:val="center"/>
                </w:tcPr>
                <w:p w14:paraId="4DA7098B">
                  <w:pPr>
                    <w:jc w:val="center"/>
                    <w:rPr>
                      <w:rFonts w:eastAsiaTheme="minorEastAsia"/>
                      <w:color w:val="auto"/>
                      <w:szCs w:val="21"/>
                    </w:rPr>
                  </w:pPr>
                  <w:r>
                    <w:rPr>
                      <w:rFonts w:hint="eastAsia" w:eastAsiaTheme="minorEastAsia"/>
                      <w:color w:val="auto"/>
                      <w:szCs w:val="21"/>
                    </w:rPr>
                    <w:t>边角料</w:t>
                  </w:r>
                </w:p>
              </w:tc>
              <w:tc>
                <w:tcPr>
                  <w:tcW w:w="415" w:type="pct"/>
                  <w:vMerge w:val="restart"/>
                  <w:vAlign w:val="center"/>
                </w:tcPr>
                <w:p w14:paraId="4B0CAE6B">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一般工业固废</w:t>
                  </w:r>
                </w:p>
                <w:p w14:paraId="1B78A824">
                  <w:pPr>
                    <w:adjustRightInd w:val="0"/>
                    <w:snapToGrid w:val="0"/>
                    <w:jc w:val="center"/>
                    <w:rPr>
                      <w:rFonts w:eastAsiaTheme="minorEastAsia"/>
                      <w:bCs/>
                      <w:color w:val="auto"/>
                      <w:kern w:val="0"/>
                      <w:szCs w:val="21"/>
                      <w:lang w:bidi="en-US"/>
                    </w:rPr>
                  </w:pPr>
                </w:p>
              </w:tc>
              <w:tc>
                <w:tcPr>
                  <w:tcW w:w="687" w:type="pct"/>
                  <w:vAlign w:val="center"/>
                </w:tcPr>
                <w:p w14:paraId="272C65B1">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S17</w:t>
                  </w:r>
                </w:p>
                <w:p w14:paraId="2849DC57">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900-009-S17</w:t>
                  </w:r>
                </w:p>
              </w:tc>
              <w:tc>
                <w:tcPr>
                  <w:tcW w:w="553" w:type="pct"/>
                  <w:vAlign w:val="center"/>
                </w:tcPr>
                <w:p w14:paraId="4CE91931">
                  <w:pPr>
                    <w:adjustRightInd w:val="0"/>
                    <w:snapToGrid w:val="0"/>
                    <w:jc w:val="center"/>
                    <w:rPr>
                      <w:rFonts w:eastAsiaTheme="minorEastAsia"/>
                      <w:color w:val="auto"/>
                      <w:szCs w:val="21"/>
                    </w:rPr>
                  </w:pPr>
                  <w:r>
                    <w:rPr>
                      <w:rFonts w:eastAsiaTheme="minorEastAsia"/>
                      <w:color w:val="auto"/>
                      <w:szCs w:val="21"/>
                    </w:rPr>
                    <w:t>物料衡算法</w:t>
                  </w:r>
                </w:p>
              </w:tc>
              <w:tc>
                <w:tcPr>
                  <w:tcW w:w="470" w:type="pct"/>
                  <w:vAlign w:val="center"/>
                </w:tcPr>
                <w:p w14:paraId="1C466687">
                  <w:pPr>
                    <w:jc w:val="center"/>
                    <w:rPr>
                      <w:rFonts w:eastAsiaTheme="minorEastAsia"/>
                      <w:color w:val="auto"/>
                      <w:szCs w:val="21"/>
                    </w:rPr>
                  </w:pPr>
                  <w:r>
                    <w:rPr>
                      <w:rFonts w:hint="eastAsia" w:eastAsiaTheme="minorEastAsia"/>
                      <w:color w:val="auto"/>
                      <w:szCs w:val="21"/>
                    </w:rPr>
                    <w:t>1000</w:t>
                  </w:r>
                </w:p>
              </w:tc>
              <w:tc>
                <w:tcPr>
                  <w:tcW w:w="329" w:type="pct"/>
                  <w:vMerge w:val="restart"/>
                  <w:vAlign w:val="center"/>
                </w:tcPr>
                <w:p w14:paraId="00BAC08E">
                  <w:pPr>
                    <w:adjustRightInd w:val="0"/>
                    <w:snapToGrid w:val="0"/>
                    <w:jc w:val="center"/>
                    <w:rPr>
                      <w:color w:val="auto"/>
                      <w:szCs w:val="21"/>
                    </w:rPr>
                  </w:pPr>
                  <w:r>
                    <w:rPr>
                      <w:rFonts w:eastAsiaTheme="minorEastAsia"/>
                      <w:color w:val="auto"/>
                      <w:szCs w:val="21"/>
                    </w:rPr>
                    <w:t>有资质单位安全处置</w:t>
                  </w:r>
                </w:p>
              </w:tc>
              <w:tc>
                <w:tcPr>
                  <w:tcW w:w="441" w:type="pct"/>
                  <w:vAlign w:val="center"/>
                </w:tcPr>
                <w:p w14:paraId="5C38CE35">
                  <w:pPr>
                    <w:jc w:val="center"/>
                    <w:rPr>
                      <w:rFonts w:eastAsiaTheme="minorEastAsia"/>
                      <w:color w:val="auto"/>
                      <w:szCs w:val="21"/>
                    </w:rPr>
                  </w:pPr>
                  <w:r>
                    <w:rPr>
                      <w:rFonts w:hint="eastAsia" w:eastAsiaTheme="minorEastAsia"/>
                      <w:color w:val="auto"/>
                      <w:szCs w:val="21"/>
                    </w:rPr>
                    <w:t>1000</w:t>
                  </w:r>
                </w:p>
              </w:tc>
              <w:tc>
                <w:tcPr>
                  <w:tcW w:w="330" w:type="pct"/>
                  <w:vMerge w:val="restart"/>
                  <w:vAlign w:val="center"/>
                </w:tcPr>
                <w:p w14:paraId="1631E8EC">
                  <w:pPr>
                    <w:adjustRightInd w:val="0"/>
                    <w:snapToGrid w:val="0"/>
                    <w:jc w:val="center"/>
                    <w:rPr>
                      <w:rFonts w:eastAsiaTheme="minorEastAsia"/>
                      <w:color w:val="auto"/>
                      <w:szCs w:val="21"/>
                    </w:rPr>
                  </w:pPr>
                  <w:r>
                    <w:rPr>
                      <w:rFonts w:hint="eastAsia" w:eastAsiaTheme="minorEastAsia"/>
                      <w:color w:val="auto"/>
                      <w:szCs w:val="21"/>
                    </w:rPr>
                    <w:t>相关单位</w:t>
                  </w:r>
                </w:p>
              </w:tc>
            </w:tr>
            <w:tr w14:paraId="0DC7C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4CA14BF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检验</w:t>
                  </w:r>
                </w:p>
              </w:tc>
              <w:tc>
                <w:tcPr>
                  <w:tcW w:w="677" w:type="pct"/>
                  <w:vAlign w:val="center"/>
                </w:tcPr>
                <w:p w14:paraId="1E474E4E">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w:t>
                  </w:r>
                </w:p>
              </w:tc>
              <w:tc>
                <w:tcPr>
                  <w:tcW w:w="553" w:type="pct"/>
                  <w:vAlign w:val="center"/>
                </w:tcPr>
                <w:p w14:paraId="7C2B3A3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不合格胶合板</w:t>
                  </w:r>
                </w:p>
              </w:tc>
              <w:tc>
                <w:tcPr>
                  <w:tcW w:w="415" w:type="pct"/>
                  <w:vMerge w:val="continue"/>
                  <w:vAlign w:val="center"/>
                </w:tcPr>
                <w:p w14:paraId="02563B95">
                  <w:pPr>
                    <w:adjustRightInd w:val="0"/>
                    <w:snapToGrid w:val="0"/>
                    <w:jc w:val="center"/>
                    <w:rPr>
                      <w:rFonts w:eastAsiaTheme="minorEastAsia"/>
                      <w:bCs/>
                      <w:color w:val="auto"/>
                      <w:kern w:val="0"/>
                      <w:szCs w:val="21"/>
                      <w:lang w:bidi="en-US"/>
                    </w:rPr>
                  </w:pPr>
                </w:p>
              </w:tc>
              <w:tc>
                <w:tcPr>
                  <w:tcW w:w="687" w:type="pct"/>
                  <w:vAlign w:val="center"/>
                </w:tcPr>
                <w:p w14:paraId="70F92F73">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S17</w:t>
                  </w:r>
                </w:p>
                <w:p w14:paraId="239A8E4A">
                  <w:pPr>
                    <w:adjustRightInd w:val="0"/>
                    <w:snapToGrid w:val="0"/>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900-009-S17</w:t>
                  </w:r>
                </w:p>
              </w:tc>
              <w:tc>
                <w:tcPr>
                  <w:tcW w:w="553" w:type="pct"/>
                  <w:vAlign w:val="center"/>
                </w:tcPr>
                <w:p w14:paraId="78666D1D">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38524E9C">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5.5</w:t>
                  </w:r>
                </w:p>
              </w:tc>
              <w:tc>
                <w:tcPr>
                  <w:tcW w:w="329" w:type="pct"/>
                  <w:vMerge w:val="continue"/>
                  <w:vAlign w:val="center"/>
                </w:tcPr>
                <w:p w14:paraId="78775CB5">
                  <w:pPr>
                    <w:adjustRightInd w:val="0"/>
                    <w:snapToGrid w:val="0"/>
                    <w:jc w:val="center"/>
                    <w:rPr>
                      <w:rFonts w:eastAsiaTheme="minorEastAsia"/>
                      <w:color w:val="auto"/>
                      <w:szCs w:val="21"/>
                    </w:rPr>
                  </w:pPr>
                </w:p>
              </w:tc>
              <w:tc>
                <w:tcPr>
                  <w:tcW w:w="441" w:type="pct"/>
                  <w:vAlign w:val="center"/>
                </w:tcPr>
                <w:p w14:paraId="4C55558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5.5</w:t>
                  </w:r>
                </w:p>
              </w:tc>
              <w:tc>
                <w:tcPr>
                  <w:tcW w:w="330" w:type="pct"/>
                  <w:vMerge w:val="continue"/>
                  <w:vAlign w:val="center"/>
                </w:tcPr>
                <w:p w14:paraId="51E3AA67">
                  <w:pPr>
                    <w:adjustRightInd w:val="0"/>
                    <w:snapToGrid w:val="0"/>
                    <w:jc w:val="center"/>
                    <w:rPr>
                      <w:rFonts w:eastAsiaTheme="minorEastAsia"/>
                      <w:color w:val="auto"/>
                      <w:szCs w:val="21"/>
                    </w:rPr>
                  </w:pPr>
                </w:p>
              </w:tc>
            </w:tr>
            <w:tr w14:paraId="1DA9E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269E8A3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废气治理</w:t>
                  </w:r>
                </w:p>
              </w:tc>
              <w:tc>
                <w:tcPr>
                  <w:tcW w:w="677" w:type="pct"/>
                  <w:vAlign w:val="center"/>
                </w:tcPr>
                <w:p w14:paraId="2B832C3A">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布袋除尘器</w:t>
                  </w:r>
                </w:p>
              </w:tc>
              <w:tc>
                <w:tcPr>
                  <w:tcW w:w="553" w:type="pct"/>
                  <w:vAlign w:val="center"/>
                </w:tcPr>
                <w:p w14:paraId="1664E60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收集灰</w:t>
                  </w:r>
                </w:p>
              </w:tc>
              <w:tc>
                <w:tcPr>
                  <w:tcW w:w="415" w:type="pct"/>
                  <w:vMerge w:val="continue"/>
                  <w:vAlign w:val="center"/>
                </w:tcPr>
                <w:p w14:paraId="61F60C51">
                  <w:pPr>
                    <w:adjustRightInd w:val="0"/>
                    <w:snapToGrid w:val="0"/>
                    <w:jc w:val="center"/>
                    <w:rPr>
                      <w:rFonts w:eastAsiaTheme="minorEastAsia"/>
                      <w:bCs/>
                      <w:color w:val="auto"/>
                      <w:kern w:val="0"/>
                      <w:szCs w:val="21"/>
                      <w:lang w:bidi="en-US"/>
                    </w:rPr>
                  </w:pPr>
                </w:p>
              </w:tc>
              <w:tc>
                <w:tcPr>
                  <w:tcW w:w="687" w:type="pct"/>
                  <w:vAlign w:val="center"/>
                </w:tcPr>
                <w:p w14:paraId="148D2AF8">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S59</w:t>
                  </w:r>
                </w:p>
                <w:p w14:paraId="54D95DBD">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900-099-S59</w:t>
                  </w:r>
                </w:p>
              </w:tc>
              <w:tc>
                <w:tcPr>
                  <w:tcW w:w="553" w:type="pct"/>
                  <w:vAlign w:val="center"/>
                </w:tcPr>
                <w:p w14:paraId="10E59CD8">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40EFA86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36.2052</w:t>
                  </w:r>
                </w:p>
              </w:tc>
              <w:tc>
                <w:tcPr>
                  <w:tcW w:w="329" w:type="pct"/>
                  <w:vMerge w:val="continue"/>
                  <w:vAlign w:val="center"/>
                </w:tcPr>
                <w:p w14:paraId="2AB24452">
                  <w:pPr>
                    <w:adjustRightInd w:val="0"/>
                    <w:snapToGrid w:val="0"/>
                    <w:jc w:val="center"/>
                    <w:rPr>
                      <w:rFonts w:eastAsiaTheme="minorEastAsia"/>
                      <w:color w:val="auto"/>
                      <w:szCs w:val="21"/>
                    </w:rPr>
                  </w:pPr>
                </w:p>
              </w:tc>
              <w:tc>
                <w:tcPr>
                  <w:tcW w:w="441" w:type="pct"/>
                  <w:vAlign w:val="center"/>
                </w:tcPr>
                <w:p w14:paraId="2B4506A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36.2052</w:t>
                  </w:r>
                </w:p>
              </w:tc>
              <w:tc>
                <w:tcPr>
                  <w:tcW w:w="330" w:type="pct"/>
                  <w:vMerge w:val="continue"/>
                  <w:vAlign w:val="center"/>
                </w:tcPr>
                <w:p w14:paraId="598F8091">
                  <w:pPr>
                    <w:adjustRightInd w:val="0"/>
                    <w:snapToGrid w:val="0"/>
                    <w:jc w:val="center"/>
                    <w:rPr>
                      <w:rFonts w:eastAsiaTheme="minorEastAsia"/>
                      <w:color w:val="auto"/>
                      <w:szCs w:val="21"/>
                    </w:rPr>
                  </w:pPr>
                </w:p>
              </w:tc>
            </w:tr>
            <w:tr w14:paraId="4CA20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686A259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旋切、砂光、锯切</w:t>
                  </w:r>
                </w:p>
              </w:tc>
              <w:tc>
                <w:tcPr>
                  <w:tcW w:w="677" w:type="pct"/>
                  <w:vAlign w:val="center"/>
                </w:tcPr>
                <w:p w14:paraId="39DFF686">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旋切机、四边锯、砂光机</w:t>
                  </w:r>
                </w:p>
              </w:tc>
              <w:tc>
                <w:tcPr>
                  <w:tcW w:w="553" w:type="pct"/>
                  <w:vAlign w:val="center"/>
                </w:tcPr>
                <w:p w14:paraId="3C9E2A1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废布袋</w:t>
                  </w:r>
                </w:p>
              </w:tc>
              <w:tc>
                <w:tcPr>
                  <w:tcW w:w="415" w:type="pct"/>
                  <w:vMerge w:val="continue"/>
                  <w:vAlign w:val="center"/>
                </w:tcPr>
                <w:p w14:paraId="2FB7BED9">
                  <w:pPr>
                    <w:adjustRightInd w:val="0"/>
                    <w:snapToGrid w:val="0"/>
                    <w:jc w:val="center"/>
                    <w:rPr>
                      <w:rFonts w:eastAsiaTheme="minorEastAsia"/>
                      <w:bCs/>
                      <w:color w:val="auto"/>
                      <w:kern w:val="0"/>
                      <w:szCs w:val="21"/>
                      <w:lang w:bidi="en-US"/>
                    </w:rPr>
                  </w:pPr>
                </w:p>
              </w:tc>
              <w:tc>
                <w:tcPr>
                  <w:tcW w:w="687" w:type="pct"/>
                  <w:vAlign w:val="center"/>
                </w:tcPr>
                <w:p w14:paraId="162A2F38">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S59</w:t>
                  </w:r>
                </w:p>
                <w:p w14:paraId="0F7AB77B">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900-099-S59</w:t>
                  </w:r>
                </w:p>
              </w:tc>
              <w:tc>
                <w:tcPr>
                  <w:tcW w:w="553" w:type="pct"/>
                  <w:vAlign w:val="center"/>
                </w:tcPr>
                <w:p w14:paraId="77EE2488">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0325C6C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329" w:type="pct"/>
                  <w:vMerge w:val="continue"/>
                  <w:vAlign w:val="center"/>
                </w:tcPr>
                <w:p w14:paraId="7F86BC9F">
                  <w:pPr>
                    <w:adjustRightInd w:val="0"/>
                    <w:snapToGrid w:val="0"/>
                    <w:jc w:val="center"/>
                    <w:rPr>
                      <w:rFonts w:eastAsiaTheme="minorEastAsia"/>
                      <w:color w:val="auto"/>
                      <w:szCs w:val="21"/>
                    </w:rPr>
                  </w:pPr>
                </w:p>
              </w:tc>
              <w:tc>
                <w:tcPr>
                  <w:tcW w:w="441" w:type="pct"/>
                  <w:vAlign w:val="center"/>
                </w:tcPr>
                <w:p w14:paraId="65CF6490">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330" w:type="pct"/>
                  <w:vMerge w:val="continue"/>
                  <w:vAlign w:val="center"/>
                </w:tcPr>
                <w:p w14:paraId="4EE6872C">
                  <w:pPr>
                    <w:adjustRightInd w:val="0"/>
                    <w:snapToGrid w:val="0"/>
                    <w:jc w:val="center"/>
                    <w:rPr>
                      <w:rFonts w:eastAsiaTheme="minorEastAsia"/>
                      <w:color w:val="auto"/>
                      <w:szCs w:val="21"/>
                    </w:rPr>
                  </w:pPr>
                </w:p>
              </w:tc>
            </w:tr>
            <w:tr w14:paraId="6A217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4FF5EF4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投料</w:t>
                  </w:r>
                </w:p>
              </w:tc>
              <w:tc>
                <w:tcPr>
                  <w:tcW w:w="677" w:type="pct"/>
                  <w:vAlign w:val="center"/>
                </w:tcPr>
                <w:p w14:paraId="0A735D15">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w:t>
                  </w:r>
                </w:p>
              </w:tc>
              <w:tc>
                <w:tcPr>
                  <w:tcW w:w="553" w:type="pct"/>
                  <w:vAlign w:val="center"/>
                </w:tcPr>
                <w:p w14:paraId="19794AF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废包装袋</w:t>
                  </w:r>
                </w:p>
              </w:tc>
              <w:tc>
                <w:tcPr>
                  <w:tcW w:w="415" w:type="pct"/>
                  <w:vMerge w:val="continue"/>
                  <w:vAlign w:val="center"/>
                </w:tcPr>
                <w:p w14:paraId="74D8A923">
                  <w:pPr>
                    <w:adjustRightInd w:val="0"/>
                    <w:snapToGrid w:val="0"/>
                    <w:jc w:val="center"/>
                    <w:rPr>
                      <w:rFonts w:eastAsiaTheme="minorEastAsia"/>
                      <w:bCs/>
                      <w:color w:val="auto"/>
                      <w:kern w:val="0"/>
                      <w:szCs w:val="21"/>
                      <w:lang w:bidi="en-US"/>
                    </w:rPr>
                  </w:pPr>
                </w:p>
              </w:tc>
              <w:tc>
                <w:tcPr>
                  <w:tcW w:w="687" w:type="pct"/>
                  <w:vAlign w:val="center"/>
                </w:tcPr>
                <w:p w14:paraId="1B84B626">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S59</w:t>
                  </w:r>
                </w:p>
                <w:p w14:paraId="60A24F48">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900-099-S59</w:t>
                  </w:r>
                </w:p>
              </w:tc>
              <w:tc>
                <w:tcPr>
                  <w:tcW w:w="553" w:type="pct"/>
                  <w:vAlign w:val="center"/>
                </w:tcPr>
                <w:p w14:paraId="1193AA45">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24F8D92F">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4.8</w:t>
                  </w:r>
                </w:p>
              </w:tc>
              <w:tc>
                <w:tcPr>
                  <w:tcW w:w="329" w:type="pct"/>
                  <w:vMerge w:val="continue"/>
                  <w:vAlign w:val="center"/>
                </w:tcPr>
                <w:p w14:paraId="3C86C1D5">
                  <w:pPr>
                    <w:adjustRightInd w:val="0"/>
                    <w:snapToGrid w:val="0"/>
                    <w:jc w:val="center"/>
                    <w:rPr>
                      <w:rFonts w:eastAsiaTheme="minorEastAsia"/>
                      <w:color w:val="auto"/>
                      <w:szCs w:val="21"/>
                    </w:rPr>
                  </w:pPr>
                </w:p>
              </w:tc>
              <w:tc>
                <w:tcPr>
                  <w:tcW w:w="441" w:type="pct"/>
                  <w:vAlign w:val="center"/>
                </w:tcPr>
                <w:p w14:paraId="2E6AC8F7">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4.8</w:t>
                  </w:r>
                </w:p>
              </w:tc>
              <w:tc>
                <w:tcPr>
                  <w:tcW w:w="330" w:type="pct"/>
                  <w:vMerge w:val="continue"/>
                  <w:vAlign w:val="center"/>
                </w:tcPr>
                <w:p w14:paraId="0D95F03E">
                  <w:pPr>
                    <w:adjustRightInd w:val="0"/>
                    <w:snapToGrid w:val="0"/>
                    <w:jc w:val="center"/>
                    <w:rPr>
                      <w:rFonts w:eastAsiaTheme="minorEastAsia"/>
                      <w:color w:val="auto"/>
                      <w:szCs w:val="21"/>
                    </w:rPr>
                  </w:pPr>
                </w:p>
              </w:tc>
            </w:tr>
            <w:tr w14:paraId="48B32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41" w:type="pct"/>
                  <w:vAlign w:val="center"/>
                </w:tcPr>
                <w:p w14:paraId="17FC10E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砂光</w:t>
                  </w:r>
                </w:p>
              </w:tc>
              <w:tc>
                <w:tcPr>
                  <w:tcW w:w="677" w:type="pct"/>
                  <w:vAlign w:val="center"/>
                </w:tcPr>
                <w:p w14:paraId="04307F46">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w:t>
                  </w:r>
                </w:p>
              </w:tc>
              <w:tc>
                <w:tcPr>
                  <w:tcW w:w="553" w:type="pct"/>
                  <w:vAlign w:val="center"/>
                </w:tcPr>
                <w:p w14:paraId="06A189F7">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废砂轮片</w:t>
                  </w:r>
                </w:p>
              </w:tc>
              <w:tc>
                <w:tcPr>
                  <w:tcW w:w="415" w:type="pct"/>
                  <w:vMerge w:val="continue"/>
                  <w:vAlign w:val="center"/>
                </w:tcPr>
                <w:p w14:paraId="07AEDBB8">
                  <w:pPr>
                    <w:adjustRightInd w:val="0"/>
                    <w:snapToGrid w:val="0"/>
                    <w:jc w:val="center"/>
                    <w:rPr>
                      <w:rFonts w:eastAsiaTheme="minorEastAsia"/>
                      <w:bCs/>
                      <w:color w:val="auto"/>
                      <w:kern w:val="0"/>
                      <w:szCs w:val="21"/>
                      <w:lang w:bidi="en-US"/>
                    </w:rPr>
                  </w:pPr>
                </w:p>
              </w:tc>
              <w:tc>
                <w:tcPr>
                  <w:tcW w:w="687" w:type="pct"/>
                  <w:vAlign w:val="center"/>
                </w:tcPr>
                <w:p w14:paraId="321BC61A">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color w:val="auto"/>
                      <w:szCs w:val="21"/>
                    </w:rPr>
                    <w:t>S17 900-099-S17</w:t>
                  </w:r>
                </w:p>
              </w:tc>
              <w:tc>
                <w:tcPr>
                  <w:tcW w:w="553" w:type="pct"/>
                  <w:vAlign w:val="center"/>
                </w:tcPr>
                <w:p w14:paraId="51110D42">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产污系数法</w:t>
                  </w:r>
                </w:p>
              </w:tc>
              <w:tc>
                <w:tcPr>
                  <w:tcW w:w="470" w:type="pct"/>
                  <w:vAlign w:val="center"/>
                </w:tcPr>
                <w:p w14:paraId="5E5676E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329" w:type="pct"/>
                  <w:vMerge w:val="continue"/>
                  <w:vAlign w:val="center"/>
                </w:tcPr>
                <w:p w14:paraId="6A4B387E">
                  <w:pPr>
                    <w:adjustRightInd w:val="0"/>
                    <w:snapToGrid w:val="0"/>
                    <w:jc w:val="center"/>
                    <w:rPr>
                      <w:rFonts w:eastAsiaTheme="minorEastAsia"/>
                      <w:color w:val="auto"/>
                      <w:szCs w:val="21"/>
                    </w:rPr>
                  </w:pPr>
                </w:p>
              </w:tc>
              <w:tc>
                <w:tcPr>
                  <w:tcW w:w="441" w:type="pct"/>
                  <w:vAlign w:val="center"/>
                </w:tcPr>
                <w:p w14:paraId="288B296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0.01</w:t>
                  </w:r>
                </w:p>
              </w:tc>
              <w:tc>
                <w:tcPr>
                  <w:tcW w:w="330" w:type="pct"/>
                  <w:vMerge w:val="continue"/>
                  <w:vAlign w:val="center"/>
                </w:tcPr>
                <w:p w14:paraId="4EF8F9C6">
                  <w:pPr>
                    <w:adjustRightInd w:val="0"/>
                    <w:snapToGrid w:val="0"/>
                    <w:jc w:val="center"/>
                    <w:rPr>
                      <w:rFonts w:eastAsiaTheme="minorEastAsia"/>
                      <w:color w:val="auto"/>
                      <w:szCs w:val="21"/>
                    </w:rPr>
                  </w:pPr>
                </w:p>
              </w:tc>
            </w:tr>
            <w:tr w14:paraId="04F98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13C5F01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锯边、砂光</w:t>
                  </w:r>
                </w:p>
              </w:tc>
              <w:tc>
                <w:tcPr>
                  <w:tcW w:w="677" w:type="pct"/>
                  <w:vAlign w:val="center"/>
                </w:tcPr>
                <w:p w14:paraId="748BB8CE">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砂光机、四边锯</w:t>
                  </w:r>
                </w:p>
              </w:tc>
              <w:tc>
                <w:tcPr>
                  <w:tcW w:w="553" w:type="pct"/>
                  <w:vAlign w:val="center"/>
                </w:tcPr>
                <w:p w14:paraId="37EBBAA0">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废木屑</w:t>
                  </w:r>
                </w:p>
              </w:tc>
              <w:tc>
                <w:tcPr>
                  <w:tcW w:w="415" w:type="pct"/>
                  <w:vMerge w:val="continue"/>
                  <w:vAlign w:val="center"/>
                </w:tcPr>
                <w:p w14:paraId="51A0EEDD">
                  <w:pPr>
                    <w:adjustRightInd w:val="0"/>
                    <w:snapToGrid w:val="0"/>
                    <w:jc w:val="center"/>
                    <w:rPr>
                      <w:rFonts w:eastAsiaTheme="minorEastAsia"/>
                      <w:bCs/>
                      <w:color w:val="auto"/>
                      <w:kern w:val="0"/>
                      <w:szCs w:val="21"/>
                      <w:lang w:bidi="en-US"/>
                    </w:rPr>
                  </w:pPr>
                </w:p>
              </w:tc>
              <w:tc>
                <w:tcPr>
                  <w:tcW w:w="687" w:type="pct"/>
                  <w:vAlign w:val="center"/>
                </w:tcPr>
                <w:p w14:paraId="2AFEB4B1">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S17</w:t>
                  </w:r>
                </w:p>
                <w:p w14:paraId="13E09A9F">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rFonts w:hint="eastAsia" w:eastAsiaTheme="minorEastAsia"/>
                      <w:bCs/>
                      <w:color w:val="auto"/>
                      <w:kern w:val="0"/>
                      <w:szCs w:val="21"/>
                      <w:lang w:bidi="en-US"/>
                    </w:rPr>
                    <w:t>900-009-S17</w:t>
                  </w:r>
                </w:p>
              </w:tc>
              <w:tc>
                <w:tcPr>
                  <w:tcW w:w="553" w:type="pct"/>
                  <w:vAlign w:val="center"/>
                </w:tcPr>
                <w:p w14:paraId="38FAF45D">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物料衡算法</w:t>
                  </w:r>
                </w:p>
              </w:tc>
              <w:tc>
                <w:tcPr>
                  <w:tcW w:w="470" w:type="pct"/>
                  <w:vAlign w:val="center"/>
                </w:tcPr>
                <w:p w14:paraId="532559A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3.3858</w:t>
                  </w:r>
                </w:p>
              </w:tc>
              <w:tc>
                <w:tcPr>
                  <w:tcW w:w="329" w:type="pct"/>
                  <w:vMerge w:val="continue"/>
                  <w:vAlign w:val="center"/>
                </w:tcPr>
                <w:p w14:paraId="0DCBDE3F">
                  <w:pPr>
                    <w:adjustRightInd w:val="0"/>
                    <w:snapToGrid w:val="0"/>
                    <w:jc w:val="center"/>
                    <w:rPr>
                      <w:rFonts w:eastAsiaTheme="minorEastAsia"/>
                      <w:color w:val="auto"/>
                      <w:szCs w:val="21"/>
                    </w:rPr>
                  </w:pPr>
                </w:p>
              </w:tc>
              <w:tc>
                <w:tcPr>
                  <w:tcW w:w="441" w:type="pct"/>
                  <w:vAlign w:val="center"/>
                </w:tcPr>
                <w:p w14:paraId="2108F97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3.3858</w:t>
                  </w:r>
                </w:p>
              </w:tc>
              <w:tc>
                <w:tcPr>
                  <w:tcW w:w="330" w:type="pct"/>
                  <w:vMerge w:val="continue"/>
                  <w:vAlign w:val="center"/>
                </w:tcPr>
                <w:p w14:paraId="644E4FD9">
                  <w:pPr>
                    <w:adjustRightInd w:val="0"/>
                    <w:snapToGrid w:val="0"/>
                    <w:jc w:val="center"/>
                    <w:rPr>
                      <w:rFonts w:eastAsiaTheme="minorEastAsia"/>
                      <w:color w:val="auto"/>
                      <w:szCs w:val="21"/>
                    </w:rPr>
                  </w:pPr>
                </w:p>
              </w:tc>
            </w:tr>
            <w:tr w14:paraId="583DD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541" w:type="pct"/>
                  <w:vAlign w:val="center"/>
                </w:tcPr>
                <w:p w14:paraId="4345B26B">
                  <w:pPr>
                    <w:jc w:val="center"/>
                    <w:rPr>
                      <w:rFonts w:eastAsiaTheme="minorEastAsia"/>
                      <w:color w:val="auto"/>
                      <w:szCs w:val="21"/>
                    </w:rPr>
                  </w:pPr>
                  <w:r>
                    <w:rPr>
                      <w:rFonts w:hint="eastAsia" w:eastAsiaTheme="minorEastAsia"/>
                      <w:color w:val="auto"/>
                      <w:szCs w:val="21"/>
                    </w:rPr>
                    <w:t>员工生活</w:t>
                  </w:r>
                </w:p>
              </w:tc>
              <w:tc>
                <w:tcPr>
                  <w:tcW w:w="677" w:type="pct"/>
                  <w:vAlign w:val="center"/>
                </w:tcPr>
                <w:p w14:paraId="5F56793D">
                  <w:pPr>
                    <w:adjustRightInd w:val="0"/>
                    <w:snapToGrid w:val="0"/>
                    <w:jc w:val="center"/>
                    <w:rPr>
                      <w:rFonts w:eastAsiaTheme="minorEastAsia"/>
                      <w:color w:val="auto"/>
                      <w:szCs w:val="21"/>
                    </w:rPr>
                  </w:pPr>
                  <w:r>
                    <w:rPr>
                      <w:rFonts w:eastAsiaTheme="minorEastAsia"/>
                      <w:color w:val="auto"/>
                      <w:szCs w:val="21"/>
                    </w:rPr>
                    <w:t>/</w:t>
                  </w:r>
                </w:p>
              </w:tc>
              <w:tc>
                <w:tcPr>
                  <w:tcW w:w="553" w:type="pct"/>
                  <w:vAlign w:val="center"/>
                </w:tcPr>
                <w:p w14:paraId="3FCE9730">
                  <w:pPr>
                    <w:jc w:val="center"/>
                    <w:rPr>
                      <w:rFonts w:eastAsiaTheme="minorEastAsia"/>
                      <w:color w:val="auto"/>
                      <w:szCs w:val="21"/>
                    </w:rPr>
                  </w:pPr>
                  <w:r>
                    <w:rPr>
                      <w:rFonts w:hint="eastAsia" w:eastAsiaTheme="minorEastAsia"/>
                      <w:color w:val="auto"/>
                      <w:szCs w:val="21"/>
                    </w:rPr>
                    <w:t>生活垃圾</w:t>
                  </w:r>
                </w:p>
              </w:tc>
              <w:tc>
                <w:tcPr>
                  <w:tcW w:w="415" w:type="pct"/>
                  <w:vMerge w:val="restart"/>
                  <w:vAlign w:val="center"/>
                </w:tcPr>
                <w:p w14:paraId="776C6F03">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生活垃圾</w:t>
                  </w:r>
                </w:p>
              </w:tc>
              <w:tc>
                <w:tcPr>
                  <w:tcW w:w="687" w:type="pct"/>
                  <w:vAlign w:val="center"/>
                </w:tcPr>
                <w:p w14:paraId="5AA785A3">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S64</w:t>
                  </w:r>
                </w:p>
                <w:p w14:paraId="19A32980">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900-099-S64</w:t>
                  </w:r>
                </w:p>
              </w:tc>
              <w:tc>
                <w:tcPr>
                  <w:tcW w:w="553" w:type="pct"/>
                  <w:vAlign w:val="center"/>
                </w:tcPr>
                <w:p w14:paraId="4AF52378">
                  <w:pPr>
                    <w:adjustRightInd w:val="0"/>
                    <w:snapToGrid w:val="0"/>
                    <w:jc w:val="center"/>
                    <w:rPr>
                      <w:rFonts w:eastAsiaTheme="minorEastAsia"/>
                      <w:color w:val="auto"/>
                      <w:szCs w:val="21"/>
                    </w:rPr>
                  </w:pPr>
                  <w:r>
                    <w:rPr>
                      <w:color w:val="auto"/>
                      <w:szCs w:val="21"/>
                    </w:rPr>
                    <w:t>产污系数法</w:t>
                  </w:r>
                </w:p>
              </w:tc>
              <w:tc>
                <w:tcPr>
                  <w:tcW w:w="470" w:type="pct"/>
                  <w:vAlign w:val="center"/>
                </w:tcPr>
                <w:p w14:paraId="08F601B6">
                  <w:pPr>
                    <w:jc w:val="center"/>
                    <w:rPr>
                      <w:rFonts w:eastAsiaTheme="minorEastAsia"/>
                      <w:color w:val="auto"/>
                      <w:szCs w:val="21"/>
                    </w:rPr>
                  </w:pPr>
                  <w:r>
                    <w:rPr>
                      <w:rFonts w:hint="eastAsia" w:eastAsiaTheme="minorEastAsia"/>
                      <w:color w:val="auto"/>
                      <w:szCs w:val="21"/>
                    </w:rPr>
                    <w:t>4.41</w:t>
                  </w:r>
                </w:p>
              </w:tc>
              <w:tc>
                <w:tcPr>
                  <w:tcW w:w="329" w:type="pct"/>
                  <w:vMerge w:val="restart"/>
                  <w:vAlign w:val="center"/>
                </w:tcPr>
                <w:p w14:paraId="0F46771B">
                  <w:pPr>
                    <w:adjustRightInd w:val="0"/>
                    <w:snapToGrid w:val="0"/>
                    <w:jc w:val="center"/>
                    <w:rPr>
                      <w:rFonts w:eastAsiaTheme="minorEastAsia"/>
                      <w:color w:val="auto"/>
                      <w:szCs w:val="21"/>
                    </w:rPr>
                  </w:pPr>
                  <w:r>
                    <w:rPr>
                      <w:rFonts w:hint="eastAsia" w:eastAsiaTheme="minorEastAsia"/>
                      <w:color w:val="auto"/>
                      <w:szCs w:val="21"/>
                    </w:rPr>
                    <w:t>环卫清运</w:t>
                  </w:r>
                </w:p>
              </w:tc>
              <w:tc>
                <w:tcPr>
                  <w:tcW w:w="441" w:type="pct"/>
                  <w:vAlign w:val="center"/>
                </w:tcPr>
                <w:p w14:paraId="77A870A5">
                  <w:pPr>
                    <w:jc w:val="center"/>
                    <w:rPr>
                      <w:rFonts w:eastAsiaTheme="minorEastAsia"/>
                      <w:color w:val="auto"/>
                      <w:szCs w:val="21"/>
                    </w:rPr>
                  </w:pPr>
                  <w:r>
                    <w:rPr>
                      <w:rFonts w:hint="eastAsia" w:eastAsiaTheme="minorEastAsia"/>
                      <w:color w:val="auto"/>
                      <w:szCs w:val="21"/>
                    </w:rPr>
                    <w:t>4.41</w:t>
                  </w:r>
                </w:p>
              </w:tc>
              <w:tc>
                <w:tcPr>
                  <w:tcW w:w="330" w:type="pct"/>
                  <w:vMerge w:val="restart"/>
                  <w:vAlign w:val="center"/>
                </w:tcPr>
                <w:p w14:paraId="6E9B9B9F">
                  <w:pPr>
                    <w:adjustRightInd w:val="0"/>
                    <w:snapToGrid w:val="0"/>
                    <w:jc w:val="center"/>
                    <w:rPr>
                      <w:rFonts w:eastAsiaTheme="minorEastAsia"/>
                      <w:color w:val="auto"/>
                      <w:szCs w:val="21"/>
                    </w:rPr>
                  </w:pPr>
                  <w:r>
                    <w:rPr>
                      <w:color w:val="auto"/>
                      <w:szCs w:val="21"/>
                    </w:rPr>
                    <w:t>环卫部门</w:t>
                  </w:r>
                </w:p>
              </w:tc>
            </w:tr>
            <w:tr w14:paraId="2B4BA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1" w:type="pct"/>
                  <w:vAlign w:val="center"/>
                </w:tcPr>
                <w:p w14:paraId="0FA204E0">
                  <w:pPr>
                    <w:jc w:val="center"/>
                    <w:rPr>
                      <w:rFonts w:eastAsiaTheme="minorEastAsia"/>
                      <w:color w:val="auto"/>
                      <w:szCs w:val="21"/>
                    </w:rPr>
                  </w:pPr>
                  <w:r>
                    <w:rPr>
                      <w:rFonts w:hint="eastAsia" w:eastAsiaTheme="minorEastAsia"/>
                      <w:color w:val="auto"/>
                      <w:szCs w:val="21"/>
                    </w:rPr>
                    <w:t>员工生活</w:t>
                  </w:r>
                </w:p>
              </w:tc>
              <w:tc>
                <w:tcPr>
                  <w:tcW w:w="677" w:type="pct"/>
                  <w:vAlign w:val="center"/>
                </w:tcPr>
                <w:p w14:paraId="25EAAF00">
                  <w:pPr>
                    <w:adjustRightInd w:val="0"/>
                    <w:snapToGrid w:val="0"/>
                    <w:jc w:val="center"/>
                    <w:rPr>
                      <w:rFonts w:eastAsiaTheme="minorEastAsia"/>
                      <w:color w:val="auto"/>
                      <w:szCs w:val="21"/>
                    </w:rPr>
                  </w:pPr>
                  <w:r>
                    <w:rPr>
                      <w:rFonts w:hint="eastAsia" w:eastAsiaTheme="minorEastAsia"/>
                      <w:color w:val="auto"/>
                      <w:szCs w:val="21"/>
                    </w:rPr>
                    <w:t>化粪池</w:t>
                  </w:r>
                </w:p>
              </w:tc>
              <w:tc>
                <w:tcPr>
                  <w:tcW w:w="553" w:type="pct"/>
                  <w:vAlign w:val="center"/>
                </w:tcPr>
                <w:p w14:paraId="14EE6E11">
                  <w:pPr>
                    <w:jc w:val="center"/>
                    <w:rPr>
                      <w:rFonts w:eastAsiaTheme="minorEastAsia"/>
                      <w:color w:val="auto"/>
                      <w:szCs w:val="21"/>
                    </w:rPr>
                  </w:pPr>
                  <w:r>
                    <w:rPr>
                      <w:rFonts w:hint="eastAsia" w:eastAsiaTheme="minorEastAsia"/>
                      <w:color w:val="auto"/>
                      <w:szCs w:val="21"/>
                    </w:rPr>
                    <w:t>化粪池污泥</w:t>
                  </w:r>
                </w:p>
              </w:tc>
              <w:tc>
                <w:tcPr>
                  <w:tcW w:w="415" w:type="pct"/>
                  <w:vMerge w:val="continue"/>
                  <w:vAlign w:val="center"/>
                </w:tcPr>
                <w:p w14:paraId="1377F6C7">
                  <w:pPr>
                    <w:adjustRightInd w:val="0"/>
                    <w:snapToGrid w:val="0"/>
                    <w:jc w:val="center"/>
                    <w:rPr>
                      <w:rFonts w:eastAsiaTheme="minorEastAsia"/>
                      <w:bCs/>
                      <w:color w:val="auto"/>
                      <w:kern w:val="0"/>
                      <w:szCs w:val="21"/>
                      <w:lang w:bidi="en-US"/>
                    </w:rPr>
                  </w:pPr>
                </w:p>
              </w:tc>
              <w:tc>
                <w:tcPr>
                  <w:tcW w:w="687" w:type="pct"/>
                  <w:vAlign w:val="center"/>
                </w:tcPr>
                <w:p w14:paraId="3D2DA22F">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S64</w:t>
                  </w:r>
                </w:p>
                <w:p w14:paraId="7A0526C0">
                  <w:pPr>
                    <w:adjustRightInd w:val="0"/>
                    <w:snapToGrid w:val="0"/>
                    <w:jc w:val="center"/>
                    <w:rPr>
                      <w:rFonts w:eastAsiaTheme="minorEastAsia"/>
                      <w:bCs/>
                      <w:color w:val="auto"/>
                      <w:kern w:val="0"/>
                      <w:szCs w:val="21"/>
                      <w:lang w:bidi="en-US"/>
                    </w:rPr>
                  </w:pPr>
                  <w:r>
                    <w:rPr>
                      <w:rFonts w:hint="eastAsia" w:eastAsiaTheme="minorEastAsia"/>
                      <w:bCs/>
                      <w:color w:val="auto"/>
                      <w:kern w:val="0"/>
                      <w:szCs w:val="21"/>
                      <w:lang w:bidi="en-US"/>
                    </w:rPr>
                    <w:t>900-099-S64</w:t>
                  </w:r>
                </w:p>
              </w:tc>
              <w:tc>
                <w:tcPr>
                  <w:tcW w:w="553" w:type="pct"/>
                  <w:vAlign w:val="center"/>
                </w:tcPr>
                <w:p w14:paraId="3E4CAC0B">
                  <w:pPr>
                    <w:adjustRightInd w:val="0"/>
                    <w:snapToGrid w:val="0"/>
                    <w:jc w:val="center"/>
                    <w:rPr>
                      <w:rFonts w:eastAsiaTheme="minorEastAsia"/>
                      <w:color w:val="auto"/>
                      <w:szCs w:val="21"/>
                    </w:rPr>
                  </w:pPr>
                  <w:r>
                    <w:rPr>
                      <w:color w:val="auto"/>
                      <w:szCs w:val="21"/>
                    </w:rPr>
                    <w:t>产污系数法</w:t>
                  </w:r>
                </w:p>
              </w:tc>
              <w:tc>
                <w:tcPr>
                  <w:tcW w:w="470" w:type="pct"/>
                  <w:vAlign w:val="center"/>
                </w:tcPr>
                <w:p w14:paraId="18659BB3">
                  <w:pPr>
                    <w:jc w:val="center"/>
                    <w:rPr>
                      <w:rFonts w:eastAsiaTheme="minorEastAsia"/>
                      <w:color w:val="auto"/>
                      <w:szCs w:val="21"/>
                    </w:rPr>
                  </w:pPr>
                  <w:r>
                    <w:rPr>
                      <w:rFonts w:hint="eastAsia" w:eastAsiaTheme="minorEastAsia"/>
                      <w:color w:val="auto"/>
                      <w:szCs w:val="21"/>
                    </w:rPr>
                    <w:t>3.15</w:t>
                  </w:r>
                </w:p>
              </w:tc>
              <w:tc>
                <w:tcPr>
                  <w:tcW w:w="329" w:type="pct"/>
                  <w:vMerge w:val="continue"/>
                  <w:vAlign w:val="center"/>
                </w:tcPr>
                <w:p w14:paraId="5854EADD">
                  <w:pPr>
                    <w:adjustRightInd w:val="0"/>
                    <w:snapToGrid w:val="0"/>
                    <w:jc w:val="center"/>
                    <w:rPr>
                      <w:rFonts w:eastAsiaTheme="minorEastAsia"/>
                      <w:color w:val="auto"/>
                      <w:szCs w:val="21"/>
                    </w:rPr>
                  </w:pPr>
                </w:p>
              </w:tc>
              <w:tc>
                <w:tcPr>
                  <w:tcW w:w="441" w:type="pct"/>
                  <w:vAlign w:val="center"/>
                </w:tcPr>
                <w:p w14:paraId="78954912">
                  <w:pPr>
                    <w:jc w:val="center"/>
                    <w:rPr>
                      <w:rFonts w:eastAsiaTheme="minorEastAsia"/>
                      <w:color w:val="auto"/>
                      <w:szCs w:val="21"/>
                    </w:rPr>
                  </w:pPr>
                  <w:r>
                    <w:rPr>
                      <w:rFonts w:hint="eastAsia" w:eastAsiaTheme="minorEastAsia"/>
                      <w:color w:val="auto"/>
                      <w:szCs w:val="21"/>
                    </w:rPr>
                    <w:t>3.15</w:t>
                  </w:r>
                </w:p>
              </w:tc>
              <w:tc>
                <w:tcPr>
                  <w:tcW w:w="330" w:type="pct"/>
                  <w:vMerge w:val="continue"/>
                  <w:vAlign w:val="center"/>
                </w:tcPr>
                <w:p w14:paraId="16000AC2">
                  <w:pPr>
                    <w:adjustRightInd w:val="0"/>
                    <w:snapToGrid w:val="0"/>
                    <w:jc w:val="center"/>
                    <w:rPr>
                      <w:rFonts w:eastAsiaTheme="minorEastAsia"/>
                      <w:color w:val="auto"/>
                      <w:szCs w:val="21"/>
                    </w:rPr>
                  </w:pPr>
                </w:p>
              </w:tc>
            </w:tr>
          </w:tbl>
          <w:p w14:paraId="3E80C3DC">
            <w:pPr>
              <w:widowControl/>
              <w:tabs>
                <w:tab w:val="left" w:pos="200"/>
              </w:tabs>
              <w:adjustRightInd w:val="0"/>
              <w:snapToGrid w:val="0"/>
              <w:spacing w:before="120" w:beforeLines="50" w:line="360" w:lineRule="auto"/>
              <w:ind w:firstLine="480" w:firstLineChars="200"/>
              <w:rPr>
                <w:rFonts w:eastAsiaTheme="minorEastAsia"/>
                <w:b/>
                <w:color w:val="auto"/>
                <w:sz w:val="24"/>
              </w:rPr>
            </w:pPr>
            <w:r>
              <w:rPr>
                <w:rFonts w:eastAsiaTheme="minorEastAsia"/>
                <w:color w:val="auto"/>
                <w:kern w:val="0"/>
                <w:sz w:val="24"/>
                <w:szCs w:val="20"/>
              </w:rPr>
              <w:t>根据《建设项目危险废物环境影响评价指南》（环境保护部公告</w:t>
            </w:r>
            <w:r>
              <w:rPr>
                <w:rFonts w:hint="eastAsia" w:eastAsiaTheme="minorEastAsia"/>
                <w:color w:val="auto"/>
                <w:kern w:val="0"/>
                <w:sz w:val="24"/>
                <w:szCs w:val="20"/>
                <w:lang w:eastAsia="zh-CN"/>
              </w:rPr>
              <w:t>〔2017〕43号</w:t>
            </w:r>
            <w:r>
              <w:rPr>
                <w:rFonts w:eastAsiaTheme="minorEastAsia"/>
                <w:color w:val="auto"/>
                <w:kern w:val="0"/>
                <w:sz w:val="24"/>
                <w:szCs w:val="20"/>
              </w:rPr>
              <w:t>）要求，需要对本项目产生的物质（除目标产物，即：产品、副产品外），按照《国家危险废物名录（2021年版）》（部令第15号）、《危险废物鉴别标准通则》（GB5085.7</w:t>
            </w:r>
            <w:r>
              <w:rPr>
                <w:rFonts w:eastAsiaTheme="minorEastAsia"/>
                <w:color w:val="auto"/>
                <w:kern w:val="0"/>
                <w:sz w:val="24"/>
              </w:rPr>
              <w:t>-2019</w:t>
            </w:r>
            <w:r>
              <w:rPr>
                <w:rFonts w:eastAsiaTheme="minorEastAsia"/>
                <w:color w:val="auto"/>
                <w:kern w:val="0"/>
                <w:sz w:val="24"/>
                <w:szCs w:val="20"/>
              </w:rPr>
              <w:t>）等进行属性判定，并以表格的形式列明危险废物的名称、数量、类别、形态、危险特性和污染防治措施等内容。</w:t>
            </w:r>
            <w:r>
              <w:rPr>
                <w:rFonts w:hint="eastAsia" w:eastAsiaTheme="minorEastAsia"/>
                <w:color w:val="auto"/>
                <w:kern w:val="0"/>
                <w:sz w:val="24"/>
                <w:szCs w:val="20"/>
              </w:rPr>
              <w:t>建设</w:t>
            </w:r>
            <w:r>
              <w:rPr>
                <w:rFonts w:eastAsiaTheme="minorEastAsia"/>
                <w:color w:val="auto"/>
                <w:kern w:val="0"/>
                <w:sz w:val="24"/>
                <w:szCs w:val="20"/>
              </w:rPr>
              <w:t>项目危险废物汇总表见下表</w:t>
            </w:r>
            <w:r>
              <w:rPr>
                <w:rFonts w:eastAsiaTheme="minorEastAsia"/>
                <w:bCs/>
                <w:color w:val="auto"/>
                <w:kern w:val="0"/>
                <w:sz w:val="24"/>
                <w:szCs w:val="20"/>
                <w:lang w:bidi="en-US"/>
              </w:rPr>
              <w:t>。</w:t>
            </w:r>
          </w:p>
          <w:p w14:paraId="3AAB43B9">
            <w:pPr>
              <w:adjustRightInd w:val="0"/>
              <w:snapToGrid w:val="0"/>
              <w:jc w:val="center"/>
              <w:rPr>
                <w:rFonts w:eastAsiaTheme="minorEastAsia"/>
                <w:b/>
                <w:color w:val="auto"/>
                <w:sz w:val="24"/>
              </w:rPr>
            </w:pPr>
          </w:p>
          <w:p w14:paraId="3836E62D">
            <w:pPr>
              <w:adjustRightInd w:val="0"/>
              <w:snapToGrid w:val="0"/>
              <w:jc w:val="center"/>
              <w:rPr>
                <w:rFonts w:eastAsiaTheme="minorEastAsia"/>
                <w:b/>
                <w:color w:val="auto"/>
                <w:sz w:val="24"/>
              </w:rPr>
            </w:pPr>
            <w:r>
              <w:rPr>
                <w:rFonts w:eastAsiaTheme="minorEastAsia"/>
                <w:b/>
                <w:color w:val="auto"/>
                <w:sz w:val="24"/>
              </w:rPr>
              <w:t>表</w:t>
            </w:r>
            <w:r>
              <w:rPr>
                <w:rFonts w:eastAsiaTheme="minorEastAsia"/>
                <w:b/>
                <w:bCs/>
                <w:color w:val="auto"/>
                <w:sz w:val="24"/>
                <w:lang w:bidi="en-US"/>
              </w:rPr>
              <w:t>4.4-3</w:t>
            </w:r>
            <w:r>
              <w:rPr>
                <w:rFonts w:hint="eastAsia" w:eastAsiaTheme="minorEastAsia"/>
                <w:b/>
                <w:bCs/>
                <w:color w:val="auto"/>
                <w:sz w:val="24"/>
                <w:lang w:bidi="en-US"/>
              </w:rPr>
              <w:t>建设</w:t>
            </w:r>
            <w:r>
              <w:rPr>
                <w:rFonts w:eastAsiaTheme="minorEastAsia"/>
                <w:b/>
                <w:color w:val="auto"/>
                <w:sz w:val="24"/>
              </w:rPr>
              <w:t>项目危险废物汇总表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513"/>
              <w:gridCol w:w="616"/>
              <w:gridCol w:w="1036"/>
              <w:gridCol w:w="711"/>
              <w:gridCol w:w="562"/>
              <w:gridCol w:w="348"/>
              <w:gridCol w:w="442"/>
              <w:gridCol w:w="440"/>
              <w:gridCol w:w="485"/>
              <w:gridCol w:w="500"/>
              <w:gridCol w:w="579"/>
              <w:gridCol w:w="574"/>
              <w:gridCol w:w="520"/>
              <w:gridCol w:w="397"/>
              <w:gridCol w:w="398"/>
            </w:tblGrid>
            <w:tr w14:paraId="76D52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9" w:hRule="atLeast"/>
              </w:trPr>
              <w:tc>
                <w:tcPr>
                  <w:tcW w:w="267" w:type="dxa"/>
                  <w:vMerge w:val="restart"/>
                  <w:tcBorders>
                    <w:tl2br w:val="nil"/>
                    <w:tr2bl w:val="nil"/>
                  </w:tcBorders>
                  <w:vAlign w:val="center"/>
                </w:tcPr>
                <w:p w14:paraId="53E67272">
                  <w:pPr>
                    <w:jc w:val="center"/>
                    <w:rPr>
                      <w:rFonts w:eastAsiaTheme="minorEastAsia"/>
                      <w:b/>
                      <w:color w:val="auto"/>
                      <w:szCs w:val="21"/>
                    </w:rPr>
                  </w:pPr>
                  <w:r>
                    <w:rPr>
                      <w:rFonts w:eastAsiaTheme="minorEastAsia"/>
                      <w:b/>
                      <w:color w:val="auto"/>
                      <w:szCs w:val="21"/>
                    </w:rPr>
                    <w:t>序号</w:t>
                  </w:r>
                </w:p>
              </w:tc>
              <w:tc>
                <w:tcPr>
                  <w:tcW w:w="513" w:type="dxa"/>
                  <w:vMerge w:val="restart"/>
                  <w:tcBorders>
                    <w:tl2br w:val="nil"/>
                    <w:tr2bl w:val="nil"/>
                  </w:tcBorders>
                  <w:vAlign w:val="center"/>
                </w:tcPr>
                <w:p w14:paraId="14CE05E6">
                  <w:pPr>
                    <w:jc w:val="center"/>
                    <w:rPr>
                      <w:rFonts w:eastAsiaTheme="minorEastAsia"/>
                      <w:b/>
                      <w:color w:val="auto"/>
                      <w:szCs w:val="21"/>
                    </w:rPr>
                  </w:pPr>
                  <w:r>
                    <w:rPr>
                      <w:rFonts w:eastAsiaTheme="minorEastAsia"/>
                      <w:b/>
                      <w:color w:val="auto"/>
                      <w:szCs w:val="21"/>
                    </w:rPr>
                    <w:t>危险废物名称</w:t>
                  </w:r>
                </w:p>
              </w:tc>
              <w:tc>
                <w:tcPr>
                  <w:tcW w:w="616" w:type="dxa"/>
                  <w:vMerge w:val="restart"/>
                  <w:tcBorders>
                    <w:tl2br w:val="nil"/>
                    <w:tr2bl w:val="nil"/>
                  </w:tcBorders>
                  <w:vAlign w:val="center"/>
                </w:tcPr>
                <w:p w14:paraId="700389E3">
                  <w:pPr>
                    <w:jc w:val="center"/>
                    <w:rPr>
                      <w:rFonts w:eastAsiaTheme="minorEastAsia"/>
                      <w:b/>
                      <w:color w:val="auto"/>
                      <w:szCs w:val="21"/>
                    </w:rPr>
                  </w:pPr>
                  <w:r>
                    <w:rPr>
                      <w:rFonts w:eastAsiaTheme="minorEastAsia"/>
                      <w:b/>
                      <w:color w:val="auto"/>
                      <w:szCs w:val="21"/>
                    </w:rPr>
                    <w:t>类别</w:t>
                  </w:r>
                </w:p>
              </w:tc>
              <w:tc>
                <w:tcPr>
                  <w:tcW w:w="1036" w:type="dxa"/>
                  <w:vMerge w:val="restart"/>
                  <w:tcBorders>
                    <w:tl2br w:val="nil"/>
                    <w:tr2bl w:val="nil"/>
                  </w:tcBorders>
                  <w:vAlign w:val="center"/>
                </w:tcPr>
                <w:p w14:paraId="3238D02A">
                  <w:pPr>
                    <w:jc w:val="center"/>
                    <w:rPr>
                      <w:rFonts w:eastAsiaTheme="minorEastAsia"/>
                      <w:b/>
                      <w:color w:val="auto"/>
                      <w:szCs w:val="21"/>
                    </w:rPr>
                  </w:pPr>
                  <w:r>
                    <w:rPr>
                      <w:rFonts w:eastAsiaTheme="minorEastAsia"/>
                      <w:b/>
                      <w:color w:val="auto"/>
                      <w:szCs w:val="21"/>
                    </w:rPr>
                    <w:t>危险废物代码</w:t>
                  </w:r>
                </w:p>
              </w:tc>
              <w:tc>
                <w:tcPr>
                  <w:tcW w:w="711" w:type="dxa"/>
                  <w:vMerge w:val="restart"/>
                  <w:tcBorders>
                    <w:tl2br w:val="nil"/>
                    <w:tr2bl w:val="nil"/>
                  </w:tcBorders>
                  <w:vAlign w:val="center"/>
                </w:tcPr>
                <w:p w14:paraId="59A428E5">
                  <w:pPr>
                    <w:jc w:val="center"/>
                    <w:rPr>
                      <w:rFonts w:eastAsiaTheme="minorEastAsia"/>
                      <w:b/>
                      <w:color w:val="auto"/>
                      <w:szCs w:val="21"/>
                    </w:rPr>
                  </w:pPr>
                  <w:r>
                    <w:rPr>
                      <w:rFonts w:eastAsiaTheme="minorEastAsia"/>
                      <w:b/>
                      <w:color w:val="auto"/>
                      <w:szCs w:val="21"/>
                    </w:rPr>
                    <w:t>产生量（t/a）</w:t>
                  </w:r>
                </w:p>
              </w:tc>
              <w:tc>
                <w:tcPr>
                  <w:tcW w:w="562" w:type="dxa"/>
                  <w:vMerge w:val="restart"/>
                  <w:tcBorders>
                    <w:tl2br w:val="nil"/>
                    <w:tr2bl w:val="nil"/>
                  </w:tcBorders>
                  <w:vAlign w:val="center"/>
                </w:tcPr>
                <w:p w14:paraId="14327ED1">
                  <w:pPr>
                    <w:jc w:val="center"/>
                    <w:rPr>
                      <w:rFonts w:eastAsiaTheme="minorEastAsia"/>
                      <w:b/>
                      <w:color w:val="auto"/>
                      <w:szCs w:val="21"/>
                    </w:rPr>
                  </w:pPr>
                  <w:r>
                    <w:rPr>
                      <w:rFonts w:eastAsiaTheme="minorEastAsia"/>
                      <w:b/>
                      <w:color w:val="auto"/>
                      <w:szCs w:val="21"/>
                    </w:rPr>
                    <w:t>产生工序及装置</w:t>
                  </w:r>
                </w:p>
              </w:tc>
              <w:tc>
                <w:tcPr>
                  <w:tcW w:w="348" w:type="dxa"/>
                  <w:vMerge w:val="restart"/>
                  <w:tcBorders>
                    <w:tl2br w:val="nil"/>
                    <w:tr2bl w:val="nil"/>
                  </w:tcBorders>
                  <w:vAlign w:val="center"/>
                </w:tcPr>
                <w:p w14:paraId="5A8EA83D">
                  <w:pPr>
                    <w:jc w:val="center"/>
                    <w:rPr>
                      <w:rFonts w:eastAsiaTheme="minorEastAsia"/>
                      <w:b/>
                      <w:color w:val="auto"/>
                      <w:szCs w:val="21"/>
                    </w:rPr>
                  </w:pPr>
                  <w:r>
                    <w:rPr>
                      <w:rFonts w:eastAsiaTheme="minorEastAsia"/>
                      <w:b/>
                      <w:color w:val="auto"/>
                      <w:szCs w:val="21"/>
                    </w:rPr>
                    <w:t>形态</w:t>
                  </w:r>
                </w:p>
              </w:tc>
              <w:tc>
                <w:tcPr>
                  <w:tcW w:w="442" w:type="dxa"/>
                  <w:vMerge w:val="restart"/>
                  <w:tcBorders>
                    <w:tl2br w:val="nil"/>
                    <w:tr2bl w:val="nil"/>
                  </w:tcBorders>
                  <w:vAlign w:val="center"/>
                </w:tcPr>
                <w:p w14:paraId="776C9B25">
                  <w:pPr>
                    <w:jc w:val="center"/>
                    <w:rPr>
                      <w:rFonts w:eastAsiaTheme="minorEastAsia"/>
                      <w:b/>
                      <w:color w:val="auto"/>
                      <w:szCs w:val="21"/>
                    </w:rPr>
                  </w:pPr>
                  <w:r>
                    <w:rPr>
                      <w:rFonts w:eastAsiaTheme="minorEastAsia"/>
                      <w:b/>
                      <w:color w:val="auto"/>
                      <w:szCs w:val="21"/>
                    </w:rPr>
                    <w:t>主要成分</w:t>
                  </w:r>
                </w:p>
              </w:tc>
              <w:tc>
                <w:tcPr>
                  <w:tcW w:w="440" w:type="dxa"/>
                  <w:vMerge w:val="restart"/>
                  <w:tcBorders>
                    <w:tl2br w:val="nil"/>
                    <w:tr2bl w:val="nil"/>
                  </w:tcBorders>
                  <w:vAlign w:val="center"/>
                </w:tcPr>
                <w:p w14:paraId="0BC112EF">
                  <w:pPr>
                    <w:jc w:val="center"/>
                    <w:rPr>
                      <w:rFonts w:eastAsiaTheme="minorEastAsia"/>
                      <w:b/>
                      <w:color w:val="auto"/>
                      <w:szCs w:val="21"/>
                    </w:rPr>
                  </w:pPr>
                  <w:r>
                    <w:rPr>
                      <w:rFonts w:eastAsiaTheme="minorEastAsia"/>
                      <w:b/>
                      <w:color w:val="auto"/>
                      <w:szCs w:val="21"/>
                    </w:rPr>
                    <w:t>有害成分</w:t>
                  </w:r>
                </w:p>
              </w:tc>
              <w:tc>
                <w:tcPr>
                  <w:tcW w:w="485" w:type="dxa"/>
                  <w:vMerge w:val="restart"/>
                  <w:tcBorders>
                    <w:tl2br w:val="nil"/>
                    <w:tr2bl w:val="nil"/>
                  </w:tcBorders>
                  <w:vAlign w:val="center"/>
                </w:tcPr>
                <w:p w14:paraId="1D8C4815">
                  <w:pPr>
                    <w:jc w:val="center"/>
                    <w:rPr>
                      <w:rFonts w:eastAsiaTheme="minorEastAsia"/>
                      <w:b/>
                      <w:color w:val="auto"/>
                      <w:szCs w:val="21"/>
                    </w:rPr>
                  </w:pPr>
                  <w:r>
                    <w:rPr>
                      <w:rFonts w:eastAsiaTheme="minorEastAsia"/>
                      <w:b/>
                      <w:color w:val="auto"/>
                      <w:szCs w:val="21"/>
                    </w:rPr>
                    <w:t>产废周期</w:t>
                  </w:r>
                </w:p>
              </w:tc>
              <w:tc>
                <w:tcPr>
                  <w:tcW w:w="500" w:type="dxa"/>
                  <w:vMerge w:val="restart"/>
                  <w:tcBorders>
                    <w:tl2br w:val="nil"/>
                    <w:tr2bl w:val="nil"/>
                  </w:tcBorders>
                  <w:vAlign w:val="center"/>
                </w:tcPr>
                <w:p w14:paraId="6FABCCA6">
                  <w:pPr>
                    <w:jc w:val="center"/>
                    <w:rPr>
                      <w:rFonts w:eastAsiaTheme="minorEastAsia"/>
                      <w:b/>
                      <w:color w:val="auto"/>
                      <w:szCs w:val="21"/>
                    </w:rPr>
                  </w:pPr>
                  <w:r>
                    <w:rPr>
                      <w:rFonts w:eastAsiaTheme="minorEastAsia"/>
                      <w:b/>
                      <w:color w:val="auto"/>
                      <w:szCs w:val="21"/>
                    </w:rPr>
                    <w:t>危险特性</w:t>
                  </w:r>
                </w:p>
              </w:tc>
              <w:tc>
                <w:tcPr>
                  <w:tcW w:w="2468" w:type="dxa"/>
                  <w:gridSpan w:val="5"/>
                  <w:tcBorders>
                    <w:tl2br w:val="nil"/>
                    <w:tr2bl w:val="nil"/>
                  </w:tcBorders>
                  <w:vAlign w:val="center"/>
                </w:tcPr>
                <w:p w14:paraId="071F851F">
                  <w:pPr>
                    <w:adjustRightInd w:val="0"/>
                    <w:snapToGrid w:val="0"/>
                    <w:jc w:val="center"/>
                    <w:rPr>
                      <w:rFonts w:eastAsiaTheme="minorEastAsia"/>
                      <w:b/>
                      <w:bCs/>
                      <w:color w:val="auto"/>
                      <w:szCs w:val="21"/>
                    </w:rPr>
                  </w:pPr>
                  <w:r>
                    <w:rPr>
                      <w:rFonts w:eastAsiaTheme="minorEastAsia"/>
                      <w:b/>
                      <w:bCs/>
                      <w:color w:val="auto"/>
                      <w:szCs w:val="21"/>
                    </w:rPr>
                    <w:t>污染防治措施</w:t>
                  </w:r>
                </w:p>
              </w:tc>
            </w:tr>
            <w:tr w14:paraId="63D76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267" w:type="dxa"/>
                  <w:vMerge w:val="continue"/>
                  <w:tcBorders>
                    <w:tl2br w:val="nil"/>
                    <w:tr2bl w:val="nil"/>
                  </w:tcBorders>
                  <w:vAlign w:val="center"/>
                </w:tcPr>
                <w:p w14:paraId="5B5543DD">
                  <w:pPr>
                    <w:jc w:val="center"/>
                    <w:rPr>
                      <w:rFonts w:eastAsiaTheme="minorEastAsia"/>
                      <w:color w:val="auto"/>
                      <w:szCs w:val="21"/>
                    </w:rPr>
                  </w:pPr>
                </w:p>
              </w:tc>
              <w:tc>
                <w:tcPr>
                  <w:tcW w:w="513" w:type="dxa"/>
                  <w:vMerge w:val="continue"/>
                  <w:tcBorders>
                    <w:tl2br w:val="nil"/>
                    <w:tr2bl w:val="nil"/>
                  </w:tcBorders>
                  <w:vAlign w:val="center"/>
                </w:tcPr>
                <w:p w14:paraId="1FEC09FD">
                  <w:pPr>
                    <w:jc w:val="center"/>
                    <w:rPr>
                      <w:rFonts w:eastAsiaTheme="minorEastAsia"/>
                      <w:color w:val="auto"/>
                      <w:szCs w:val="21"/>
                    </w:rPr>
                  </w:pPr>
                </w:p>
              </w:tc>
              <w:tc>
                <w:tcPr>
                  <w:tcW w:w="616" w:type="dxa"/>
                  <w:vMerge w:val="continue"/>
                  <w:tcBorders>
                    <w:tl2br w:val="nil"/>
                    <w:tr2bl w:val="nil"/>
                  </w:tcBorders>
                  <w:vAlign w:val="center"/>
                </w:tcPr>
                <w:p w14:paraId="0D5C42DF">
                  <w:pPr>
                    <w:jc w:val="center"/>
                    <w:rPr>
                      <w:rFonts w:eastAsiaTheme="minorEastAsia"/>
                      <w:color w:val="auto"/>
                      <w:szCs w:val="21"/>
                    </w:rPr>
                  </w:pPr>
                </w:p>
              </w:tc>
              <w:tc>
                <w:tcPr>
                  <w:tcW w:w="1036" w:type="dxa"/>
                  <w:vMerge w:val="continue"/>
                  <w:tcBorders>
                    <w:tl2br w:val="nil"/>
                    <w:tr2bl w:val="nil"/>
                  </w:tcBorders>
                  <w:vAlign w:val="center"/>
                </w:tcPr>
                <w:p w14:paraId="5EFEE653">
                  <w:pPr>
                    <w:jc w:val="center"/>
                    <w:rPr>
                      <w:rFonts w:eastAsiaTheme="minorEastAsia"/>
                      <w:color w:val="auto"/>
                      <w:szCs w:val="21"/>
                    </w:rPr>
                  </w:pPr>
                </w:p>
              </w:tc>
              <w:tc>
                <w:tcPr>
                  <w:tcW w:w="711" w:type="dxa"/>
                  <w:vMerge w:val="continue"/>
                  <w:tcBorders>
                    <w:tl2br w:val="nil"/>
                    <w:tr2bl w:val="nil"/>
                  </w:tcBorders>
                  <w:vAlign w:val="center"/>
                </w:tcPr>
                <w:p w14:paraId="6870E4D6">
                  <w:pPr>
                    <w:jc w:val="center"/>
                    <w:rPr>
                      <w:rFonts w:eastAsiaTheme="minorEastAsia"/>
                      <w:color w:val="auto"/>
                      <w:szCs w:val="21"/>
                    </w:rPr>
                  </w:pPr>
                </w:p>
              </w:tc>
              <w:tc>
                <w:tcPr>
                  <w:tcW w:w="562" w:type="dxa"/>
                  <w:vMerge w:val="continue"/>
                  <w:tcBorders>
                    <w:tl2br w:val="nil"/>
                    <w:tr2bl w:val="nil"/>
                  </w:tcBorders>
                  <w:vAlign w:val="center"/>
                </w:tcPr>
                <w:p w14:paraId="5AB2B4AB">
                  <w:pPr>
                    <w:jc w:val="center"/>
                    <w:rPr>
                      <w:rFonts w:eastAsiaTheme="minorEastAsia"/>
                      <w:color w:val="auto"/>
                      <w:szCs w:val="21"/>
                    </w:rPr>
                  </w:pPr>
                </w:p>
              </w:tc>
              <w:tc>
                <w:tcPr>
                  <w:tcW w:w="348" w:type="dxa"/>
                  <w:vMerge w:val="continue"/>
                  <w:tcBorders>
                    <w:tl2br w:val="nil"/>
                    <w:tr2bl w:val="nil"/>
                  </w:tcBorders>
                  <w:vAlign w:val="center"/>
                </w:tcPr>
                <w:p w14:paraId="42C17924">
                  <w:pPr>
                    <w:jc w:val="center"/>
                    <w:rPr>
                      <w:rFonts w:eastAsiaTheme="minorEastAsia"/>
                      <w:color w:val="auto"/>
                      <w:szCs w:val="21"/>
                    </w:rPr>
                  </w:pPr>
                </w:p>
              </w:tc>
              <w:tc>
                <w:tcPr>
                  <w:tcW w:w="442" w:type="dxa"/>
                  <w:vMerge w:val="continue"/>
                  <w:tcBorders>
                    <w:tl2br w:val="nil"/>
                    <w:tr2bl w:val="nil"/>
                  </w:tcBorders>
                  <w:vAlign w:val="center"/>
                </w:tcPr>
                <w:p w14:paraId="3EC18C98">
                  <w:pPr>
                    <w:jc w:val="center"/>
                    <w:rPr>
                      <w:rFonts w:eastAsiaTheme="minorEastAsia"/>
                      <w:color w:val="auto"/>
                      <w:szCs w:val="21"/>
                    </w:rPr>
                  </w:pPr>
                </w:p>
              </w:tc>
              <w:tc>
                <w:tcPr>
                  <w:tcW w:w="440" w:type="dxa"/>
                  <w:vMerge w:val="continue"/>
                  <w:tcBorders>
                    <w:tl2br w:val="nil"/>
                    <w:tr2bl w:val="nil"/>
                  </w:tcBorders>
                  <w:vAlign w:val="center"/>
                </w:tcPr>
                <w:p w14:paraId="313C880F">
                  <w:pPr>
                    <w:jc w:val="center"/>
                    <w:rPr>
                      <w:rFonts w:eastAsiaTheme="minorEastAsia"/>
                      <w:color w:val="auto"/>
                      <w:szCs w:val="21"/>
                    </w:rPr>
                  </w:pPr>
                </w:p>
              </w:tc>
              <w:tc>
                <w:tcPr>
                  <w:tcW w:w="485" w:type="dxa"/>
                  <w:vMerge w:val="continue"/>
                  <w:tcBorders>
                    <w:tl2br w:val="nil"/>
                    <w:tr2bl w:val="nil"/>
                  </w:tcBorders>
                  <w:vAlign w:val="center"/>
                </w:tcPr>
                <w:p w14:paraId="13283FD9">
                  <w:pPr>
                    <w:jc w:val="center"/>
                    <w:rPr>
                      <w:rFonts w:eastAsiaTheme="minorEastAsia"/>
                      <w:color w:val="auto"/>
                      <w:szCs w:val="21"/>
                    </w:rPr>
                  </w:pPr>
                </w:p>
              </w:tc>
              <w:tc>
                <w:tcPr>
                  <w:tcW w:w="500" w:type="dxa"/>
                  <w:vMerge w:val="continue"/>
                  <w:tcBorders>
                    <w:tl2br w:val="nil"/>
                    <w:tr2bl w:val="nil"/>
                  </w:tcBorders>
                  <w:vAlign w:val="center"/>
                </w:tcPr>
                <w:p w14:paraId="29823E5D">
                  <w:pPr>
                    <w:jc w:val="center"/>
                    <w:rPr>
                      <w:rFonts w:eastAsiaTheme="minorEastAsia"/>
                      <w:color w:val="auto"/>
                      <w:szCs w:val="21"/>
                    </w:rPr>
                  </w:pPr>
                </w:p>
              </w:tc>
              <w:tc>
                <w:tcPr>
                  <w:tcW w:w="579" w:type="dxa"/>
                  <w:tcBorders>
                    <w:tl2br w:val="nil"/>
                    <w:tr2bl w:val="nil"/>
                  </w:tcBorders>
                  <w:vAlign w:val="center"/>
                </w:tcPr>
                <w:p w14:paraId="5B260E28">
                  <w:pPr>
                    <w:adjustRightInd w:val="0"/>
                    <w:snapToGrid w:val="0"/>
                    <w:jc w:val="center"/>
                    <w:rPr>
                      <w:rFonts w:eastAsiaTheme="minorEastAsia"/>
                      <w:b/>
                      <w:bCs/>
                      <w:color w:val="auto"/>
                      <w:szCs w:val="21"/>
                    </w:rPr>
                  </w:pPr>
                  <w:r>
                    <w:rPr>
                      <w:rFonts w:eastAsiaTheme="minorEastAsia"/>
                      <w:b/>
                      <w:bCs/>
                      <w:color w:val="auto"/>
                      <w:szCs w:val="21"/>
                    </w:rPr>
                    <w:t>收集</w:t>
                  </w:r>
                </w:p>
              </w:tc>
              <w:tc>
                <w:tcPr>
                  <w:tcW w:w="574" w:type="dxa"/>
                  <w:tcBorders>
                    <w:tl2br w:val="nil"/>
                    <w:tr2bl w:val="nil"/>
                  </w:tcBorders>
                  <w:vAlign w:val="center"/>
                </w:tcPr>
                <w:p w14:paraId="47E43ED7">
                  <w:pPr>
                    <w:adjustRightInd w:val="0"/>
                    <w:snapToGrid w:val="0"/>
                    <w:jc w:val="center"/>
                    <w:rPr>
                      <w:rFonts w:eastAsiaTheme="minorEastAsia"/>
                      <w:b/>
                      <w:bCs/>
                      <w:color w:val="auto"/>
                      <w:szCs w:val="21"/>
                    </w:rPr>
                  </w:pPr>
                  <w:r>
                    <w:rPr>
                      <w:rFonts w:eastAsiaTheme="minorEastAsia"/>
                      <w:b/>
                      <w:bCs/>
                      <w:color w:val="auto"/>
                      <w:szCs w:val="21"/>
                    </w:rPr>
                    <w:t>贮存</w:t>
                  </w:r>
                </w:p>
              </w:tc>
              <w:tc>
                <w:tcPr>
                  <w:tcW w:w="520" w:type="dxa"/>
                  <w:tcBorders>
                    <w:tl2br w:val="nil"/>
                    <w:tr2bl w:val="nil"/>
                  </w:tcBorders>
                  <w:vAlign w:val="center"/>
                </w:tcPr>
                <w:p w14:paraId="3EB4E6B1">
                  <w:pPr>
                    <w:adjustRightInd w:val="0"/>
                    <w:snapToGrid w:val="0"/>
                    <w:jc w:val="center"/>
                    <w:rPr>
                      <w:rFonts w:eastAsiaTheme="minorEastAsia"/>
                      <w:b/>
                      <w:bCs/>
                      <w:color w:val="auto"/>
                      <w:szCs w:val="21"/>
                    </w:rPr>
                  </w:pPr>
                  <w:r>
                    <w:rPr>
                      <w:rFonts w:eastAsiaTheme="minorEastAsia"/>
                      <w:b/>
                      <w:bCs/>
                      <w:color w:val="auto"/>
                      <w:szCs w:val="21"/>
                    </w:rPr>
                    <w:t>运输</w:t>
                  </w:r>
                </w:p>
              </w:tc>
              <w:tc>
                <w:tcPr>
                  <w:tcW w:w="397" w:type="dxa"/>
                  <w:tcBorders>
                    <w:tl2br w:val="nil"/>
                    <w:tr2bl w:val="nil"/>
                  </w:tcBorders>
                  <w:vAlign w:val="center"/>
                </w:tcPr>
                <w:p w14:paraId="1AD09158">
                  <w:pPr>
                    <w:adjustRightInd w:val="0"/>
                    <w:snapToGrid w:val="0"/>
                    <w:jc w:val="center"/>
                    <w:rPr>
                      <w:rFonts w:eastAsiaTheme="minorEastAsia"/>
                      <w:b/>
                      <w:bCs/>
                      <w:color w:val="auto"/>
                      <w:szCs w:val="21"/>
                    </w:rPr>
                  </w:pPr>
                  <w:r>
                    <w:rPr>
                      <w:rFonts w:eastAsiaTheme="minorEastAsia"/>
                      <w:b/>
                      <w:bCs/>
                      <w:color w:val="auto"/>
                      <w:szCs w:val="21"/>
                    </w:rPr>
                    <w:t>利用处置方式</w:t>
                  </w:r>
                </w:p>
              </w:tc>
              <w:tc>
                <w:tcPr>
                  <w:tcW w:w="398" w:type="dxa"/>
                  <w:tcBorders>
                    <w:tl2br w:val="nil"/>
                    <w:tr2bl w:val="nil"/>
                  </w:tcBorders>
                  <w:vAlign w:val="center"/>
                </w:tcPr>
                <w:p w14:paraId="30D2ACCD">
                  <w:pPr>
                    <w:adjustRightInd w:val="0"/>
                    <w:snapToGrid w:val="0"/>
                    <w:jc w:val="center"/>
                    <w:rPr>
                      <w:rFonts w:eastAsiaTheme="minorEastAsia"/>
                      <w:b/>
                      <w:bCs/>
                      <w:color w:val="auto"/>
                      <w:szCs w:val="21"/>
                    </w:rPr>
                  </w:pPr>
                  <w:r>
                    <w:rPr>
                      <w:rFonts w:eastAsiaTheme="minorEastAsia"/>
                      <w:b/>
                      <w:bCs/>
                      <w:color w:val="auto"/>
                      <w:szCs w:val="21"/>
                    </w:rPr>
                    <w:t>利用处置单位</w:t>
                  </w:r>
                </w:p>
              </w:tc>
            </w:tr>
            <w:tr w14:paraId="2839E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2" w:hRule="atLeast"/>
              </w:trPr>
              <w:tc>
                <w:tcPr>
                  <w:tcW w:w="267" w:type="dxa"/>
                  <w:tcBorders>
                    <w:tl2br w:val="nil"/>
                    <w:tr2bl w:val="nil"/>
                  </w:tcBorders>
                  <w:vAlign w:val="center"/>
                </w:tcPr>
                <w:p w14:paraId="0421F1F8">
                  <w:pPr>
                    <w:jc w:val="center"/>
                    <w:rPr>
                      <w:rFonts w:eastAsiaTheme="minorEastAsia"/>
                      <w:color w:val="auto"/>
                      <w:szCs w:val="21"/>
                    </w:rPr>
                  </w:pPr>
                  <w:r>
                    <w:rPr>
                      <w:rFonts w:eastAsiaTheme="minorEastAsia"/>
                      <w:color w:val="auto"/>
                      <w:szCs w:val="21"/>
                    </w:rPr>
                    <w:t>1</w:t>
                  </w:r>
                </w:p>
              </w:tc>
              <w:tc>
                <w:tcPr>
                  <w:tcW w:w="513" w:type="dxa"/>
                  <w:tcBorders>
                    <w:tl2br w:val="nil"/>
                    <w:tr2bl w:val="nil"/>
                  </w:tcBorders>
                  <w:vAlign w:val="center"/>
                </w:tcPr>
                <w:p w14:paraId="657D13B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废活性炭</w:t>
                  </w:r>
                </w:p>
              </w:tc>
              <w:tc>
                <w:tcPr>
                  <w:tcW w:w="616" w:type="dxa"/>
                  <w:tcBorders>
                    <w:tl2br w:val="nil"/>
                    <w:tr2bl w:val="nil"/>
                  </w:tcBorders>
                  <w:vAlign w:val="center"/>
                </w:tcPr>
                <w:p w14:paraId="14F6CF62">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Cs w:val="21"/>
                    </w:rPr>
                    <w:t>HW4</w:t>
                  </w:r>
                  <w:r>
                    <w:rPr>
                      <w:rFonts w:hint="eastAsia" w:eastAsiaTheme="minorEastAsia"/>
                      <w:color w:val="auto"/>
                      <w:kern w:val="0"/>
                      <w:szCs w:val="21"/>
                    </w:rPr>
                    <w:t>9</w:t>
                  </w:r>
                </w:p>
              </w:tc>
              <w:tc>
                <w:tcPr>
                  <w:tcW w:w="1036" w:type="dxa"/>
                  <w:tcBorders>
                    <w:tl2br w:val="nil"/>
                    <w:tr2bl w:val="nil"/>
                  </w:tcBorders>
                  <w:vAlign w:val="center"/>
                </w:tcPr>
                <w:p w14:paraId="6160431D">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bCs/>
                      <w:color w:val="auto"/>
                      <w:kern w:val="0"/>
                      <w:szCs w:val="21"/>
                      <w:lang w:bidi="en-US"/>
                    </w:rPr>
                    <w:t>900-039-49</w:t>
                  </w:r>
                </w:p>
              </w:tc>
              <w:tc>
                <w:tcPr>
                  <w:tcW w:w="711" w:type="dxa"/>
                  <w:tcBorders>
                    <w:tl2br w:val="nil"/>
                    <w:tr2bl w:val="nil"/>
                  </w:tcBorders>
                  <w:vAlign w:val="center"/>
                </w:tcPr>
                <w:p w14:paraId="4C0644DE">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1.77</w:t>
                  </w:r>
                </w:p>
              </w:tc>
              <w:tc>
                <w:tcPr>
                  <w:tcW w:w="562" w:type="dxa"/>
                  <w:tcBorders>
                    <w:tl2br w:val="nil"/>
                    <w:tr2bl w:val="nil"/>
                  </w:tcBorders>
                  <w:vAlign w:val="center"/>
                </w:tcPr>
                <w:p w14:paraId="3258F1C0">
                  <w:pPr>
                    <w:jc w:val="center"/>
                    <w:rPr>
                      <w:rFonts w:eastAsiaTheme="minorEastAsia"/>
                      <w:color w:val="auto"/>
                      <w:szCs w:val="21"/>
                    </w:rPr>
                  </w:pPr>
                  <w:r>
                    <w:rPr>
                      <w:rFonts w:hint="eastAsia" w:eastAsiaTheme="minorEastAsia"/>
                      <w:color w:val="auto"/>
                      <w:szCs w:val="21"/>
                    </w:rPr>
                    <w:t>废气</w:t>
                  </w:r>
                </w:p>
                <w:p w14:paraId="255C0C78">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治理</w:t>
                  </w:r>
                </w:p>
              </w:tc>
              <w:tc>
                <w:tcPr>
                  <w:tcW w:w="348" w:type="dxa"/>
                  <w:tcBorders>
                    <w:tl2br w:val="nil"/>
                    <w:tr2bl w:val="nil"/>
                  </w:tcBorders>
                  <w:vAlign w:val="center"/>
                </w:tcPr>
                <w:p w14:paraId="0487680D">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固体</w:t>
                  </w:r>
                </w:p>
              </w:tc>
              <w:tc>
                <w:tcPr>
                  <w:tcW w:w="442" w:type="dxa"/>
                  <w:tcBorders>
                    <w:tl2br w:val="nil"/>
                    <w:tr2bl w:val="nil"/>
                  </w:tcBorders>
                  <w:vAlign w:val="center"/>
                </w:tcPr>
                <w:p w14:paraId="20CF08EE">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活性炭</w:t>
                  </w:r>
                </w:p>
              </w:tc>
              <w:tc>
                <w:tcPr>
                  <w:tcW w:w="440" w:type="dxa"/>
                  <w:tcBorders>
                    <w:tl2br w:val="nil"/>
                    <w:tr2bl w:val="nil"/>
                  </w:tcBorders>
                  <w:vAlign w:val="center"/>
                </w:tcPr>
                <w:p w14:paraId="5CA1EBF1">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活性炭</w:t>
                  </w:r>
                </w:p>
              </w:tc>
              <w:tc>
                <w:tcPr>
                  <w:tcW w:w="485" w:type="dxa"/>
                  <w:tcBorders>
                    <w:tl2br w:val="nil"/>
                    <w:tr2bl w:val="nil"/>
                  </w:tcBorders>
                  <w:vAlign w:val="center"/>
                </w:tcPr>
                <w:p w14:paraId="069F4F65">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三个月</w:t>
                  </w:r>
                </w:p>
              </w:tc>
              <w:tc>
                <w:tcPr>
                  <w:tcW w:w="500" w:type="dxa"/>
                  <w:tcBorders>
                    <w:tl2br w:val="nil"/>
                    <w:tr2bl w:val="nil"/>
                  </w:tcBorders>
                  <w:vAlign w:val="center"/>
                </w:tcPr>
                <w:p w14:paraId="67BF9954">
                  <w:pPr>
                    <w:jc w:val="center"/>
                    <w:rPr>
                      <w:rFonts w:ascii="Times New Roman" w:hAnsi="Times New Roman" w:cs="Times New Roman" w:eastAsiaTheme="minorEastAsia"/>
                      <w:color w:val="auto"/>
                      <w:kern w:val="2"/>
                      <w:sz w:val="21"/>
                      <w:szCs w:val="21"/>
                      <w:lang w:val="en-US" w:eastAsia="zh-CN" w:bidi="ar-SA"/>
                    </w:rPr>
                  </w:pPr>
                  <w:r>
                    <w:rPr>
                      <w:color w:val="auto"/>
                      <w:szCs w:val="21"/>
                    </w:rPr>
                    <w:t>T</w:t>
                  </w:r>
                </w:p>
              </w:tc>
              <w:tc>
                <w:tcPr>
                  <w:tcW w:w="579" w:type="dxa"/>
                  <w:vMerge w:val="restart"/>
                  <w:tcBorders>
                    <w:tl2br w:val="nil"/>
                    <w:tr2bl w:val="nil"/>
                  </w:tcBorders>
                  <w:vAlign w:val="center"/>
                </w:tcPr>
                <w:p w14:paraId="0E4F1722">
                  <w:pPr>
                    <w:adjustRightInd w:val="0"/>
                    <w:snapToGrid w:val="0"/>
                    <w:jc w:val="center"/>
                    <w:rPr>
                      <w:rFonts w:eastAsiaTheme="minorEastAsia"/>
                      <w:color w:val="auto"/>
                      <w:szCs w:val="21"/>
                    </w:rPr>
                  </w:pPr>
                  <w:r>
                    <w:rPr>
                      <w:rFonts w:eastAsiaTheme="minorEastAsia"/>
                      <w:color w:val="auto"/>
                      <w:szCs w:val="21"/>
                    </w:rPr>
                    <w:t>分类收集、制定操作规程、划定作业区域、桶装、标签贴示等</w:t>
                  </w:r>
                </w:p>
              </w:tc>
              <w:tc>
                <w:tcPr>
                  <w:tcW w:w="574" w:type="dxa"/>
                  <w:vMerge w:val="restart"/>
                  <w:tcBorders>
                    <w:tl2br w:val="nil"/>
                    <w:tr2bl w:val="nil"/>
                  </w:tcBorders>
                  <w:vAlign w:val="center"/>
                </w:tcPr>
                <w:p w14:paraId="703B739F">
                  <w:pPr>
                    <w:adjustRightInd w:val="0"/>
                    <w:snapToGrid w:val="0"/>
                    <w:jc w:val="center"/>
                    <w:rPr>
                      <w:rFonts w:eastAsiaTheme="minorEastAsia"/>
                      <w:color w:val="auto"/>
                      <w:szCs w:val="21"/>
                    </w:rPr>
                  </w:pPr>
                  <w:r>
                    <w:rPr>
                      <w:rFonts w:eastAsiaTheme="minorEastAsia"/>
                      <w:color w:val="auto"/>
                      <w:szCs w:val="21"/>
                    </w:rPr>
                    <w:t>袋装/桶装密闭储存，“四防”、警示标志、包装相容等</w:t>
                  </w:r>
                </w:p>
              </w:tc>
              <w:tc>
                <w:tcPr>
                  <w:tcW w:w="520" w:type="dxa"/>
                  <w:vMerge w:val="restart"/>
                  <w:tcBorders>
                    <w:tl2br w:val="nil"/>
                    <w:tr2bl w:val="nil"/>
                  </w:tcBorders>
                  <w:vAlign w:val="center"/>
                </w:tcPr>
                <w:p w14:paraId="013279F9">
                  <w:pPr>
                    <w:adjustRightInd w:val="0"/>
                    <w:snapToGrid w:val="0"/>
                    <w:jc w:val="center"/>
                    <w:rPr>
                      <w:rFonts w:eastAsiaTheme="minorEastAsia"/>
                      <w:color w:val="auto"/>
                      <w:szCs w:val="21"/>
                    </w:rPr>
                  </w:pPr>
                  <w:r>
                    <w:rPr>
                      <w:rFonts w:eastAsiaTheme="minorEastAsia"/>
                      <w:color w:val="auto"/>
                      <w:szCs w:val="21"/>
                    </w:rPr>
                    <w:t>由持有危险废物经营许可证、持有危险货物运输资质的单位实施，密闭遮盖运输</w:t>
                  </w:r>
                </w:p>
              </w:tc>
              <w:tc>
                <w:tcPr>
                  <w:tcW w:w="397" w:type="dxa"/>
                  <w:vMerge w:val="restart"/>
                  <w:tcBorders>
                    <w:tl2br w:val="nil"/>
                    <w:tr2bl w:val="nil"/>
                  </w:tcBorders>
                  <w:vAlign w:val="center"/>
                </w:tcPr>
                <w:p w14:paraId="3E4E481B">
                  <w:pPr>
                    <w:adjustRightInd w:val="0"/>
                    <w:snapToGrid w:val="0"/>
                    <w:jc w:val="center"/>
                    <w:rPr>
                      <w:rFonts w:eastAsiaTheme="minorEastAsia"/>
                      <w:color w:val="auto"/>
                      <w:szCs w:val="21"/>
                    </w:rPr>
                  </w:pPr>
                  <w:r>
                    <w:rPr>
                      <w:rFonts w:eastAsiaTheme="minorEastAsia"/>
                      <w:color w:val="auto"/>
                      <w:szCs w:val="21"/>
                    </w:rPr>
                    <w:t>委托有资质单位安全处置</w:t>
                  </w:r>
                </w:p>
              </w:tc>
              <w:tc>
                <w:tcPr>
                  <w:tcW w:w="398" w:type="dxa"/>
                  <w:vMerge w:val="restart"/>
                  <w:tcBorders>
                    <w:tl2br w:val="nil"/>
                    <w:tr2bl w:val="nil"/>
                  </w:tcBorders>
                  <w:vAlign w:val="center"/>
                </w:tcPr>
                <w:p w14:paraId="7901B6A4">
                  <w:pPr>
                    <w:adjustRightInd w:val="0"/>
                    <w:snapToGrid w:val="0"/>
                    <w:jc w:val="center"/>
                    <w:rPr>
                      <w:rFonts w:eastAsiaTheme="minorEastAsia"/>
                      <w:color w:val="auto"/>
                      <w:szCs w:val="21"/>
                    </w:rPr>
                  </w:pPr>
                  <w:r>
                    <w:rPr>
                      <w:rFonts w:eastAsiaTheme="minorEastAsia"/>
                      <w:color w:val="auto"/>
                      <w:szCs w:val="21"/>
                    </w:rPr>
                    <w:t>有资质单位</w:t>
                  </w:r>
                </w:p>
              </w:tc>
            </w:tr>
            <w:tr w14:paraId="73335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4" w:hRule="atLeast"/>
              </w:trPr>
              <w:tc>
                <w:tcPr>
                  <w:tcW w:w="267" w:type="dxa"/>
                  <w:tcBorders>
                    <w:tl2br w:val="nil"/>
                    <w:tr2bl w:val="nil"/>
                  </w:tcBorders>
                  <w:vAlign w:val="center"/>
                </w:tcPr>
                <w:p w14:paraId="127FE43C">
                  <w:pPr>
                    <w:jc w:val="center"/>
                    <w:rPr>
                      <w:rFonts w:eastAsiaTheme="minorEastAsia"/>
                      <w:color w:val="auto"/>
                      <w:szCs w:val="21"/>
                    </w:rPr>
                  </w:pPr>
                  <w:r>
                    <w:rPr>
                      <w:rFonts w:eastAsiaTheme="minorEastAsia"/>
                      <w:color w:val="auto"/>
                      <w:szCs w:val="21"/>
                    </w:rPr>
                    <w:t>2</w:t>
                  </w:r>
                </w:p>
              </w:tc>
              <w:tc>
                <w:tcPr>
                  <w:tcW w:w="513" w:type="dxa"/>
                  <w:tcBorders>
                    <w:tl2br w:val="nil"/>
                    <w:tr2bl w:val="nil"/>
                  </w:tcBorders>
                  <w:vAlign w:val="center"/>
                </w:tcPr>
                <w:p w14:paraId="27B8D483">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废油桶</w:t>
                  </w:r>
                </w:p>
              </w:tc>
              <w:tc>
                <w:tcPr>
                  <w:tcW w:w="616" w:type="dxa"/>
                  <w:tcBorders>
                    <w:tl2br w:val="nil"/>
                    <w:tr2bl w:val="nil"/>
                  </w:tcBorders>
                  <w:vAlign w:val="center"/>
                </w:tcPr>
                <w:p w14:paraId="712A64C3">
                  <w:pPr>
                    <w:adjustRightInd w:val="0"/>
                    <w:snapToGrid w:val="0"/>
                    <w:jc w:val="center"/>
                    <w:rPr>
                      <w:rFonts w:ascii="Times New Roman" w:hAnsi="Times New Roman" w:cs="Times New Roman" w:eastAsiaTheme="minorEastAsia"/>
                      <w:color w:val="auto"/>
                      <w:kern w:val="0"/>
                      <w:sz w:val="21"/>
                      <w:szCs w:val="21"/>
                      <w:lang w:val="en-US" w:eastAsia="zh-CN" w:bidi="ar-SA"/>
                    </w:rPr>
                  </w:pPr>
                  <w:r>
                    <w:rPr>
                      <w:color w:val="auto"/>
                      <w:szCs w:val="21"/>
                    </w:rPr>
                    <w:t>HW08</w:t>
                  </w:r>
                </w:p>
              </w:tc>
              <w:tc>
                <w:tcPr>
                  <w:tcW w:w="1036" w:type="dxa"/>
                  <w:tcBorders>
                    <w:tl2br w:val="nil"/>
                    <w:tr2bl w:val="nil"/>
                  </w:tcBorders>
                  <w:vAlign w:val="center"/>
                </w:tcPr>
                <w:p w14:paraId="00E4742C">
                  <w:pPr>
                    <w:adjustRightInd w:val="0"/>
                    <w:snapToGrid w:val="0"/>
                    <w:jc w:val="center"/>
                    <w:rPr>
                      <w:rFonts w:ascii="Times New Roman" w:hAnsi="Times New Roman" w:cs="Times New Roman" w:eastAsiaTheme="minorEastAsia"/>
                      <w:color w:val="auto"/>
                      <w:kern w:val="0"/>
                      <w:sz w:val="21"/>
                      <w:szCs w:val="21"/>
                      <w:lang w:val="en-US" w:eastAsia="zh-CN" w:bidi="ar-SA"/>
                    </w:rPr>
                  </w:pPr>
                  <w:r>
                    <w:rPr>
                      <w:color w:val="auto"/>
                      <w:szCs w:val="21"/>
                    </w:rPr>
                    <w:t>900-249-08</w:t>
                  </w:r>
                </w:p>
              </w:tc>
              <w:tc>
                <w:tcPr>
                  <w:tcW w:w="711" w:type="dxa"/>
                  <w:tcBorders>
                    <w:tl2br w:val="nil"/>
                    <w:tr2bl w:val="nil"/>
                  </w:tcBorders>
                  <w:vAlign w:val="center"/>
                </w:tcPr>
                <w:p w14:paraId="215E5FD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w:t>
                  </w:r>
                  <w:r>
                    <w:rPr>
                      <w:rFonts w:hint="eastAsia" w:eastAsiaTheme="minorEastAsia"/>
                      <w:color w:val="auto"/>
                      <w:szCs w:val="21"/>
                      <w:lang w:val="en-US" w:eastAsia="zh-CN"/>
                    </w:rPr>
                    <w:t>0</w:t>
                  </w:r>
                  <w:r>
                    <w:rPr>
                      <w:rFonts w:hint="eastAsia" w:eastAsiaTheme="minorEastAsia"/>
                      <w:color w:val="auto"/>
                      <w:szCs w:val="21"/>
                    </w:rPr>
                    <w:t>6</w:t>
                  </w:r>
                </w:p>
              </w:tc>
              <w:tc>
                <w:tcPr>
                  <w:tcW w:w="562" w:type="dxa"/>
                  <w:tcBorders>
                    <w:tl2br w:val="nil"/>
                    <w:tr2bl w:val="nil"/>
                  </w:tcBorders>
                  <w:vAlign w:val="center"/>
                </w:tcPr>
                <w:p w14:paraId="0DAAED4A">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设备维修、保养</w:t>
                  </w:r>
                </w:p>
              </w:tc>
              <w:tc>
                <w:tcPr>
                  <w:tcW w:w="348" w:type="dxa"/>
                  <w:tcBorders>
                    <w:tl2br w:val="nil"/>
                    <w:tr2bl w:val="nil"/>
                  </w:tcBorders>
                  <w:vAlign w:val="center"/>
                </w:tcPr>
                <w:p w14:paraId="7A2AB549">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液态</w:t>
                  </w:r>
                </w:p>
              </w:tc>
              <w:tc>
                <w:tcPr>
                  <w:tcW w:w="442" w:type="dxa"/>
                  <w:tcBorders>
                    <w:tl2br w:val="nil"/>
                    <w:tr2bl w:val="nil"/>
                  </w:tcBorders>
                  <w:vAlign w:val="center"/>
                </w:tcPr>
                <w:p w14:paraId="48FE069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液压油</w:t>
                  </w:r>
                </w:p>
              </w:tc>
              <w:tc>
                <w:tcPr>
                  <w:tcW w:w="440" w:type="dxa"/>
                  <w:tcBorders>
                    <w:tl2br w:val="nil"/>
                    <w:tr2bl w:val="nil"/>
                  </w:tcBorders>
                  <w:vAlign w:val="center"/>
                </w:tcPr>
                <w:p w14:paraId="5655338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液压油</w:t>
                  </w:r>
                </w:p>
              </w:tc>
              <w:tc>
                <w:tcPr>
                  <w:tcW w:w="485" w:type="dxa"/>
                  <w:tcBorders>
                    <w:tl2br w:val="nil"/>
                    <w:tr2bl w:val="nil"/>
                  </w:tcBorders>
                  <w:vAlign w:val="center"/>
                </w:tcPr>
                <w:p w14:paraId="0E33344E">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不定期</w:t>
                  </w:r>
                </w:p>
              </w:tc>
              <w:tc>
                <w:tcPr>
                  <w:tcW w:w="500" w:type="dxa"/>
                  <w:tcBorders>
                    <w:tl2br w:val="nil"/>
                    <w:tr2bl w:val="nil"/>
                  </w:tcBorders>
                  <w:vAlign w:val="center"/>
                </w:tcPr>
                <w:p w14:paraId="74B73F20">
                  <w:pPr>
                    <w:jc w:val="center"/>
                    <w:rPr>
                      <w:rFonts w:ascii="Times New Roman" w:hAnsi="Times New Roman" w:cs="Times New Roman" w:eastAsiaTheme="minorEastAsia"/>
                      <w:color w:val="auto"/>
                      <w:kern w:val="2"/>
                      <w:sz w:val="21"/>
                      <w:szCs w:val="21"/>
                      <w:lang w:val="en-US" w:eastAsia="zh-CN" w:bidi="ar-SA"/>
                    </w:rPr>
                  </w:pPr>
                  <w:r>
                    <w:rPr>
                      <w:color w:val="auto"/>
                      <w:szCs w:val="21"/>
                    </w:rPr>
                    <w:t>T</w:t>
                  </w:r>
                  <w:r>
                    <w:rPr>
                      <w:rFonts w:hint="eastAsia"/>
                      <w:color w:val="auto"/>
                      <w:szCs w:val="21"/>
                    </w:rPr>
                    <w:t>，</w:t>
                  </w:r>
                  <w:r>
                    <w:rPr>
                      <w:color w:val="auto"/>
                      <w:szCs w:val="21"/>
                    </w:rPr>
                    <w:t>I</w:t>
                  </w:r>
                </w:p>
              </w:tc>
              <w:tc>
                <w:tcPr>
                  <w:tcW w:w="579" w:type="dxa"/>
                  <w:vMerge w:val="continue"/>
                  <w:tcBorders>
                    <w:tl2br w:val="nil"/>
                    <w:tr2bl w:val="nil"/>
                  </w:tcBorders>
                  <w:vAlign w:val="center"/>
                </w:tcPr>
                <w:p w14:paraId="70503A27">
                  <w:pPr>
                    <w:adjustRightInd w:val="0"/>
                    <w:snapToGrid w:val="0"/>
                    <w:jc w:val="center"/>
                    <w:rPr>
                      <w:rFonts w:eastAsiaTheme="minorEastAsia"/>
                      <w:color w:val="auto"/>
                      <w:szCs w:val="21"/>
                    </w:rPr>
                  </w:pPr>
                </w:p>
              </w:tc>
              <w:tc>
                <w:tcPr>
                  <w:tcW w:w="574" w:type="dxa"/>
                  <w:vMerge w:val="continue"/>
                  <w:tcBorders>
                    <w:tl2br w:val="nil"/>
                    <w:tr2bl w:val="nil"/>
                  </w:tcBorders>
                  <w:vAlign w:val="center"/>
                </w:tcPr>
                <w:p w14:paraId="722E8328">
                  <w:pPr>
                    <w:adjustRightInd w:val="0"/>
                    <w:snapToGrid w:val="0"/>
                    <w:jc w:val="center"/>
                    <w:rPr>
                      <w:rFonts w:eastAsiaTheme="minorEastAsia"/>
                      <w:color w:val="auto"/>
                      <w:szCs w:val="21"/>
                    </w:rPr>
                  </w:pPr>
                </w:p>
              </w:tc>
              <w:tc>
                <w:tcPr>
                  <w:tcW w:w="520" w:type="dxa"/>
                  <w:vMerge w:val="continue"/>
                  <w:tcBorders>
                    <w:tl2br w:val="nil"/>
                    <w:tr2bl w:val="nil"/>
                  </w:tcBorders>
                  <w:vAlign w:val="center"/>
                </w:tcPr>
                <w:p w14:paraId="56D9F095">
                  <w:pPr>
                    <w:adjustRightInd w:val="0"/>
                    <w:snapToGrid w:val="0"/>
                    <w:jc w:val="center"/>
                    <w:rPr>
                      <w:rFonts w:eastAsiaTheme="minorEastAsia"/>
                      <w:color w:val="auto"/>
                      <w:szCs w:val="21"/>
                    </w:rPr>
                  </w:pPr>
                </w:p>
              </w:tc>
              <w:tc>
                <w:tcPr>
                  <w:tcW w:w="397" w:type="dxa"/>
                  <w:vMerge w:val="continue"/>
                  <w:tcBorders>
                    <w:tl2br w:val="nil"/>
                    <w:tr2bl w:val="nil"/>
                  </w:tcBorders>
                  <w:vAlign w:val="center"/>
                </w:tcPr>
                <w:p w14:paraId="4B8D24B7">
                  <w:pPr>
                    <w:adjustRightInd w:val="0"/>
                    <w:snapToGrid w:val="0"/>
                    <w:jc w:val="center"/>
                    <w:rPr>
                      <w:rFonts w:eastAsiaTheme="minorEastAsia"/>
                      <w:color w:val="auto"/>
                      <w:szCs w:val="21"/>
                    </w:rPr>
                  </w:pPr>
                </w:p>
              </w:tc>
              <w:tc>
                <w:tcPr>
                  <w:tcW w:w="398" w:type="dxa"/>
                  <w:vMerge w:val="continue"/>
                  <w:tcBorders>
                    <w:tl2br w:val="nil"/>
                    <w:tr2bl w:val="nil"/>
                  </w:tcBorders>
                  <w:vAlign w:val="center"/>
                </w:tcPr>
                <w:p w14:paraId="7DA42B7D">
                  <w:pPr>
                    <w:adjustRightInd w:val="0"/>
                    <w:snapToGrid w:val="0"/>
                    <w:jc w:val="center"/>
                    <w:rPr>
                      <w:rFonts w:eastAsiaTheme="minorEastAsia"/>
                      <w:color w:val="auto"/>
                      <w:szCs w:val="21"/>
                    </w:rPr>
                  </w:pPr>
                </w:p>
              </w:tc>
            </w:tr>
            <w:tr w14:paraId="6074E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5" w:hRule="atLeast"/>
              </w:trPr>
              <w:tc>
                <w:tcPr>
                  <w:tcW w:w="267" w:type="dxa"/>
                  <w:tcBorders>
                    <w:tl2br w:val="nil"/>
                    <w:tr2bl w:val="nil"/>
                  </w:tcBorders>
                  <w:vAlign w:val="center"/>
                </w:tcPr>
                <w:p w14:paraId="2C4845A8">
                  <w:pPr>
                    <w:jc w:val="center"/>
                    <w:rPr>
                      <w:rFonts w:eastAsiaTheme="minorEastAsia"/>
                      <w:color w:val="auto"/>
                      <w:szCs w:val="21"/>
                    </w:rPr>
                  </w:pPr>
                  <w:r>
                    <w:rPr>
                      <w:rFonts w:eastAsiaTheme="minorEastAsia"/>
                      <w:color w:val="auto"/>
                      <w:szCs w:val="21"/>
                    </w:rPr>
                    <w:t>3</w:t>
                  </w:r>
                </w:p>
              </w:tc>
              <w:tc>
                <w:tcPr>
                  <w:tcW w:w="513" w:type="dxa"/>
                  <w:tcBorders>
                    <w:tl2br w:val="nil"/>
                    <w:tr2bl w:val="nil"/>
                  </w:tcBorders>
                  <w:vAlign w:val="center"/>
                </w:tcPr>
                <w:p w14:paraId="6DED47CB">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废胶桶</w:t>
                  </w:r>
                </w:p>
              </w:tc>
              <w:tc>
                <w:tcPr>
                  <w:tcW w:w="616" w:type="dxa"/>
                  <w:tcBorders>
                    <w:tl2br w:val="nil"/>
                    <w:tr2bl w:val="nil"/>
                  </w:tcBorders>
                  <w:vAlign w:val="center"/>
                </w:tcPr>
                <w:p w14:paraId="0C4C56FF">
                  <w:pPr>
                    <w:adjustRightInd w:val="0"/>
                    <w:snapToGrid w:val="0"/>
                    <w:jc w:val="center"/>
                    <w:rPr>
                      <w:rFonts w:ascii="Times New Roman" w:hAnsi="Times New Roman" w:eastAsia="宋体" w:cs="Times New Roman"/>
                      <w:color w:val="auto"/>
                      <w:kern w:val="0"/>
                      <w:sz w:val="21"/>
                      <w:szCs w:val="21"/>
                      <w:lang w:val="en-US" w:eastAsia="zh-CN" w:bidi="ar-SA"/>
                    </w:rPr>
                  </w:pPr>
                  <w:r>
                    <w:rPr>
                      <w:color w:val="auto"/>
                      <w:szCs w:val="21"/>
                    </w:rPr>
                    <w:t>HW</w:t>
                  </w:r>
                  <w:r>
                    <w:rPr>
                      <w:rFonts w:hint="eastAsia"/>
                      <w:color w:val="auto"/>
                      <w:szCs w:val="21"/>
                    </w:rPr>
                    <w:t>49</w:t>
                  </w:r>
                </w:p>
              </w:tc>
              <w:tc>
                <w:tcPr>
                  <w:tcW w:w="1036" w:type="dxa"/>
                  <w:tcBorders>
                    <w:tl2br w:val="nil"/>
                    <w:tr2bl w:val="nil"/>
                  </w:tcBorders>
                  <w:vAlign w:val="center"/>
                </w:tcPr>
                <w:p w14:paraId="6ECC97F0">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color w:val="auto"/>
                      <w:szCs w:val="21"/>
                    </w:rPr>
                    <w:t>900-041-49</w:t>
                  </w:r>
                </w:p>
              </w:tc>
              <w:tc>
                <w:tcPr>
                  <w:tcW w:w="711" w:type="dxa"/>
                  <w:tcBorders>
                    <w:tl2br w:val="nil"/>
                    <w:tr2bl w:val="nil"/>
                  </w:tcBorders>
                  <w:vAlign w:val="center"/>
                </w:tcPr>
                <w:p w14:paraId="0F2232E0">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eastAsia="zh-CN"/>
                    </w:rPr>
                    <w:t>0.103</w:t>
                  </w:r>
                </w:p>
              </w:tc>
              <w:tc>
                <w:tcPr>
                  <w:tcW w:w="562" w:type="dxa"/>
                  <w:tcBorders>
                    <w:tl2br w:val="nil"/>
                    <w:tr2bl w:val="nil"/>
                  </w:tcBorders>
                  <w:vAlign w:val="center"/>
                </w:tcPr>
                <w:p w14:paraId="0B53F742">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设备维修、保养</w:t>
                  </w:r>
                </w:p>
              </w:tc>
              <w:tc>
                <w:tcPr>
                  <w:tcW w:w="348" w:type="dxa"/>
                  <w:tcBorders>
                    <w:tl2br w:val="nil"/>
                    <w:tr2bl w:val="nil"/>
                  </w:tcBorders>
                  <w:vAlign w:val="center"/>
                </w:tcPr>
                <w:p w14:paraId="383AC833">
                  <w:pPr>
                    <w:jc w:val="center"/>
                    <w:rPr>
                      <w:rFonts w:ascii="Times New Roman" w:hAnsi="Times New Roman" w:cs="Times New Roman" w:eastAsiaTheme="minorEastAsia"/>
                      <w:color w:val="auto"/>
                      <w:kern w:val="2"/>
                      <w:sz w:val="21"/>
                      <w:szCs w:val="21"/>
                      <w:lang w:val="en-US" w:eastAsia="zh-CN" w:bidi="ar-SA"/>
                    </w:rPr>
                  </w:pPr>
                  <w:r>
                    <w:rPr>
                      <w:color w:val="auto"/>
                      <w:szCs w:val="21"/>
                    </w:rPr>
                    <w:t>固态</w:t>
                  </w:r>
                </w:p>
              </w:tc>
              <w:tc>
                <w:tcPr>
                  <w:tcW w:w="442" w:type="dxa"/>
                  <w:tcBorders>
                    <w:tl2br w:val="nil"/>
                    <w:tr2bl w:val="nil"/>
                  </w:tcBorders>
                  <w:vAlign w:val="center"/>
                </w:tcPr>
                <w:p w14:paraId="6C83A832">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液压油</w:t>
                  </w:r>
                </w:p>
              </w:tc>
              <w:tc>
                <w:tcPr>
                  <w:tcW w:w="440" w:type="dxa"/>
                  <w:tcBorders>
                    <w:tl2br w:val="nil"/>
                    <w:tr2bl w:val="nil"/>
                  </w:tcBorders>
                  <w:vAlign w:val="center"/>
                </w:tcPr>
                <w:p w14:paraId="42924E6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液压油</w:t>
                  </w:r>
                </w:p>
              </w:tc>
              <w:tc>
                <w:tcPr>
                  <w:tcW w:w="485" w:type="dxa"/>
                  <w:tcBorders>
                    <w:tl2br w:val="nil"/>
                    <w:tr2bl w:val="nil"/>
                  </w:tcBorders>
                  <w:vAlign w:val="center"/>
                </w:tcPr>
                <w:p w14:paraId="42EB2B95">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不定期</w:t>
                  </w:r>
                </w:p>
              </w:tc>
              <w:tc>
                <w:tcPr>
                  <w:tcW w:w="500" w:type="dxa"/>
                  <w:tcBorders>
                    <w:tl2br w:val="nil"/>
                    <w:tr2bl w:val="nil"/>
                  </w:tcBorders>
                  <w:vAlign w:val="center"/>
                </w:tcPr>
                <w:p w14:paraId="289B4441">
                  <w:pPr>
                    <w:jc w:val="center"/>
                    <w:rPr>
                      <w:rFonts w:ascii="Times New Roman" w:hAnsi="Times New Roman" w:eastAsia="宋体" w:cs="Times New Roman"/>
                      <w:color w:val="auto"/>
                      <w:kern w:val="2"/>
                      <w:sz w:val="21"/>
                      <w:szCs w:val="21"/>
                      <w:lang w:val="en-US" w:eastAsia="zh-CN" w:bidi="ar-SA"/>
                    </w:rPr>
                  </w:pPr>
                  <w:r>
                    <w:rPr>
                      <w:color w:val="auto"/>
                      <w:szCs w:val="21"/>
                    </w:rPr>
                    <w:t>T，I</w:t>
                  </w:r>
                </w:p>
              </w:tc>
              <w:tc>
                <w:tcPr>
                  <w:tcW w:w="579" w:type="dxa"/>
                  <w:vMerge w:val="continue"/>
                  <w:tcBorders>
                    <w:tl2br w:val="nil"/>
                    <w:tr2bl w:val="nil"/>
                  </w:tcBorders>
                  <w:vAlign w:val="center"/>
                </w:tcPr>
                <w:p w14:paraId="54BD6189">
                  <w:pPr>
                    <w:adjustRightInd w:val="0"/>
                    <w:snapToGrid w:val="0"/>
                    <w:jc w:val="center"/>
                    <w:rPr>
                      <w:rFonts w:eastAsiaTheme="minorEastAsia"/>
                      <w:color w:val="auto"/>
                      <w:szCs w:val="21"/>
                    </w:rPr>
                  </w:pPr>
                </w:p>
              </w:tc>
              <w:tc>
                <w:tcPr>
                  <w:tcW w:w="574" w:type="dxa"/>
                  <w:vMerge w:val="continue"/>
                  <w:tcBorders>
                    <w:tl2br w:val="nil"/>
                    <w:tr2bl w:val="nil"/>
                  </w:tcBorders>
                  <w:vAlign w:val="center"/>
                </w:tcPr>
                <w:p w14:paraId="6365C8DA">
                  <w:pPr>
                    <w:adjustRightInd w:val="0"/>
                    <w:snapToGrid w:val="0"/>
                    <w:jc w:val="center"/>
                    <w:rPr>
                      <w:rFonts w:eastAsiaTheme="minorEastAsia"/>
                      <w:color w:val="auto"/>
                      <w:szCs w:val="21"/>
                    </w:rPr>
                  </w:pPr>
                </w:p>
              </w:tc>
              <w:tc>
                <w:tcPr>
                  <w:tcW w:w="520" w:type="dxa"/>
                  <w:vMerge w:val="continue"/>
                  <w:tcBorders>
                    <w:tl2br w:val="nil"/>
                    <w:tr2bl w:val="nil"/>
                  </w:tcBorders>
                  <w:vAlign w:val="center"/>
                </w:tcPr>
                <w:p w14:paraId="7F0DEE01">
                  <w:pPr>
                    <w:adjustRightInd w:val="0"/>
                    <w:snapToGrid w:val="0"/>
                    <w:jc w:val="center"/>
                    <w:rPr>
                      <w:rFonts w:eastAsiaTheme="minorEastAsia"/>
                      <w:color w:val="auto"/>
                      <w:szCs w:val="21"/>
                    </w:rPr>
                  </w:pPr>
                </w:p>
              </w:tc>
              <w:tc>
                <w:tcPr>
                  <w:tcW w:w="397" w:type="dxa"/>
                  <w:vMerge w:val="continue"/>
                  <w:tcBorders>
                    <w:tl2br w:val="nil"/>
                    <w:tr2bl w:val="nil"/>
                  </w:tcBorders>
                  <w:vAlign w:val="center"/>
                </w:tcPr>
                <w:p w14:paraId="2D8702D9">
                  <w:pPr>
                    <w:adjustRightInd w:val="0"/>
                    <w:snapToGrid w:val="0"/>
                    <w:jc w:val="center"/>
                    <w:rPr>
                      <w:rFonts w:eastAsiaTheme="minorEastAsia"/>
                      <w:color w:val="auto"/>
                      <w:szCs w:val="21"/>
                    </w:rPr>
                  </w:pPr>
                </w:p>
              </w:tc>
              <w:tc>
                <w:tcPr>
                  <w:tcW w:w="398" w:type="dxa"/>
                  <w:vMerge w:val="continue"/>
                  <w:tcBorders>
                    <w:tl2br w:val="nil"/>
                    <w:tr2bl w:val="nil"/>
                  </w:tcBorders>
                  <w:vAlign w:val="center"/>
                </w:tcPr>
                <w:p w14:paraId="588ACA3B">
                  <w:pPr>
                    <w:adjustRightInd w:val="0"/>
                    <w:snapToGrid w:val="0"/>
                    <w:jc w:val="center"/>
                    <w:rPr>
                      <w:rFonts w:eastAsiaTheme="minorEastAsia"/>
                      <w:color w:val="auto"/>
                      <w:szCs w:val="21"/>
                    </w:rPr>
                  </w:pPr>
                </w:p>
              </w:tc>
            </w:tr>
            <w:tr w14:paraId="48B9B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trPr>
              <w:tc>
                <w:tcPr>
                  <w:tcW w:w="267" w:type="dxa"/>
                  <w:tcBorders>
                    <w:tl2br w:val="nil"/>
                    <w:tr2bl w:val="nil"/>
                  </w:tcBorders>
                  <w:vAlign w:val="center"/>
                </w:tcPr>
                <w:p w14:paraId="78CCF883">
                  <w:pPr>
                    <w:jc w:val="center"/>
                    <w:rPr>
                      <w:rFonts w:eastAsiaTheme="minorEastAsia"/>
                      <w:color w:val="auto"/>
                      <w:szCs w:val="21"/>
                    </w:rPr>
                  </w:pPr>
                  <w:r>
                    <w:rPr>
                      <w:rFonts w:hint="eastAsia" w:eastAsiaTheme="minorEastAsia"/>
                      <w:color w:val="auto"/>
                      <w:szCs w:val="21"/>
                    </w:rPr>
                    <w:t>4</w:t>
                  </w:r>
                </w:p>
              </w:tc>
              <w:tc>
                <w:tcPr>
                  <w:tcW w:w="513" w:type="dxa"/>
                  <w:tcBorders>
                    <w:tl2br w:val="nil"/>
                    <w:tr2bl w:val="nil"/>
                  </w:tcBorders>
                  <w:vAlign w:val="center"/>
                </w:tcPr>
                <w:p w14:paraId="72A6810D">
                  <w:pPr>
                    <w:adjustRightInd w:val="0"/>
                    <w:snapToGrid w:val="0"/>
                    <w:jc w:val="center"/>
                    <w:rPr>
                      <w:rFonts w:ascii="Times New Roman" w:hAnsi="Times New Roman" w:cs="Times New Roman" w:eastAsiaTheme="minorEastAsia"/>
                      <w:color w:val="auto"/>
                      <w:kern w:val="2"/>
                      <w:sz w:val="21"/>
                      <w:szCs w:val="21"/>
                      <w:lang w:val="en-US" w:eastAsia="zh-CN" w:bidi="ar-SA"/>
                    </w:rPr>
                  </w:pPr>
                  <w:r>
                    <w:rPr>
                      <w:color w:val="auto"/>
                      <w:szCs w:val="21"/>
                    </w:rPr>
                    <w:t>含油抹布和手套</w:t>
                  </w:r>
                </w:p>
              </w:tc>
              <w:tc>
                <w:tcPr>
                  <w:tcW w:w="616" w:type="dxa"/>
                  <w:tcBorders>
                    <w:tl2br w:val="nil"/>
                    <w:tr2bl w:val="nil"/>
                  </w:tcBorders>
                  <w:vAlign w:val="center"/>
                </w:tcPr>
                <w:p w14:paraId="50CAE3AA">
                  <w:pPr>
                    <w:adjustRightInd w:val="0"/>
                    <w:snapToGrid w:val="0"/>
                    <w:jc w:val="center"/>
                    <w:rPr>
                      <w:rFonts w:ascii="Times New Roman" w:hAnsi="Times New Roman" w:cs="Times New Roman" w:eastAsiaTheme="minorEastAsia"/>
                      <w:color w:val="auto"/>
                      <w:kern w:val="0"/>
                      <w:sz w:val="21"/>
                      <w:szCs w:val="21"/>
                      <w:lang w:val="en-US" w:eastAsia="zh-CN" w:bidi="ar-SA"/>
                    </w:rPr>
                  </w:pPr>
                  <w:r>
                    <w:rPr>
                      <w:color w:val="auto"/>
                      <w:szCs w:val="21"/>
                    </w:rPr>
                    <w:t>HW</w:t>
                  </w:r>
                  <w:r>
                    <w:rPr>
                      <w:rFonts w:hint="eastAsia"/>
                      <w:color w:val="auto"/>
                      <w:szCs w:val="21"/>
                    </w:rPr>
                    <w:t>4</w:t>
                  </w:r>
                  <w:r>
                    <w:rPr>
                      <w:color w:val="auto"/>
                      <w:szCs w:val="21"/>
                    </w:rPr>
                    <w:t>9</w:t>
                  </w:r>
                </w:p>
              </w:tc>
              <w:tc>
                <w:tcPr>
                  <w:tcW w:w="1036" w:type="dxa"/>
                  <w:tcBorders>
                    <w:tl2br w:val="nil"/>
                    <w:tr2bl w:val="nil"/>
                  </w:tcBorders>
                  <w:vAlign w:val="center"/>
                </w:tcPr>
                <w:p w14:paraId="59B18492">
                  <w:pPr>
                    <w:adjustRightInd w:val="0"/>
                    <w:snapToGrid w:val="0"/>
                    <w:jc w:val="center"/>
                    <w:rPr>
                      <w:rFonts w:ascii="Times New Roman" w:hAnsi="Times New Roman" w:cs="Times New Roman" w:eastAsiaTheme="minorEastAsia"/>
                      <w:bCs/>
                      <w:color w:val="auto"/>
                      <w:kern w:val="0"/>
                      <w:sz w:val="21"/>
                      <w:szCs w:val="21"/>
                      <w:lang w:val="en-US" w:eastAsia="zh-CN" w:bidi="en-US"/>
                    </w:rPr>
                  </w:pPr>
                  <w:r>
                    <w:rPr>
                      <w:color w:val="auto"/>
                      <w:szCs w:val="21"/>
                    </w:rPr>
                    <w:t>900-041-49</w:t>
                  </w:r>
                </w:p>
              </w:tc>
              <w:tc>
                <w:tcPr>
                  <w:tcW w:w="711" w:type="dxa"/>
                  <w:tcBorders>
                    <w:tl2br w:val="nil"/>
                    <w:tr2bl w:val="nil"/>
                  </w:tcBorders>
                  <w:vAlign w:val="center"/>
                </w:tcPr>
                <w:p w14:paraId="021E0375">
                  <w:pPr>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0.002</w:t>
                  </w:r>
                </w:p>
              </w:tc>
              <w:tc>
                <w:tcPr>
                  <w:tcW w:w="562" w:type="dxa"/>
                  <w:tcBorders>
                    <w:tl2br w:val="nil"/>
                    <w:tr2bl w:val="nil"/>
                  </w:tcBorders>
                  <w:vAlign w:val="center"/>
                </w:tcPr>
                <w:p w14:paraId="6022A792">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设备保养</w:t>
                  </w:r>
                </w:p>
              </w:tc>
              <w:tc>
                <w:tcPr>
                  <w:tcW w:w="348" w:type="dxa"/>
                  <w:tcBorders>
                    <w:tl2br w:val="nil"/>
                    <w:tr2bl w:val="nil"/>
                  </w:tcBorders>
                  <w:vAlign w:val="center"/>
                </w:tcPr>
                <w:p w14:paraId="5CBBD545">
                  <w:pPr>
                    <w:jc w:val="center"/>
                    <w:rPr>
                      <w:rFonts w:ascii="Times New Roman" w:hAnsi="Times New Roman" w:eastAsia="宋体" w:cs="Times New Roman"/>
                      <w:color w:val="auto"/>
                      <w:kern w:val="2"/>
                      <w:sz w:val="21"/>
                      <w:szCs w:val="21"/>
                      <w:lang w:val="en-US" w:eastAsia="zh-CN" w:bidi="ar-SA"/>
                    </w:rPr>
                  </w:pPr>
                  <w:r>
                    <w:rPr>
                      <w:color w:val="auto"/>
                      <w:szCs w:val="21"/>
                    </w:rPr>
                    <w:t>固态</w:t>
                  </w:r>
                </w:p>
              </w:tc>
              <w:tc>
                <w:tcPr>
                  <w:tcW w:w="442" w:type="dxa"/>
                  <w:tcBorders>
                    <w:tl2br w:val="nil"/>
                    <w:tr2bl w:val="nil"/>
                  </w:tcBorders>
                  <w:vAlign w:val="center"/>
                </w:tcPr>
                <w:p w14:paraId="14C5BFD4">
                  <w:pPr>
                    <w:jc w:val="center"/>
                    <w:rPr>
                      <w:rFonts w:ascii="Times New Roman" w:hAnsi="Times New Roman" w:cs="Times New Roman" w:eastAsiaTheme="minorEastAsia"/>
                      <w:color w:val="auto"/>
                      <w:kern w:val="2"/>
                      <w:sz w:val="21"/>
                      <w:szCs w:val="21"/>
                      <w:lang w:val="en-US" w:eastAsia="zh-CN" w:bidi="ar-SA"/>
                    </w:rPr>
                  </w:pPr>
                  <w:r>
                    <w:rPr>
                      <w:color w:val="auto"/>
                      <w:szCs w:val="21"/>
                    </w:rPr>
                    <w:t>油类物质</w:t>
                  </w:r>
                </w:p>
              </w:tc>
              <w:tc>
                <w:tcPr>
                  <w:tcW w:w="440" w:type="dxa"/>
                  <w:tcBorders>
                    <w:tl2br w:val="nil"/>
                    <w:tr2bl w:val="nil"/>
                  </w:tcBorders>
                  <w:vAlign w:val="center"/>
                </w:tcPr>
                <w:p w14:paraId="68BE4F19">
                  <w:pPr>
                    <w:jc w:val="center"/>
                    <w:rPr>
                      <w:rFonts w:ascii="Times New Roman" w:hAnsi="Times New Roman" w:cs="Times New Roman" w:eastAsiaTheme="minorEastAsia"/>
                      <w:color w:val="auto"/>
                      <w:kern w:val="2"/>
                      <w:sz w:val="21"/>
                      <w:szCs w:val="21"/>
                      <w:lang w:val="en-US" w:eastAsia="zh-CN" w:bidi="ar-SA"/>
                    </w:rPr>
                  </w:pPr>
                  <w:r>
                    <w:rPr>
                      <w:color w:val="auto"/>
                      <w:szCs w:val="21"/>
                    </w:rPr>
                    <w:t>油类物质</w:t>
                  </w:r>
                </w:p>
              </w:tc>
              <w:tc>
                <w:tcPr>
                  <w:tcW w:w="485" w:type="dxa"/>
                  <w:tcBorders>
                    <w:tl2br w:val="nil"/>
                    <w:tr2bl w:val="nil"/>
                  </w:tcBorders>
                  <w:vAlign w:val="center"/>
                </w:tcPr>
                <w:p w14:paraId="4E911955">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不定期</w:t>
                  </w:r>
                </w:p>
              </w:tc>
              <w:tc>
                <w:tcPr>
                  <w:tcW w:w="500" w:type="dxa"/>
                  <w:tcBorders>
                    <w:tl2br w:val="nil"/>
                    <w:tr2bl w:val="nil"/>
                  </w:tcBorders>
                  <w:vAlign w:val="center"/>
                </w:tcPr>
                <w:p w14:paraId="659464D5">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T/In</w:t>
                  </w:r>
                </w:p>
              </w:tc>
              <w:tc>
                <w:tcPr>
                  <w:tcW w:w="579" w:type="dxa"/>
                  <w:vMerge w:val="continue"/>
                  <w:tcBorders>
                    <w:tl2br w:val="nil"/>
                    <w:tr2bl w:val="nil"/>
                  </w:tcBorders>
                  <w:vAlign w:val="center"/>
                </w:tcPr>
                <w:p w14:paraId="286B1B59">
                  <w:pPr>
                    <w:adjustRightInd w:val="0"/>
                    <w:snapToGrid w:val="0"/>
                    <w:jc w:val="center"/>
                    <w:rPr>
                      <w:rFonts w:eastAsiaTheme="minorEastAsia"/>
                      <w:color w:val="auto"/>
                      <w:szCs w:val="21"/>
                    </w:rPr>
                  </w:pPr>
                </w:p>
              </w:tc>
              <w:tc>
                <w:tcPr>
                  <w:tcW w:w="574" w:type="dxa"/>
                  <w:vMerge w:val="continue"/>
                  <w:tcBorders>
                    <w:tl2br w:val="nil"/>
                    <w:tr2bl w:val="nil"/>
                  </w:tcBorders>
                  <w:vAlign w:val="center"/>
                </w:tcPr>
                <w:p w14:paraId="2354D28E">
                  <w:pPr>
                    <w:adjustRightInd w:val="0"/>
                    <w:snapToGrid w:val="0"/>
                    <w:jc w:val="center"/>
                    <w:rPr>
                      <w:rFonts w:eastAsiaTheme="minorEastAsia"/>
                      <w:color w:val="auto"/>
                      <w:szCs w:val="21"/>
                    </w:rPr>
                  </w:pPr>
                </w:p>
              </w:tc>
              <w:tc>
                <w:tcPr>
                  <w:tcW w:w="520" w:type="dxa"/>
                  <w:vMerge w:val="continue"/>
                  <w:tcBorders>
                    <w:tl2br w:val="nil"/>
                    <w:tr2bl w:val="nil"/>
                  </w:tcBorders>
                  <w:vAlign w:val="center"/>
                </w:tcPr>
                <w:p w14:paraId="27CB02B3">
                  <w:pPr>
                    <w:adjustRightInd w:val="0"/>
                    <w:snapToGrid w:val="0"/>
                    <w:jc w:val="center"/>
                    <w:rPr>
                      <w:rFonts w:eastAsiaTheme="minorEastAsia"/>
                      <w:color w:val="auto"/>
                      <w:szCs w:val="21"/>
                    </w:rPr>
                  </w:pPr>
                </w:p>
              </w:tc>
              <w:tc>
                <w:tcPr>
                  <w:tcW w:w="397" w:type="dxa"/>
                  <w:vMerge w:val="continue"/>
                  <w:tcBorders>
                    <w:tl2br w:val="nil"/>
                    <w:tr2bl w:val="nil"/>
                  </w:tcBorders>
                  <w:vAlign w:val="center"/>
                </w:tcPr>
                <w:p w14:paraId="164DF90F">
                  <w:pPr>
                    <w:adjustRightInd w:val="0"/>
                    <w:snapToGrid w:val="0"/>
                    <w:jc w:val="center"/>
                    <w:rPr>
                      <w:rFonts w:eastAsiaTheme="minorEastAsia"/>
                      <w:color w:val="auto"/>
                      <w:szCs w:val="21"/>
                    </w:rPr>
                  </w:pPr>
                </w:p>
              </w:tc>
              <w:tc>
                <w:tcPr>
                  <w:tcW w:w="398" w:type="dxa"/>
                  <w:vMerge w:val="continue"/>
                  <w:tcBorders>
                    <w:tl2br w:val="nil"/>
                    <w:tr2bl w:val="nil"/>
                  </w:tcBorders>
                  <w:vAlign w:val="center"/>
                </w:tcPr>
                <w:p w14:paraId="77D3333C">
                  <w:pPr>
                    <w:adjustRightInd w:val="0"/>
                    <w:snapToGrid w:val="0"/>
                    <w:jc w:val="center"/>
                    <w:rPr>
                      <w:rFonts w:eastAsiaTheme="minorEastAsia"/>
                      <w:color w:val="auto"/>
                      <w:szCs w:val="21"/>
                    </w:rPr>
                  </w:pPr>
                </w:p>
              </w:tc>
            </w:tr>
            <w:tr w14:paraId="3D5AB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trPr>
              <w:tc>
                <w:tcPr>
                  <w:tcW w:w="267" w:type="dxa"/>
                  <w:tcBorders>
                    <w:tl2br w:val="nil"/>
                    <w:tr2bl w:val="nil"/>
                  </w:tcBorders>
                  <w:vAlign w:val="center"/>
                </w:tcPr>
                <w:p w14:paraId="0D17CF57">
                  <w:pPr>
                    <w:jc w:val="center"/>
                    <w:rPr>
                      <w:rFonts w:hint="eastAsia" w:eastAsiaTheme="minorEastAsia"/>
                      <w:color w:val="auto"/>
                      <w:szCs w:val="21"/>
                      <w:lang w:val="en-US" w:eastAsia="zh-CN"/>
                    </w:rPr>
                  </w:pPr>
                  <w:r>
                    <w:rPr>
                      <w:rFonts w:hint="eastAsia" w:eastAsiaTheme="minorEastAsia"/>
                      <w:color w:val="auto"/>
                      <w:szCs w:val="21"/>
                      <w:lang w:val="en-US" w:eastAsia="zh-CN"/>
                    </w:rPr>
                    <w:t>5</w:t>
                  </w:r>
                </w:p>
              </w:tc>
              <w:tc>
                <w:tcPr>
                  <w:tcW w:w="513" w:type="dxa"/>
                  <w:tcBorders>
                    <w:tl2br w:val="nil"/>
                    <w:tr2bl w:val="nil"/>
                  </w:tcBorders>
                  <w:vAlign w:val="center"/>
                </w:tcPr>
                <w:p w14:paraId="5471EA68">
                  <w:pPr>
                    <w:adjustRightInd w:val="0"/>
                    <w:snapToGrid w:val="0"/>
                    <w:jc w:val="center"/>
                    <w:rPr>
                      <w:rFonts w:hint="eastAsia" w:eastAsia="宋体"/>
                      <w:color w:val="auto"/>
                      <w:szCs w:val="21"/>
                      <w:lang w:eastAsia="zh-CN"/>
                    </w:rPr>
                  </w:pPr>
                  <w:r>
                    <w:rPr>
                      <w:rFonts w:hint="eastAsia"/>
                      <w:color w:val="auto"/>
                      <w:szCs w:val="21"/>
                      <w:lang w:eastAsia="zh-CN"/>
                    </w:rPr>
                    <w:t>清洗废水</w:t>
                  </w:r>
                </w:p>
              </w:tc>
              <w:tc>
                <w:tcPr>
                  <w:tcW w:w="616" w:type="dxa"/>
                  <w:tcBorders>
                    <w:tl2br w:val="nil"/>
                    <w:tr2bl w:val="nil"/>
                  </w:tcBorders>
                  <w:vAlign w:val="center"/>
                </w:tcPr>
                <w:p w14:paraId="700757A3">
                  <w:pPr>
                    <w:adjustRightInd w:val="0"/>
                    <w:snapToGrid w:val="0"/>
                    <w:jc w:val="center"/>
                    <w:rPr>
                      <w:rFonts w:hint="default" w:eastAsia="宋体"/>
                      <w:color w:val="auto"/>
                      <w:szCs w:val="21"/>
                      <w:lang w:val="en-US" w:eastAsia="zh-CN"/>
                    </w:rPr>
                  </w:pPr>
                  <w:r>
                    <w:rPr>
                      <w:rFonts w:hint="eastAsia"/>
                      <w:color w:val="auto"/>
                      <w:szCs w:val="21"/>
                      <w:lang w:val="en-US" w:eastAsia="zh-CN"/>
                    </w:rPr>
                    <w:t>HW49</w:t>
                  </w:r>
                </w:p>
              </w:tc>
              <w:tc>
                <w:tcPr>
                  <w:tcW w:w="1036" w:type="dxa"/>
                  <w:tcBorders>
                    <w:tl2br w:val="nil"/>
                    <w:tr2bl w:val="nil"/>
                  </w:tcBorders>
                  <w:vAlign w:val="center"/>
                </w:tcPr>
                <w:p w14:paraId="7C35C844">
                  <w:pPr>
                    <w:adjustRightInd w:val="0"/>
                    <w:snapToGrid w:val="0"/>
                    <w:jc w:val="center"/>
                    <w:rPr>
                      <w:rFonts w:hint="default" w:eastAsia="宋体"/>
                      <w:color w:val="auto"/>
                      <w:szCs w:val="21"/>
                      <w:lang w:val="en-US" w:eastAsia="zh-CN"/>
                    </w:rPr>
                  </w:pPr>
                  <w:r>
                    <w:rPr>
                      <w:rFonts w:hint="eastAsia"/>
                      <w:color w:val="auto"/>
                      <w:szCs w:val="21"/>
                      <w:lang w:val="en-US" w:eastAsia="zh-CN"/>
                    </w:rPr>
                    <w:t>900-047-49</w:t>
                  </w:r>
                </w:p>
              </w:tc>
              <w:tc>
                <w:tcPr>
                  <w:tcW w:w="711" w:type="dxa"/>
                  <w:tcBorders>
                    <w:tl2br w:val="nil"/>
                    <w:tr2bl w:val="nil"/>
                  </w:tcBorders>
                  <w:vAlign w:val="center"/>
                </w:tcPr>
                <w:p w14:paraId="28BAA3E8">
                  <w:pPr>
                    <w:jc w:val="center"/>
                    <w:rPr>
                      <w:rFonts w:hint="default" w:eastAsiaTheme="minorEastAsia"/>
                      <w:color w:val="auto"/>
                      <w:szCs w:val="21"/>
                      <w:lang w:val="en-US" w:eastAsia="zh-CN"/>
                    </w:rPr>
                  </w:pPr>
                  <w:r>
                    <w:rPr>
                      <w:rFonts w:hint="eastAsia" w:eastAsiaTheme="minorEastAsia"/>
                      <w:color w:val="auto"/>
                      <w:szCs w:val="21"/>
                      <w:lang w:val="en-US" w:eastAsia="zh-CN"/>
                    </w:rPr>
                    <w:t>9.6</w:t>
                  </w:r>
                </w:p>
              </w:tc>
              <w:tc>
                <w:tcPr>
                  <w:tcW w:w="562" w:type="dxa"/>
                  <w:tcBorders>
                    <w:tl2br w:val="nil"/>
                    <w:tr2bl w:val="nil"/>
                  </w:tcBorders>
                  <w:vAlign w:val="center"/>
                </w:tcPr>
                <w:p w14:paraId="71F09246">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设备保养</w:t>
                  </w:r>
                </w:p>
              </w:tc>
              <w:tc>
                <w:tcPr>
                  <w:tcW w:w="348" w:type="dxa"/>
                  <w:tcBorders>
                    <w:tl2br w:val="nil"/>
                    <w:tr2bl w:val="nil"/>
                  </w:tcBorders>
                  <w:vAlign w:val="center"/>
                </w:tcPr>
                <w:p w14:paraId="2FE61EE7">
                  <w:pPr>
                    <w:jc w:val="center"/>
                    <w:rPr>
                      <w:rFonts w:ascii="Times New Roman" w:hAnsi="Times New Roman" w:eastAsia="宋体" w:cs="Times New Roman"/>
                      <w:color w:val="auto"/>
                      <w:kern w:val="2"/>
                      <w:sz w:val="21"/>
                      <w:szCs w:val="21"/>
                      <w:lang w:val="en-US" w:eastAsia="zh-CN" w:bidi="ar-SA"/>
                    </w:rPr>
                  </w:pPr>
                  <w:r>
                    <w:rPr>
                      <w:rFonts w:hint="eastAsia"/>
                      <w:color w:val="auto"/>
                      <w:szCs w:val="21"/>
                      <w:lang w:eastAsia="zh-CN"/>
                    </w:rPr>
                    <w:t>液</w:t>
                  </w:r>
                  <w:r>
                    <w:rPr>
                      <w:color w:val="auto"/>
                      <w:szCs w:val="21"/>
                    </w:rPr>
                    <w:t>态</w:t>
                  </w:r>
                </w:p>
              </w:tc>
              <w:tc>
                <w:tcPr>
                  <w:tcW w:w="442" w:type="dxa"/>
                  <w:tcBorders>
                    <w:tl2br w:val="nil"/>
                    <w:tr2bl w:val="nil"/>
                  </w:tcBorders>
                  <w:vAlign w:val="center"/>
                </w:tcPr>
                <w:p w14:paraId="7A339A32">
                  <w:pPr>
                    <w:jc w:val="center"/>
                    <w:rPr>
                      <w:rFonts w:hint="eastAsia" w:eastAsia="宋体"/>
                      <w:color w:val="auto"/>
                      <w:szCs w:val="21"/>
                      <w:lang w:eastAsia="zh-CN"/>
                    </w:rPr>
                  </w:pPr>
                  <w:r>
                    <w:rPr>
                      <w:rFonts w:hint="eastAsia"/>
                      <w:color w:val="auto"/>
                      <w:szCs w:val="21"/>
                      <w:lang w:eastAsia="zh-CN"/>
                    </w:rPr>
                    <w:t>胶</w:t>
                  </w:r>
                </w:p>
              </w:tc>
              <w:tc>
                <w:tcPr>
                  <w:tcW w:w="440" w:type="dxa"/>
                  <w:tcBorders>
                    <w:tl2br w:val="nil"/>
                    <w:tr2bl w:val="nil"/>
                  </w:tcBorders>
                  <w:vAlign w:val="center"/>
                </w:tcPr>
                <w:p w14:paraId="2F197C66">
                  <w:pPr>
                    <w:jc w:val="center"/>
                    <w:rPr>
                      <w:color w:val="auto"/>
                      <w:szCs w:val="21"/>
                    </w:rPr>
                  </w:pPr>
                  <w:r>
                    <w:rPr>
                      <w:rFonts w:hint="eastAsia"/>
                      <w:color w:val="auto"/>
                      <w:szCs w:val="21"/>
                      <w:lang w:eastAsia="zh-CN"/>
                    </w:rPr>
                    <w:t>胶</w:t>
                  </w:r>
                </w:p>
              </w:tc>
              <w:tc>
                <w:tcPr>
                  <w:tcW w:w="485" w:type="dxa"/>
                  <w:tcBorders>
                    <w:tl2br w:val="nil"/>
                    <w:tr2bl w:val="nil"/>
                  </w:tcBorders>
                  <w:vAlign w:val="center"/>
                </w:tcPr>
                <w:p w14:paraId="5EEFC899">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不定期</w:t>
                  </w:r>
                </w:p>
              </w:tc>
              <w:tc>
                <w:tcPr>
                  <w:tcW w:w="500" w:type="dxa"/>
                  <w:tcBorders>
                    <w:tl2br w:val="nil"/>
                    <w:tr2bl w:val="nil"/>
                  </w:tcBorders>
                  <w:vAlign w:val="center"/>
                </w:tcPr>
                <w:p w14:paraId="02582CA5">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T/In</w:t>
                  </w:r>
                </w:p>
              </w:tc>
              <w:tc>
                <w:tcPr>
                  <w:tcW w:w="579" w:type="dxa"/>
                  <w:vMerge w:val="continue"/>
                  <w:tcBorders>
                    <w:tl2br w:val="nil"/>
                    <w:tr2bl w:val="nil"/>
                  </w:tcBorders>
                  <w:vAlign w:val="center"/>
                </w:tcPr>
                <w:p w14:paraId="25EB5860">
                  <w:pPr>
                    <w:adjustRightInd w:val="0"/>
                    <w:snapToGrid w:val="0"/>
                    <w:jc w:val="center"/>
                    <w:rPr>
                      <w:rFonts w:eastAsiaTheme="minorEastAsia"/>
                      <w:color w:val="auto"/>
                      <w:szCs w:val="21"/>
                    </w:rPr>
                  </w:pPr>
                </w:p>
              </w:tc>
              <w:tc>
                <w:tcPr>
                  <w:tcW w:w="574" w:type="dxa"/>
                  <w:vMerge w:val="continue"/>
                  <w:tcBorders>
                    <w:tl2br w:val="nil"/>
                    <w:tr2bl w:val="nil"/>
                  </w:tcBorders>
                  <w:vAlign w:val="center"/>
                </w:tcPr>
                <w:p w14:paraId="669ED775">
                  <w:pPr>
                    <w:adjustRightInd w:val="0"/>
                    <w:snapToGrid w:val="0"/>
                    <w:jc w:val="center"/>
                    <w:rPr>
                      <w:rFonts w:eastAsiaTheme="minorEastAsia"/>
                      <w:color w:val="auto"/>
                      <w:szCs w:val="21"/>
                    </w:rPr>
                  </w:pPr>
                </w:p>
              </w:tc>
              <w:tc>
                <w:tcPr>
                  <w:tcW w:w="520" w:type="dxa"/>
                  <w:vMerge w:val="continue"/>
                  <w:tcBorders>
                    <w:tl2br w:val="nil"/>
                    <w:tr2bl w:val="nil"/>
                  </w:tcBorders>
                  <w:vAlign w:val="center"/>
                </w:tcPr>
                <w:p w14:paraId="519E8D22">
                  <w:pPr>
                    <w:adjustRightInd w:val="0"/>
                    <w:snapToGrid w:val="0"/>
                    <w:jc w:val="center"/>
                    <w:rPr>
                      <w:rFonts w:eastAsiaTheme="minorEastAsia"/>
                      <w:color w:val="auto"/>
                      <w:szCs w:val="21"/>
                    </w:rPr>
                  </w:pPr>
                </w:p>
              </w:tc>
              <w:tc>
                <w:tcPr>
                  <w:tcW w:w="397" w:type="dxa"/>
                  <w:vMerge w:val="continue"/>
                  <w:tcBorders>
                    <w:tl2br w:val="nil"/>
                    <w:tr2bl w:val="nil"/>
                  </w:tcBorders>
                  <w:vAlign w:val="center"/>
                </w:tcPr>
                <w:p w14:paraId="0B1CECC3">
                  <w:pPr>
                    <w:adjustRightInd w:val="0"/>
                    <w:snapToGrid w:val="0"/>
                    <w:jc w:val="center"/>
                    <w:rPr>
                      <w:rFonts w:eastAsiaTheme="minorEastAsia"/>
                      <w:color w:val="auto"/>
                      <w:szCs w:val="21"/>
                    </w:rPr>
                  </w:pPr>
                </w:p>
              </w:tc>
              <w:tc>
                <w:tcPr>
                  <w:tcW w:w="398" w:type="dxa"/>
                  <w:vMerge w:val="continue"/>
                  <w:tcBorders>
                    <w:tl2br w:val="nil"/>
                    <w:tr2bl w:val="nil"/>
                  </w:tcBorders>
                  <w:vAlign w:val="center"/>
                </w:tcPr>
                <w:p w14:paraId="2F5C47BA">
                  <w:pPr>
                    <w:adjustRightInd w:val="0"/>
                    <w:snapToGrid w:val="0"/>
                    <w:jc w:val="center"/>
                    <w:rPr>
                      <w:rFonts w:eastAsiaTheme="minorEastAsia"/>
                      <w:color w:val="auto"/>
                      <w:szCs w:val="21"/>
                    </w:rPr>
                  </w:pPr>
                </w:p>
              </w:tc>
            </w:tr>
            <w:tr w14:paraId="35A1E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trPr>
              <w:tc>
                <w:tcPr>
                  <w:tcW w:w="267" w:type="dxa"/>
                  <w:tcBorders>
                    <w:tl2br w:val="nil"/>
                    <w:tr2bl w:val="nil"/>
                  </w:tcBorders>
                  <w:vAlign w:val="center"/>
                </w:tcPr>
                <w:p w14:paraId="24A27EBC">
                  <w:pPr>
                    <w:jc w:val="center"/>
                    <w:rPr>
                      <w:rFonts w:hint="default" w:eastAsiaTheme="minorEastAsia"/>
                      <w:color w:val="auto"/>
                      <w:szCs w:val="21"/>
                      <w:lang w:val="en-US" w:eastAsia="zh-CN"/>
                    </w:rPr>
                  </w:pPr>
                  <w:r>
                    <w:rPr>
                      <w:rFonts w:hint="eastAsia" w:eastAsiaTheme="minorEastAsia"/>
                      <w:color w:val="auto"/>
                      <w:szCs w:val="21"/>
                      <w:lang w:val="en-US" w:eastAsia="zh-CN"/>
                    </w:rPr>
                    <w:t>6</w:t>
                  </w:r>
                </w:p>
              </w:tc>
              <w:tc>
                <w:tcPr>
                  <w:tcW w:w="513" w:type="dxa"/>
                  <w:tcBorders>
                    <w:tl2br w:val="nil"/>
                    <w:tr2bl w:val="nil"/>
                  </w:tcBorders>
                  <w:vAlign w:val="center"/>
                </w:tcPr>
                <w:p w14:paraId="1DE7BE66">
                  <w:pPr>
                    <w:adjustRightInd w:val="0"/>
                    <w:snapToGrid w:val="0"/>
                    <w:jc w:val="center"/>
                    <w:rPr>
                      <w:rFonts w:hint="eastAsia"/>
                      <w:color w:val="auto"/>
                      <w:szCs w:val="21"/>
                      <w:lang w:eastAsia="zh-CN"/>
                    </w:rPr>
                  </w:pPr>
                  <w:r>
                    <w:rPr>
                      <w:rFonts w:hint="eastAsia"/>
                      <w:color w:val="auto"/>
                      <w:szCs w:val="21"/>
                      <w:lang w:eastAsia="zh-CN"/>
                    </w:rPr>
                    <w:t>水喷淋清洗废水</w:t>
                  </w:r>
                </w:p>
              </w:tc>
              <w:tc>
                <w:tcPr>
                  <w:tcW w:w="616" w:type="dxa"/>
                  <w:tcBorders>
                    <w:tl2br w:val="nil"/>
                    <w:tr2bl w:val="nil"/>
                  </w:tcBorders>
                  <w:vAlign w:val="center"/>
                </w:tcPr>
                <w:p w14:paraId="136125D4">
                  <w:pPr>
                    <w:adjustRightInd w:val="0"/>
                    <w:snapToGrid w:val="0"/>
                    <w:jc w:val="center"/>
                    <w:rPr>
                      <w:rFonts w:hint="eastAsia"/>
                      <w:color w:val="auto"/>
                      <w:szCs w:val="21"/>
                      <w:lang w:val="en-US" w:eastAsia="zh-CN"/>
                    </w:rPr>
                  </w:pPr>
                  <w:r>
                    <w:rPr>
                      <w:rFonts w:hint="eastAsia"/>
                      <w:color w:val="auto"/>
                      <w:szCs w:val="21"/>
                      <w:lang w:val="en-US" w:eastAsia="zh-CN"/>
                    </w:rPr>
                    <w:t>HW49</w:t>
                  </w:r>
                </w:p>
              </w:tc>
              <w:tc>
                <w:tcPr>
                  <w:tcW w:w="1036" w:type="dxa"/>
                  <w:tcBorders>
                    <w:tl2br w:val="nil"/>
                    <w:tr2bl w:val="nil"/>
                  </w:tcBorders>
                  <w:vAlign w:val="center"/>
                </w:tcPr>
                <w:p w14:paraId="6DD84178">
                  <w:pPr>
                    <w:adjustRightInd w:val="0"/>
                    <w:snapToGrid w:val="0"/>
                    <w:jc w:val="center"/>
                    <w:rPr>
                      <w:rFonts w:hint="default"/>
                      <w:color w:val="auto"/>
                      <w:szCs w:val="21"/>
                      <w:lang w:val="en-US" w:eastAsia="zh-CN"/>
                    </w:rPr>
                  </w:pPr>
                  <w:r>
                    <w:rPr>
                      <w:rFonts w:hint="eastAsia"/>
                      <w:color w:val="auto"/>
                      <w:szCs w:val="21"/>
                      <w:lang w:val="en-US" w:eastAsia="zh-CN"/>
                    </w:rPr>
                    <w:t>772-006-49</w:t>
                  </w:r>
                </w:p>
              </w:tc>
              <w:tc>
                <w:tcPr>
                  <w:tcW w:w="711" w:type="dxa"/>
                  <w:tcBorders>
                    <w:tl2br w:val="nil"/>
                    <w:tr2bl w:val="nil"/>
                  </w:tcBorders>
                  <w:vAlign w:val="center"/>
                </w:tcPr>
                <w:p w14:paraId="5ED47333">
                  <w:pPr>
                    <w:jc w:val="center"/>
                    <w:rPr>
                      <w:rFonts w:hint="default" w:eastAsiaTheme="minorEastAsia"/>
                      <w:color w:val="auto"/>
                      <w:szCs w:val="21"/>
                      <w:lang w:val="en-US" w:eastAsia="zh-CN"/>
                    </w:rPr>
                  </w:pPr>
                  <w:r>
                    <w:rPr>
                      <w:rFonts w:hint="eastAsia" w:eastAsiaTheme="minorEastAsia"/>
                      <w:color w:val="auto"/>
                      <w:szCs w:val="21"/>
                      <w:lang w:val="en-US" w:eastAsia="zh-CN"/>
                    </w:rPr>
                    <w:t>10</w:t>
                  </w:r>
                </w:p>
              </w:tc>
              <w:tc>
                <w:tcPr>
                  <w:tcW w:w="562" w:type="dxa"/>
                  <w:tcBorders>
                    <w:tl2br w:val="nil"/>
                    <w:tr2bl w:val="nil"/>
                  </w:tcBorders>
                  <w:vAlign w:val="center"/>
                </w:tcPr>
                <w:p w14:paraId="4BEC10C0">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设备保养</w:t>
                  </w:r>
                </w:p>
              </w:tc>
              <w:tc>
                <w:tcPr>
                  <w:tcW w:w="348" w:type="dxa"/>
                  <w:tcBorders>
                    <w:tl2br w:val="nil"/>
                    <w:tr2bl w:val="nil"/>
                  </w:tcBorders>
                  <w:vAlign w:val="center"/>
                </w:tcPr>
                <w:p w14:paraId="66322F4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液</w:t>
                  </w:r>
                  <w:r>
                    <w:rPr>
                      <w:color w:val="auto"/>
                      <w:szCs w:val="21"/>
                    </w:rPr>
                    <w:t>态</w:t>
                  </w:r>
                </w:p>
              </w:tc>
              <w:tc>
                <w:tcPr>
                  <w:tcW w:w="442" w:type="dxa"/>
                  <w:tcBorders>
                    <w:tl2br w:val="nil"/>
                    <w:tr2bl w:val="nil"/>
                  </w:tcBorders>
                  <w:vAlign w:val="center"/>
                </w:tcPr>
                <w:p w14:paraId="1BE1587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440" w:type="dxa"/>
                  <w:tcBorders>
                    <w:tl2br w:val="nil"/>
                    <w:tr2bl w:val="nil"/>
                  </w:tcBorders>
                  <w:vAlign w:val="center"/>
                </w:tcPr>
                <w:p w14:paraId="3E0AD5A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485" w:type="dxa"/>
                  <w:tcBorders>
                    <w:tl2br w:val="nil"/>
                    <w:tr2bl w:val="nil"/>
                  </w:tcBorders>
                  <w:vAlign w:val="center"/>
                </w:tcPr>
                <w:p w14:paraId="18026568">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不定期</w:t>
                  </w:r>
                </w:p>
              </w:tc>
              <w:tc>
                <w:tcPr>
                  <w:tcW w:w="500" w:type="dxa"/>
                  <w:tcBorders>
                    <w:tl2br w:val="nil"/>
                    <w:tr2bl w:val="nil"/>
                  </w:tcBorders>
                  <w:vAlign w:val="center"/>
                </w:tcPr>
                <w:p w14:paraId="31C3A756">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T/In</w:t>
                  </w:r>
                </w:p>
              </w:tc>
              <w:tc>
                <w:tcPr>
                  <w:tcW w:w="579" w:type="dxa"/>
                  <w:vMerge w:val="continue"/>
                  <w:tcBorders>
                    <w:tl2br w:val="nil"/>
                    <w:tr2bl w:val="nil"/>
                  </w:tcBorders>
                  <w:vAlign w:val="center"/>
                </w:tcPr>
                <w:p w14:paraId="48CE50FD">
                  <w:pPr>
                    <w:adjustRightInd w:val="0"/>
                    <w:snapToGrid w:val="0"/>
                    <w:jc w:val="center"/>
                    <w:rPr>
                      <w:rFonts w:eastAsiaTheme="minorEastAsia"/>
                      <w:color w:val="auto"/>
                      <w:szCs w:val="21"/>
                    </w:rPr>
                  </w:pPr>
                </w:p>
              </w:tc>
              <w:tc>
                <w:tcPr>
                  <w:tcW w:w="574" w:type="dxa"/>
                  <w:vMerge w:val="continue"/>
                  <w:tcBorders>
                    <w:tl2br w:val="nil"/>
                    <w:tr2bl w:val="nil"/>
                  </w:tcBorders>
                  <w:vAlign w:val="center"/>
                </w:tcPr>
                <w:p w14:paraId="3044BC69">
                  <w:pPr>
                    <w:adjustRightInd w:val="0"/>
                    <w:snapToGrid w:val="0"/>
                    <w:jc w:val="center"/>
                    <w:rPr>
                      <w:rFonts w:eastAsiaTheme="minorEastAsia"/>
                      <w:color w:val="auto"/>
                      <w:szCs w:val="21"/>
                    </w:rPr>
                  </w:pPr>
                </w:p>
              </w:tc>
              <w:tc>
                <w:tcPr>
                  <w:tcW w:w="520" w:type="dxa"/>
                  <w:vMerge w:val="continue"/>
                  <w:tcBorders>
                    <w:tl2br w:val="nil"/>
                    <w:tr2bl w:val="nil"/>
                  </w:tcBorders>
                  <w:vAlign w:val="center"/>
                </w:tcPr>
                <w:p w14:paraId="707952D2">
                  <w:pPr>
                    <w:adjustRightInd w:val="0"/>
                    <w:snapToGrid w:val="0"/>
                    <w:jc w:val="center"/>
                    <w:rPr>
                      <w:rFonts w:eastAsiaTheme="minorEastAsia"/>
                      <w:color w:val="auto"/>
                      <w:szCs w:val="21"/>
                    </w:rPr>
                  </w:pPr>
                </w:p>
              </w:tc>
              <w:tc>
                <w:tcPr>
                  <w:tcW w:w="397" w:type="dxa"/>
                  <w:vMerge w:val="continue"/>
                  <w:tcBorders>
                    <w:tl2br w:val="nil"/>
                    <w:tr2bl w:val="nil"/>
                  </w:tcBorders>
                  <w:vAlign w:val="center"/>
                </w:tcPr>
                <w:p w14:paraId="712ECF8B">
                  <w:pPr>
                    <w:adjustRightInd w:val="0"/>
                    <w:snapToGrid w:val="0"/>
                    <w:jc w:val="center"/>
                    <w:rPr>
                      <w:rFonts w:eastAsiaTheme="minorEastAsia"/>
                      <w:color w:val="auto"/>
                      <w:szCs w:val="21"/>
                    </w:rPr>
                  </w:pPr>
                </w:p>
              </w:tc>
              <w:tc>
                <w:tcPr>
                  <w:tcW w:w="398" w:type="dxa"/>
                  <w:vMerge w:val="continue"/>
                  <w:tcBorders>
                    <w:tl2br w:val="nil"/>
                    <w:tr2bl w:val="nil"/>
                  </w:tcBorders>
                  <w:vAlign w:val="center"/>
                </w:tcPr>
                <w:p w14:paraId="0403D03C">
                  <w:pPr>
                    <w:adjustRightInd w:val="0"/>
                    <w:snapToGrid w:val="0"/>
                    <w:jc w:val="center"/>
                    <w:rPr>
                      <w:rFonts w:eastAsiaTheme="minorEastAsia"/>
                      <w:color w:val="auto"/>
                      <w:szCs w:val="21"/>
                    </w:rPr>
                  </w:pPr>
                </w:p>
              </w:tc>
            </w:tr>
          </w:tbl>
          <w:p w14:paraId="2AE7BC82">
            <w:pPr>
              <w:spacing w:line="360" w:lineRule="auto"/>
              <w:ind w:firstLine="360" w:firstLineChars="200"/>
              <w:contextualSpacing/>
              <w:rPr>
                <w:b/>
                <w:bCs/>
                <w:color w:val="auto"/>
                <w:sz w:val="24"/>
              </w:rPr>
            </w:pPr>
            <w:r>
              <w:rPr>
                <w:rFonts w:eastAsiaTheme="minorEastAsia"/>
                <w:color w:val="auto"/>
                <w:kern w:val="44"/>
                <w:sz w:val="18"/>
                <w:szCs w:val="18"/>
              </w:rPr>
              <w:t>注：危险特性，包括腐蚀性（Corrosivity,C）、毒性（Toxicity,T）、易燃性（Ignitability,I）、反应性（Reactivity,R）和感染性（Infectivity,In）。</w:t>
            </w:r>
          </w:p>
          <w:p w14:paraId="52FE4867">
            <w:pPr>
              <w:spacing w:line="360" w:lineRule="auto"/>
              <w:ind w:firstLine="482" w:firstLineChars="200"/>
              <w:contextualSpacing/>
              <w:rPr>
                <w:b/>
                <w:bCs/>
                <w:color w:val="auto"/>
                <w:sz w:val="24"/>
              </w:rPr>
            </w:pPr>
            <w:r>
              <w:rPr>
                <w:b/>
                <w:bCs/>
                <w:color w:val="auto"/>
                <w:sz w:val="24"/>
              </w:rPr>
              <w:t>（1）固体废物产生情况</w:t>
            </w:r>
          </w:p>
          <w:p w14:paraId="59DC062C">
            <w:pPr>
              <w:autoSpaceDE w:val="0"/>
              <w:autoSpaceDN w:val="0"/>
              <w:adjustRightInd w:val="0"/>
              <w:snapToGrid w:val="0"/>
              <w:spacing w:line="360" w:lineRule="auto"/>
              <w:ind w:firstLine="482" w:firstLineChars="200"/>
              <w:rPr>
                <w:rFonts w:eastAsiaTheme="minorEastAsia"/>
                <w:b/>
                <w:color w:val="auto"/>
                <w:kern w:val="0"/>
                <w:sz w:val="24"/>
              </w:rPr>
            </w:pPr>
            <w:r>
              <w:rPr>
                <w:rFonts w:eastAsiaTheme="minorEastAsia"/>
                <w:b/>
                <w:color w:val="auto"/>
                <w:kern w:val="0"/>
                <w:sz w:val="24"/>
              </w:rPr>
              <w:t>（1）危险废物</w:t>
            </w:r>
          </w:p>
          <w:p w14:paraId="2E241C8F">
            <w:pPr>
              <w:adjustRightInd w:val="0"/>
              <w:snapToGrid w:val="0"/>
              <w:spacing w:line="360" w:lineRule="auto"/>
              <w:ind w:firstLine="480" w:firstLineChars="200"/>
              <w:rPr>
                <w:bCs/>
                <w:color w:val="auto"/>
                <w:kern w:val="0"/>
                <w:sz w:val="24"/>
              </w:rPr>
            </w:pPr>
            <w:r>
              <w:rPr>
                <w:rFonts w:hint="eastAsia" w:ascii="宋体" w:hAnsi="宋体" w:cs="宋体"/>
                <w:bCs/>
                <w:color w:val="auto"/>
                <w:kern w:val="0"/>
                <w:sz w:val="24"/>
              </w:rPr>
              <w:t>①</w:t>
            </w:r>
            <w:r>
              <w:rPr>
                <w:rFonts w:hint="eastAsia" w:ascii="宋体" w:hAnsi="宋体" w:cs="宋体"/>
                <w:bCs/>
                <w:color w:val="auto"/>
                <w:kern w:val="0"/>
                <w:sz w:val="24"/>
                <w:lang w:bidi="en-US"/>
              </w:rPr>
              <w:t>废活性炭</w:t>
            </w:r>
          </w:p>
          <w:p w14:paraId="3D97EA44">
            <w:pPr>
              <w:autoSpaceDE w:val="0"/>
              <w:autoSpaceDN w:val="0"/>
              <w:adjustRightInd w:val="0"/>
              <w:snapToGrid w:val="0"/>
              <w:spacing w:line="360" w:lineRule="auto"/>
              <w:ind w:firstLine="480" w:firstLineChars="200"/>
              <w:rPr>
                <w:rFonts w:eastAsiaTheme="minorEastAsia"/>
                <w:bCs/>
                <w:color w:val="auto"/>
                <w:sz w:val="24"/>
                <w:lang w:bidi="en-US"/>
              </w:rPr>
            </w:pPr>
            <w:r>
              <w:rPr>
                <w:rFonts w:eastAsiaTheme="minorEastAsia"/>
                <w:bCs/>
                <w:color w:val="auto"/>
                <w:sz w:val="24"/>
                <w:lang w:bidi="en-US"/>
              </w:rPr>
              <w:t>建设项目</w:t>
            </w:r>
            <w:r>
              <w:rPr>
                <w:rFonts w:hint="eastAsia" w:eastAsiaTheme="minorEastAsia"/>
                <w:bCs/>
                <w:color w:val="auto"/>
                <w:sz w:val="24"/>
                <w:lang w:bidi="en-US"/>
              </w:rPr>
              <w:t>调胶、涂胶、热压工序</w:t>
            </w:r>
            <w:r>
              <w:rPr>
                <w:rFonts w:eastAsiaTheme="minorEastAsia"/>
                <w:bCs/>
                <w:color w:val="auto"/>
                <w:sz w:val="24"/>
                <w:lang w:bidi="en-US"/>
              </w:rPr>
              <w:t>产生的有机废气采取</w:t>
            </w:r>
            <w:r>
              <w:rPr>
                <w:rFonts w:hint="eastAsia" w:eastAsiaTheme="minorEastAsia"/>
                <w:bCs/>
                <w:color w:val="auto"/>
                <w:sz w:val="24"/>
                <w:lang w:bidi="en-US"/>
              </w:rPr>
              <w:t>“集气罩</w:t>
            </w:r>
            <w:r>
              <w:rPr>
                <w:rFonts w:hint="eastAsia" w:eastAsiaTheme="minorEastAsia"/>
                <w:bCs/>
                <w:color w:val="auto"/>
                <w:sz w:val="24"/>
                <w:lang w:eastAsia="zh-CN" w:bidi="en-US"/>
              </w:rPr>
              <w:t>（顶式集气罩＋三面软帘）</w:t>
            </w:r>
            <w:r>
              <w:rPr>
                <w:rFonts w:eastAsiaTheme="minorEastAsia"/>
                <w:bCs/>
                <w:color w:val="auto"/>
                <w:sz w:val="24"/>
                <w:lang w:bidi="en-US"/>
              </w:rPr>
              <w:t>+</w:t>
            </w:r>
            <w:r>
              <w:rPr>
                <w:rFonts w:hint="eastAsia" w:eastAsiaTheme="minorEastAsia"/>
                <w:bCs/>
                <w:color w:val="auto"/>
                <w:sz w:val="24"/>
                <w:lang w:bidi="en-US"/>
              </w:rPr>
              <w:t>二</w:t>
            </w:r>
            <w:r>
              <w:rPr>
                <w:rFonts w:eastAsiaTheme="minorEastAsia"/>
                <w:bCs/>
                <w:color w:val="auto"/>
                <w:sz w:val="24"/>
                <w:lang w:bidi="en-US"/>
              </w:rPr>
              <w:t>级活性炭吸附</w:t>
            </w:r>
            <w:r>
              <w:rPr>
                <w:rFonts w:hint="eastAsia" w:eastAsiaTheme="minorEastAsia"/>
                <w:bCs/>
                <w:color w:val="auto"/>
                <w:sz w:val="24"/>
                <w:lang w:bidi="en-US"/>
              </w:rPr>
              <w:t>装置”</w:t>
            </w:r>
            <w:r>
              <w:rPr>
                <w:rFonts w:eastAsiaTheme="minorEastAsia"/>
                <w:bCs/>
                <w:color w:val="auto"/>
                <w:sz w:val="24"/>
                <w:lang w:bidi="en-US"/>
              </w:rPr>
              <w:t>处理，根据源强计算，被活性炭吸附的废气量约为</w:t>
            </w:r>
            <w:r>
              <w:rPr>
                <w:rFonts w:hint="eastAsia" w:eastAsiaTheme="minorEastAsia"/>
                <w:bCs/>
                <w:color w:val="auto"/>
                <w:sz w:val="24"/>
                <w:lang w:bidi="en-US"/>
              </w:rPr>
              <w:t>0.21384</w:t>
            </w:r>
            <w:r>
              <w:rPr>
                <w:rFonts w:eastAsiaTheme="minorEastAsia"/>
                <w:bCs/>
                <w:color w:val="auto"/>
                <w:sz w:val="24"/>
                <w:lang w:bidi="en-US"/>
              </w:rPr>
              <w:t>t/a。根据《省生态环境厅关于将排污单位活性炭使用更换纳入排污许可管理的通知》等文件要求参照以下公式计算活性炭更换周期，动态吸附量取值高于10%的应上传含有动态吸附量取值依据的活性炭性能证明文件。</w:t>
            </w:r>
          </w:p>
          <w:p w14:paraId="213BE589">
            <w:pPr>
              <w:spacing w:line="360" w:lineRule="auto"/>
              <w:ind w:firstLine="480" w:firstLineChars="200"/>
              <w:jc w:val="center"/>
              <w:rPr>
                <w:color w:val="auto"/>
                <w:sz w:val="24"/>
              </w:rPr>
            </w:pPr>
            <w:r>
              <w:rPr>
                <w:color w:val="auto"/>
                <w:sz w:val="24"/>
              </w:rPr>
              <w:t>T=m×s÷（c×10</w:t>
            </w:r>
            <w:r>
              <w:rPr>
                <w:color w:val="auto"/>
                <w:sz w:val="24"/>
                <w:vertAlign w:val="superscript"/>
              </w:rPr>
              <w:t>-6</w:t>
            </w:r>
            <w:r>
              <w:rPr>
                <w:color w:val="auto"/>
                <w:sz w:val="24"/>
              </w:rPr>
              <w:t>×Q×t）</w:t>
            </w:r>
          </w:p>
          <w:p w14:paraId="7A898723">
            <w:pPr>
              <w:spacing w:line="360" w:lineRule="auto"/>
              <w:ind w:firstLine="480" w:firstLineChars="200"/>
              <w:jc w:val="left"/>
              <w:rPr>
                <w:color w:val="auto"/>
                <w:sz w:val="24"/>
              </w:rPr>
            </w:pPr>
            <w:r>
              <w:rPr>
                <w:color w:val="auto"/>
                <w:sz w:val="24"/>
              </w:rPr>
              <w:t>式中：T—更换周期，天；</w:t>
            </w:r>
          </w:p>
          <w:p w14:paraId="2ED2EC75">
            <w:pPr>
              <w:spacing w:line="360" w:lineRule="auto"/>
              <w:ind w:firstLine="480" w:firstLineChars="200"/>
              <w:jc w:val="left"/>
              <w:rPr>
                <w:color w:val="auto"/>
                <w:sz w:val="24"/>
              </w:rPr>
            </w:pPr>
            <w:r>
              <w:rPr>
                <w:color w:val="auto"/>
                <w:sz w:val="24"/>
              </w:rPr>
              <w:t>m—活性炭的用量，kg；本公司两级活性炭吸附装置活性炭装填量为400kg。</w:t>
            </w:r>
          </w:p>
          <w:p w14:paraId="0098CCDA">
            <w:pPr>
              <w:spacing w:line="360" w:lineRule="auto"/>
              <w:ind w:firstLine="480" w:firstLineChars="200"/>
              <w:jc w:val="left"/>
              <w:rPr>
                <w:color w:val="auto"/>
                <w:sz w:val="24"/>
              </w:rPr>
            </w:pPr>
            <w:r>
              <w:rPr>
                <w:color w:val="auto"/>
                <w:sz w:val="24"/>
              </w:rPr>
              <w:t>s—动态吸附量，%；（一般取值10%）</w:t>
            </w:r>
          </w:p>
          <w:p w14:paraId="6FB07847">
            <w:pPr>
              <w:spacing w:line="360" w:lineRule="auto"/>
              <w:ind w:firstLine="480" w:firstLineChars="200"/>
              <w:jc w:val="left"/>
              <w:rPr>
                <w:color w:val="auto"/>
                <w:sz w:val="24"/>
              </w:rPr>
            </w:pPr>
            <w:r>
              <w:rPr>
                <w:color w:val="auto"/>
                <w:sz w:val="24"/>
              </w:rPr>
              <w:t>c—活性炭削减的有机废气浓度，mg/m</w:t>
            </w:r>
            <w:r>
              <w:rPr>
                <w:color w:val="auto"/>
                <w:sz w:val="24"/>
                <w:vertAlign w:val="superscript"/>
              </w:rPr>
              <w:t>3</w:t>
            </w:r>
            <w:r>
              <w:rPr>
                <w:color w:val="auto"/>
                <w:sz w:val="24"/>
              </w:rPr>
              <w:t>；本项目有机废气削减浓度为</w:t>
            </w:r>
            <w:r>
              <w:rPr>
                <w:rFonts w:hint="eastAsia"/>
                <w:color w:val="auto"/>
                <w:sz w:val="24"/>
              </w:rPr>
              <w:t>17.82</w:t>
            </w:r>
            <w:r>
              <w:rPr>
                <w:color w:val="auto"/>
                <w:sz w:val="24"/>
              </w:rPr>
              <w:t>mg/m</w:t>
            </w:r>
            <w:r>
              <w:rPr>
                <w:color w:val="auto"/>
                <w:sz w:val="24"/>
                <w:vertAlign w:val="superscript"/>
              </w:rPr>
              <w:t>3</w:t>
            </w:r>
            <w:r>
              <w:rPr>
                <w:color w:val="auto"/>
                <w:sz w:val="24"/>
              </w:rPr>
              <w:t>。</w:t>
            </w:r>
          </w:p>
          <w:p w14:paraId="1CC3FB41">
            <w:pPr>
              <w:spacing w:line="360" w:lineRule="auto"/>
              <w:ind w:firstLine="480" w:firstLineChars="200"/>
              <w:jc w:val="left"/>
              <w:rPr>
                <w:color w:val="auto"/>
                <w:sz w:val="24"/>
              </w:rPr>
            </w:pPr>
            <w:r>
              <w:rPr>
                <w:color w:val="auto"/>
                <w:sz w:val="24"/>
              </w:rPr>
              <w:t>Q—风量，单位m</w:t>
            </w:r>
            <w:r>
              <w:rPr>
                <w:color w:val="auto"/>
                <w:sz w:val="24"/>
                <w:vertAlign w:val="superscript"/>
              </w:rPr>
              <w:t>3</w:t>
            </w:r>
            <w:r>
              <w:rPr>
                <w:color w:val="auto"/>
                <w:sz w:val="24"/>
              </w:rPr>
              <w:t>/h；废气处理设施设计风量分别为</w:t>
            </w:r>
            <w:r>
              <w:rPr>
                <w:rFonts w:hint="eastAsia"/>
                <w:color w:val="auto"/>
                <w:sz w:val="24"/>
              </w:rPr>
              <w:t>5</w:t>
            </w:r>
            <w:r>
              <w:rPr>
                <w:color w:val="auto"/>
                <w:sz w:val="24"/>
              </w:rPr>
              <w:t>000m</w:t>
            </w:r>
            <w:r>
              <w:rPr>
                <w:color w:val="auto"/>
                <w:sz w:val="24"/>
                <w:vertAlign w:val="superscript"/>
              </w:rPr>
              <w:t>3</w:t>
            </w:r>
            <w:r>
              <w:rPr>
                <w:color w:val="auto"/>
                <w:sz w:val="24"/>
              </w:rPr>
              <w:t>/h。</w:t>
            </w:r>
          </w:p>
          <w:p w14:paraId="380A6AFF">
            <w:pPr>
              <w:spacing w:line="360" w:lineRule="auto"/>
              <w:ind w:firstLine="480" w:firstLineChars="200"/>
              <w:jc w:val="left"/>
              <w:rPr>
                <w:rFonts w:eastAsiaTheme="minorEastAsia"/>
                <w:bCs/>
                <w:color w:val="auto"/>
                <w:sz w:val="24"/>
                <w:lang w:bidi="en-US"/>
              </w:rPr>
            </w:pPr>
            <w:r>
              <w:rPr>
                <w:color w:val="auto"/>
                <w:sz w:val="24"/>
              </w:rPr>
              <w:t>t—运行时间，单位h/d。废气处理设施日运行8h。</w:t>
            </w:r>
          </w:p>
          <w:p w14:paraId="2B728E66">
            <w:pPr>
              <w:adjustRightInd w:val="0"/>
              <w:snapToGrid w:val="0"/>
              <w:jc w:val="center"/>
              <w:rPr>
                <w:rFonts w:eastAsiaTheme="minorEastAsia"/>
                <w:b/>
                <w:color w:val="auto"/>
                <w:sz w:val="24"/>
                <w:lang w:bidi="en-US"/>
              </w:rPr>
            </w:pPr>
            <w:r>
              <w:rPr>
                <w:rFonts w:eastAsiaTheme="minorEastAsia"/>
                <w:b/>
                <w:color w:val="auto"/>
                <w:sz w:val="24"/>
                <w:lang w:bidi="en-US"/>
              </w:rPr>
              <w:t>表4.4-4  废气处理设施活性炭更换周期情况表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38"/>
              <w:gridCol w:w="1038"/>
              <w:gridCol w:w="1038"/>
              <w:gridCol w:w="1038"/>
              <w:gridCol w:w="1039"/>
              <w:gridCol w:w="1039"/>
              <w:gridCol w:w="1039"/>
              <w:gridCol w:w="1039"/>
            </w:tblGrid>
            <w:tr w14:paraId="5A50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38" w:type="dxa"/>
                  <w:tcBorders>
                    <w:top w:val="single" w:color="auto" w:sz="12" w:space="0"/>
                    <w:left w:val="nil"/>
                  </w:tcBorders>
                  <w:vAlign w:val="center"/>
                </w:tcPr>
                <w:p w14:paraId="2EF1F82A">
                  <w:pPr>
                    <w:adjustRightInd w:val="0"/>
                    <w:snapToGrid w:val="0"/>
                    <w:jc w:val="center"/>
                    <w:rPr>
                      <w:rFonts w:eastAsiaTheme="minorEastAsia"/>
                      <w:b/>
                      <w:color w:val="auto"/>
                      <w:sz w:val="24"/>
                      <w:lang w:bidi="en-US"/>
                    </w:rPr>
                  </w:pPr>
                  <w:r>
                    <w:rPr>
                      <w:rFonts w:eastAsiaTheme="minorEastAsia"/>
                      <w:b/>
                      <w:color w:val="auto"/>
                      <w:szCs w:val="21"/>
                      <w:lang w:bidi="en-US"/>
                    </w:rPr>
                    <w:t>工序</w:t>
                  </w:r>
                </w:p>
              </w:tc>
              <w:tc>
                <w:tcPr>
                  <w:tcW w:w="1038" w:type="dxa"/>
                  <w:tcBorders>
                    <w:top w:val="single" w:color="auto" w:sz="12" w:space="0"/>
                  </w:tcBorders>
                  <w:vAlign w:val="center"/>
                </w:tcPr>
                <w:p w14:paraId="32807B5B">
                  <w:pPr>
                    <w:adjustRightInd w:val="0"/>
                    <w:snapToGrid w:val="0"/>
                    <w:jc w:val="center"/>
                    <w:rPr>
                      <w:rFonts w:eastAsiaTheme="minorEastAsia"/>
                      <w:b/>
                      <w:color w:val="auto"/>
                      <w:sz w:val="24"/>
                      <w:lang w:bidi="en-US"/>
                    </w:rPr>
                  </w:pPr>
                  <w:r>
                    <w:rPr>
                      <w:rFonts w:eastAsiaTheme="minorEastAsia"/>
                      <w:b/>
                      <w:color w:val="auto"/>
                      <w:szCs w:val="21"/>
                      <w:lang w:bidi="en-US"/>
                    </w:rPr>
                    <w:t>活性炭装置编号</w:t>
                  </w:r>
                </w:p>
              </w:tc>
              <w:tc>
                <w:tcPr>
                  <w:tcW w:w="1038" w:type="dxa"/>
                  <w:tcBorders>
                    <w:top w:val="single" w:color="auto" w:sz="12" w:space="0"/>
                  </w:tcBorders>
                  <w:vAlign w:val="center"/>
                </w:tcPr>
                <w:p w14:paraId="6CF16894">
                  <w:pPr>
                    <w:adjustRightInd w:val="0"/>
                    <w:snapToGrid w:val="0"/>
                    <w:jc w:val="center"/>
                    <w:rPr>
                      <w:rFonts w:eastAsiaTheme="minorEastAsia"/>
                      <w:b/>
                      <w:color w:val="auto"/>
                      <w:sz w:val="24"/>
                      <w:lang w:bidi="en-US"/>
                    </w:rPr>
                  </w:pPr>
                  <w:r>
                    <w:rPr>
                      <w:rFonts w:eastAsiaTheme="minorEastAsia"/>
                      <w:b/>
                      <w:color w:val="auto"/>
                      <w:szCs w:val="21"/>
                      <w:lang w:bidi="en-US"/>
                    </w:rPr>
                    <w:t>活性炭填充量m（kg）</w:t>
                  </w:r>
                </w:p>
              </w:tc>
              <w:tc>
                <w:tcPr>
                  <w:tcW w:w="1038" w:type="dxa"/>
                  <w:tcBorders>
                    <w:top w:val="single" w:color="auto" w:sz="12" w:space="0"/>
                  </w:tcBorders>
                  <w:vAlign w:val="center"/>
                </w:tcPr>
                <w:p w14:paraId="7570DF96">
                  <w:pPr>
                    <w:adjustRightInd w:val="0"/>
                    <w:snapToGrid w:val="0"/>
                    <w:jc w:val="center"/>
                    <w:rPr>
                      <w:rFonts w:eastAsiaTheme="minorEastAsia"/>
                      <w:b/>
                      <w:color w:val="auto"/>
                      <w:sz w:val="24"/>
                      <w:lang w:bidi="en-US"/>
                    </w:rPr>
                  </w:pPr>
                  <w:r>
                    <w:rPr>
                      <w:rFonts w:eastAsiaTheme="minorEastAsia"/>
                      <w:b/>
                      <w:color w:val="auto"/>
                      <w:szCs w:val="21"/>
                      <w:lang w:bidi="en-US"/>
                    </w:rPr>
                    <w:t>动态吸附量s（%）</w:t>
                  </w:r>
                </w:p>
              </w:tc>
              <w:tc>
                <w:tcPr>
                  <w:tcW w:w="1039" w:type="dxa"/>
                  <w:tcBorders>
                    <w:top w:val="single" w:color="auto" w:sz="12" w:space="0"/>
                  </w:tcBorders>
                  <w:vAlign w:val="center"/>
                </w:tcPr>
                <w:p w14:paraId="1F80EDBD">
                  <w:pPr>
                    <w:adjustRightInd w:val="0"/>
                    <w:snapToGrid w:val="0"/>
                    <w:jc w:val="center"/>
                    <w:rPr>
                      <w:rFonts w:eastAsiaTheme="minorEastAsia"/>
                      <w:b/>
                      <w:color w:val="auto"/>
                      <w:sz w:val="24"/>
                      <w:lang w:bidi="en-US"/>
                    </w:rPr>
                  </w:pPr>
                  <w:r>
                    <w:rPr>
                      <w:rFonts w:eastAsiaTheme="minorEastAsia"/>
                      <w:b/>
                      <w:bCs/>
                      <w:color w:val="auto"/>
                      <w:szCs w:val="21"/>
                    </w:rPr>
                    <w:t>削减浓度mg/m</w:t>
                  </w:r>
                  <w:r>
                    <w:rPr>
                      <w:rFonts w:eastAsiaTheme="minorEastAsia"/>
                      <w:b/>
                      <w:bCs/>
                      <w:color w:val="auto"/>
                      <w:szCs w:val="21"/>
                      <w:vertAlign w:val="superscript"/>
                    </w:rPr>
                    <w:t>3</w:t>
                  </w:r>
                </w:p>
              </w:tc>
              <w:tc>
                <w:tcPr>
                  <w:tcW w:w="1039" w:type="dxa"/>
                  <w:tcBorders>
                    <w:top w:val="single" w:color="auto" w:sz="12" w:space="0"/>
                  </w:tcBorders>
                  <w:vAlign w:val="center"/>
                </w:tcPr>
                <w:p w14:paraId="2F40D378">
                  <w:pPr>
                    <w:widowControl/>
                    <w:jc w:val="center"/>
                    <w:rPr>
                      <w:rFonts w:eastAsiaTheme="minorEastAsia"/>
                      <w:b/>
                      <w:color w:val="auto"/>
                      <w:szCs w:val="21"/>
                      <w:lang w:bidi="en-US"/>
                    </w:rPr>
                  </w:pPr>
                  <w:r>
                    <w:rPr>
                      <w:rFonts w:eastAsiaTheme="minorEastAsia"/>
                      <w:b/>
                      <w:color w:val="auto"/>
                      <w:szCs w:val="21"/>
                      <w:lang w:bidi="en-US"/>
                    </w:rPr>
                    <w:t>风量</w:t>
                  </w:r>
                </w:p>
                <w:p w14:paraId="2C41452E">
                  <w:pPr>
                    <w:adjustRightInd w:val="0"/>
                    <w:snapToGrid w:val="0"/>
                    <w:jc w:val="center"/>
                    <w:rPr>
                      <w:rFonts w:eastAsiaTheme="minorEastAsia"/>
                      <w:b/>
                      <w:color w:val="auto"/>
                      <w:sz w:val="24"/>
                      <w:lang w:bidi="en-US"/>
                    </w:rPr>
                  </w:pPr>
                  <w:r>
                    <w:rPr>
                      <w:rFonts w:eastAsiaTheme="minorEastAsia"/>
                      <w:b/>
                      <w:bCs/>
                      <w:color w:val="auto"/>
                      <w:szCs w:val="21"/>
                    </w:rPr>
                    <w:t>m</w:t>
                  </w:r>
                  <w:r>
                    <w:rPr>
                      <w:rFonts w:eastAsiaTheme="minorEastAsia"/>
                      <w:b/>
                      <w:bCs/>
                      <w:color w:val="auto"/>
                      <w:szCs w:val="21"/>
                      <w:vertAlign w:val="superscript"/>
                    </w:rPr>
                    <w:t>3</w:t>
                  </w:r>
                  <w:r>
                    <w:rPr>
                      <w:rFonts w:eastAsiaTheme="minorEastAsia"/>
                      <w:b/>
                      <w:color w:val="auto"/>
                      <w:szCs w:val="21"/>
                      <w:lang w:bidi="en-US"/>
                    </w:rPr>
                    <w:t>/h</w:t>
                  </w:r>
                </w:p>
              </w:tc>
              <w:tc>
                <w:tcPr>
                  <w:tcW w:w="1039" w:type="dxa"/>
                  <w:tcBorders>
                    <w:top w:val="single" w:color="auto" w:sz="12" w:space="0"/>
                  </w:tcBorders>
                  <w:vAlign w:val="center"/>
                </w:tcPr>
                <w:p w14:paraId="0F8CF2AF">
                  <w:pPr>
                    <w:adjustRightInd w:val="0"/>
                    <w:snapToGrid w:val="0"/>
                    <w:jc w:val="center"/>
                    <w:rPr>
                      <w:rFonts w:eastAsiaTheme="minorEastAsia"/>
                      <w:b/>
                      <w:color w:val="auto"/>
                      <w:sz w:val="24"/>
                      <w:lang w:bidi="en-US"/>
                    </w:rPr>
                  </w:pPr>
                  <w:r>
                    <w:rPr>
                      <w:rFonts w:eastAsiaTheme="minorEastAsia"/>
                      <w:b/>
                      <w:color w:val="auto"/>
                      <w:szCs w:val="21"/>
                      <w:lang w:bidi="en-US"/>
                    </w:rPr>
                    <w:t>运行时间t（h/d)</w:t>
                  </w:r>
                </w:p>
              </w:tc>
              <w:tc>
                <w:tcPr>
                  <w:tcW w:w="1039" w:type="dxa"/>
                  <w:tcBorders>
                    <w:top w:val="single" w:color="auto" w:sz="12" w:space="0"/>
                    <w:right w:val="nil"/>
                  </w:tcBorders>
                  <w:vAlign w:val="center"/>
                </w:tcPr>
                <w:p w14:paraId="5039023D">
                  <w:pPr>
                    <w:adjustRightInd w:val="0"/>
                    <w:snapToGrid w:val="0"/>
                    <w:jc w:val="center"/>
                    <w:rPr>
                      <w:rFonts w:eastAsiaTheme="minorEastAsia"/>
                      <w:b/>
                      <w:color w:val="auto"/>
                      <w:sz w:val="24"/>
                      <w:lang w:bidi="en-US"/>
                    </w:rPr>
                  </w:pPr>
                  <w:r>
                    <w:rPr>
                      <w:rFonts w:eastAsiaTheme="minorEastAsia"/>
                      <w:b/>
                      <w:color w:val="auto"/>
                      <w:szCs w:val="21"/>
                      <w:lang w:bidi="en-US"/>
                    </w:rPr>
                    <w:t>更换周期T（天）</w:t>
                  </w:r>
                </w:p>
              </w:tc>
            </w:tr>
            <w:tr w14:paraId="5184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38" w:type="dxa"/>
                  <w:tcBorders>
                    <w:left w:val="nil"/>
                    <w:bottom w:val="single" w:color="auto" w:sz="12" w:space="0"/>
                  </w:tcBorders>
                  <w:vAlign w:val="center"/>
                </w:tcPr>
                <w:p w14:paraId="46F07237">
                  <w:pPr>
                    <w:adjustRightInd w:val="0"/>
                    <w:snapToGrid w:val="0"/>
                    <w:jc w:val="center"/>
                    <w:rPr>
                      <w:rFonts w:eastAsiaTheme="minorEastAsia"/>
                      <w:b/>
                      <w:color w:val="auto"/>
                      <w:sz w:val="24"/>
                      <w:lang w:bidi="en-US"/>
                    </w:rPr>
                  </w:pPr>
                  <w:r>
                    <w:rPr>
                      <w:rFonts w:hint="eastAsia" w:eastAsiaTheme="minorEastAsia"/>
                      <w:bCs/>
                      <w:color w:val="auto"/>
                      <w:szCs w:val="21"/>
                      <w:lang w:bidi="en-US"/>
                    </w:rPr>
                    <w:t>调胶、涂胶、热压</w:t>
                  </w:r>
                </w:p>
              </w:tc>
              <w:tc>
                <w:tcPr>
                  <w:tcW w:w="1038" w:type="dxa"/>
                  <w:tcBorders>
                    <w:bottom w:val="single" w:color="auto" w:sz="12" w:space="0"/>
                  </w:tcBorders>
                  <w:vAlign w:val="center"/>
                </w:tcPr>
                <w:p w14:paraId="1DF93E9B">
                  <w:pPr>
                    <w:adjustRightInd w:val="0"/>
                    <w:snapToGrid w:val="0"/>
                    <w:jc w:val="center"/>
                    <w:rPr>
                      <w:rFonts w:eastAsiaTheme="minorEastAsia"/>
                      <w:b/>
                      <w:color w:val="auto"/>
                      <w:sz w:val="24"/>
                      <w:lang w:bidi="en-US"/>
                    </w:rPr>
                  </w:pPr>
                  <w:r>
                    <w:rPr>
                      <w:rFonts w:eastAsiaTheme="minorEastAsia"/>
                      <w:bCs/>
                      <w:color w:val="auto"/>
                      <w:szCs w:val="21"/>
                      <w:lang w:bidi="en-US"/>
                    </w:rPr>
                    <w:t>二级活性炭吸附装置</w:t>
                  </w:r>
                </w:p>
              </w:tc>
              <w:tc>
                <w:tcPr>
                  <w:tcW w:w="1038" w:type="dxa"/>
                  <w:tcBorders>
                    <w:bottom w:val="single" w:color="auto" w:sz="12" w:space="0"/>
                  </w:tcBorders>
                  <w:vAlign w:val="center"/>
                </w:tcPr>
                <w:p w14:paraId="6F539730">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400</w:t>
                  </w:r>
                </w:p>
              </w:tc>
              <w:tc>
                <w:tcPr>
                  <w:tcW w:w="1038" w:type="dxa"/>
                  <w:tcBorders>
                    <w:bottom w:val="single" w:color="auto" w:sz="12" w:space="0"/>
                  </w:tcBorders>
                  <w:vAlign w:val="center"/>
                </w:tcPr>
                <w:p w14:paraId="58D2AAFF">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10%</w:t>
                  </w:r>
                </w:p>
              </w:tc>
              <w:tc>
                <w:tcPr>
                  <w:tcW w:w="1039" w:type="dxa"/>
                  <w:tcBorders>
                    <w:bottom w:val="single" w:color="auto" w:sz="12" w:space="0"/>
                  </w:tcBorders>
                  <w:vAlign w:val="center"/>
                </w:tcPr>
                <w:p w14:paraId="43C3E0C8">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17.82</w:t>
                  </w:r>
                </w:p>
              </w:tc>
              <w:tc>
                <w:tcPr>
                  <w:tcW w:w="1039" w:type="dxa"/>
                  <w:tcBorders>
                    <w:bottom w:val="single" w:color="auto" w:sz="12" w:space="0"/>
                  </w:tcBorders>
                  <w:vAlign w:val="center"/>
                </w:tcPr>
                <w:p w14:paraId="012114AF">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5000</w:t>
                  </w:r>
                </w:p>
              </w:tc>
              <w:tc>
                <w:tcPr>
                  <w:tcW w:w="1039" w:type="dxa"/>
                  <w:tcBorders>
                    <w:bottom w:val="single" w:color="auto" w:sz="12" w:space="0"/>
                  </w:tcBorders>
                  <w:vAlign w:val="center"/>
                </w:tcPr>
                <w:p w14:paraId="6495D7B8">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8</w:t>
                  </w:r>
                </w:p>
              </w:tc>
              <w:tc>
                <w:tcPr>
                  <w:tcW w:w="1039" w:type="dxa"/>
                  <w:tcBorders>
                    <w:bottom w:val="single" w:color="auto" w:sz="12" w:space="0"/>
                    <w:right w:val="nil"/>
                  </w:tcBorders>
                  <w:vAlign w:val="center"/>
                </w:tcPr>
                <w:p w14:paraId="4B902A44">
                  <w:pPr>
                    <w:widowControl/>
                    <w:adjustRightInd w:val="0"/>
                    <w:snapToGrid w:val="0"/>
                    <w:spacing w:before="120" w:beforeLines="50" w:line="360" w:lineRule="auto"/>
                    <w:jc w:val="center"/>
                    <w:rPr>
                      <w:rFonts w:eastAsiaTheme="minorEastAsia"/>
                      <w:bCs/>
                      <w:color w:val="auto"/>
                      <w:szCs w:val="21"/>
                      <w:lang w:bidi="en-US"/>
                    </w:rPr>
                  </w:pPr>
                  <w:r>
                    <w:rPr>
                      <w:rFonts w:hint="eastAsia" w:eastAsiaTheme="minorEastAsia"/>
                      <w:bCs/>
                      <w:color w:val="auto"/>
                      <w:szCs w:val="21"/>
                      <w:lang w:bidi="en-US"/>
                    </w:rPr>
                    <w:t>112</w:t>
                  </w:r>
                </w:p>
              </w:tc>
            </w:tr>
          </w:tbl>
          <w:p w14:paraId="44FB8DA0">
            <w:pPr>
              <w:widowControl/>
              <w:wordWrap w:val="0"/>
              <w:adjustRightInd w:val="0"/>
              <w:snapToGrid w:val="0"/>
              <w:spacing w:line="360" w:lineRule="auto"/>
              <w:ind w:firstLine="480" w:firstLineChars="200"/>
              <w:rPr>
                <w:rFonts w:eastAsiaTheme="minorEastAsia"/>
                <w:bCs/>
                <w:color w:val="auto"/>
                <w:kern w:val="0"/>
                <w:sz w:val="24"/>
              </w:rPr>
            </w:pPr>
            <w:r>
              <w:rPr>
                <w:rFonts w:hint="eastAsia"/>
                <w:color w:val="auto"/>
                <w:sz w:val="24"/>
                <w:lang w:eastAsia="zh-CN"/>
              </w:rPr>
              <w:t>本次活性炭一次装填量为</w:t>
            </w:r>
            <w:r>
              <w:rPr>
                <w:rFonts w:hint="eastAsia"/>
                <w:color w:val="auto"/>
                <w:sz w:val="24"/>
                <w:lang w:val="en-US" w:eastAsia="zh-CN"/>
              </w:rPr>
              <w:t>0.4t/a，最终将计算更换周期为112天，根据</w:t>
            </w:r>
            <w:r>
              <w:rPr>
                <w:color w:val="auto"/>
                <w:sz w:val="24"/>
              </w:rPr>
              <w:t>《省生态环境厅关于</w:t>
            </w:r>
            <w:r>
              <w:rPr>
                <w:rFonts w:hint="eastAsia"/>
                <w:color w:val="auto"/>
                <w:sz w:val="24"/>
                <w:lang w:eastAsia="zh-CN"/>
              </w:rPr>
              <w:t>深入开展</w:t>
            </w:r>
            <w:r>
              <w:rPr>
                <w:color w:val="auto"/>
                <w:sz w:val="24"/>
              </w:rPr>
              <w:t>涉VOCs治理重点工作核查的通知》（苏环办〔2022〕218号）</w:t>
            </w:r>
            <w:r>
              <w:rPr>
                <w:rFonts w:hint="eastAsia"/>
                <w:color w:val="auto"/>
                <w:sz w:val="24"/>
              </w:rPr>
              <w:t>分析</w:t>
            </w:r>
            <w:r>
              <w:rPr>
                <w:color w:val="auto"/>
                <w:sz w:val="24"/>
              </w:rPr>
              <w:t>，活性炭更换周期一般不应超过累计运行500小时或3个月，因此，</w:t>
            </w:r>
            <w:r>
              <w:rPr>
                <w:rFonts w:hint="eastAsia"/>
                <w:color w:val="auto"/>
                <w:sz w:val="24"/>
                <w:lang w:eastAsia="zh-CN"/>
              </w:rPr>
              <w:t>本</w:t>
            </w:r>
            <w:r>
              <w:rPr>
                <w:color w:val="auto"/>
                <w:sz w:val="24"/>
              </w:rPr>
              <w:t>项目实际</w:t>
            </w:r>
            <w:r>
              <w:rPr>
                <w:rFonts w:hint="eastAsia"/>
                <w:color w:val="auto"/>
                <w:sz w:val="24"/>
                <w:lang w:eastAsia="zh-CN"/>
              </w:rPr>
              <w:t>设置每</w:t>
            </w:r>
            <w:r>
              <w:rPr>
                <w:rFonts w:hint="eastAsia"/>
                <w:color w:val="auto"/>
                <w:sz w:val="24"/>
                <w:lang w:val="en-US" w:eastAsia="zh-CN"/>
              </w:rPr>
              <w:t>90天</w:t>
            </w:r>
            <w:r>
              <w:rPr>
                <w:color w:val="auto"/>
                <w:sz w:val="24"/>
              </w:rPr>
              <w:t>更换一次活性炭</w:t>
            </w:r>
            <w:r>
              <w:rPr>
                <w:rFonts w:hint="eastAsia"/>
                <w:color w:val="auto"/>
                <w:sz w:val="24"/>
                <w:lang w:eastAsia="zh-CN"/>
              </w:rPr>
              <w:t>，</w:t>
            </w:r>
            <w:r>
              <w:rPr>
                <w:rFonts w:hint="eastAsia" w:eastAsiaTheme="minorEastAsia"/>
                <w:bCs/>
                <w:color w:val="auto"/>
                <w:sz w:val="24"/>
                <w:lang w:bidi="en-US"/>
              </w:rPr>
              <w:t>年更换4次</w:t>
            </w:r>
            <w:r>
              <w:rPr>
                <w:rFonts w:hint="eastAsia" w:eastAsiaTheme="minorEastAsia"/>
                <w:bCs/>
                <w:color w:val="auto"/>
                <w:sz w:val="24"/>
                <w:lang w:eastAsia="zh-CN" w:bidi="en-US"/>
              </w:rPr>
              <w:t>，共吸附有机废气</w:t>
            </w:r>
            <w:r>
              <w:rPr>
                <w:rFonts w:hint="eastAsia" w:eastAsiaTheme="minorEastAsia"/>
                <w:bCs/>
                <w:color w:val="auto"/>
                <w:sz w:val="24"/>
                <w:lang w:val="en-US" w:eastAsia="zh-CN" w:bidi="en-US"/>
              </w:rPr>
              <w:t>0.1669t/a</w:t>
            </w:r>
            <w:r>
              <w:rPr>
                <w:rFonts w:eastAsiaTheme="minorEastAsia"/>
                <w:bCs/>
                <w:color w:val="auto"/>
                <w:sz w:val="24"/>
                <w:lang w:bidi="en-US"/>
              </w:rPr>
              <w:t>。</w:t>
            </w:r>
            <w:r>
              <w:rPr>
                <w:rFonts w:hint="eastAsia" w:eastAsiaTheme="minorEastAsia"/>
                <w:bCs/>
                <w:color w:val="auto"/>
                <w:sz w:val="24"/>
                <w:lang w:eastAsia="zh-CN" w:bidi="en-US"/>
              </w:rPr>
              <w:t>废活性炭产生量为：</w:t>
            </w:r>
            <w:r>
              <w:rPr>
                <w:rFonts w:hint="eastAsia" w:eastAsiaTheme="minorEastAsia"/>
                <w:bCs/>
                <w:color w:val="auto"/>
                <w:sz w:val="24"/>
                <w:lang w:bidi="en-US"/>
              </w:rPr>
              <w:t>0.4</w:t>
            </w:r>
            <w:r>
              <w:rPr>
                <w:rFonts w:eastAsiaTheme="minorEastAsia"/>
                <w:bCs/>
                <w:color w:val="auto"/>
                <w:sz w:val="24"/>
                <w:lang w:bidi="en-US"/>
              </w:rPr>
              <w:t>×</w:t>
            </w:r>
            <w:r>
              <w:rPr>
                <w:rFonts w:hint="eastAsia" w:eastAsiaTheme="minorEastAsia"/>
                <w:bCs/>
                <w:color w:val="auto"/>
                <w:sz w:val="24"/>
                <w:lang w:bidi="en-US"/>
              </w:rPr>
              <w:t>4</w:t>
            </w:r>
            <w:r>
              <w:rPr>
                <w:rFonts w:eastAsiaTheme="minorEastAsia"/>
                <w:bCs/>
                <w:color w:val="auto"/>
                <w:sz w:val="24"/>
                <w:lang w:bidi="en-US"/>
              </w:rPr>
              <w:t>＋</w:t>
            </w:r>
            <w:r>
              <w:rPr>
                <w:rFonts w:hint="eastAsia" w:eastAsiaTheme="minorEastAsia"/>
                <w:bCs/>
                <w:color w:val="auto"/>
                <w:sz w:val="24"/>
                <w:lang w:val="en-US" w:eastAsia="zh-CN" w:bidi="en-US"/>
              </w:rPr>
              <w:t>0.1681</w:t>
            </w:r>
            <w:r>
              <w:rPr>
                <w:rFonts w:eastAsiaTheme="minorEastAsia"/>
                <w:bCs/>
                <w:color w:val="auto"/>
                <w:sz w:val="24"/>
                <w:lang w:bidi="en-US"/>
              </w:rPr>
              <w:t>=</w:t>
            </w:r>
            <w:r>
              <w:rPr>
                <w:rFonts w:hint="eastAsia" w:eastAsiaTheme="minorEastAsia"/>
                <w:bCs/>
                <w:color w:val="auto"/>
                <w:sz w:val="24"/>
                <w:lang w:bidi="en-US"/>
              </w:rPr>
              <w:t>1.</w:t>
            </w:r>
            <w:r>
              <w:rPr>
                <w:rFonts w:hint="eastAsia" w:eastAsiaTheme="minorEastAsia"/>
                <w:bCs/>
                <w:color w:val="auto"/>
                <w:sz w:val="24"/>
                <w:lang w:val="en-US" w:eastAsia="zh-CN" w:bidi="en-US"/>
              </w:rPr>
              <w:t>77</w:t>
            </w:r>
            <w:r>
              <w:rPr>
                <w:rFonts w:eastAsiaTheme="minorEastAsia"/>
                <w:bCs/>
                <w:color w:val="auto"/>
                <w:sz w:val="24"/>
                <w:lang w:bidi="en-US"/>
              </w:rPr>
              <w:t>t/a</w:t>
            </w:r>
            <w:r>
              <w:rPr>
                <w:rFonts w:hint="eastAsia" w:eastAsiaTheme="minorEastAsia"/>
                <w:bCs/>
                <w:color w:val="auto"/>
                <w:sz w:val="24"/>
                <w:lang w:eastAsia="zh-CN" w:bidi="en-US"/>
              </w:rPr>
              <w:t>。</w:t>
            </w:r>
            <w:r>
              <w:rPr>
                <w:rFonts w:eastAsiaTheme="minorEastAsia"/>
                <w:bCs/>
                <w:color w:val="auto"/>
                <w:sz w:val="24"/>
                <w:lang w:bidi="en-US"/>
              </w:rPr>
              <w:t>经查询属于危险废物（HW49其他废物，900-039-49）。</w:t>
            </w:r>
          </w:p>
          <w:p w14:paraId="5C7BF27C">
            <w:pPr>
              <w:adjustRightInd w:val="0"/>
              <w:snapToGrid w:val="0"/>
              <w:spacing w:line="360" w:lineRule="auto"/>
              <w:ind w:firstLine="480" w:firstLineChars="200"/>
              <w:rPr>
                <w:rFonts w:hint="eastAsia" w:ascii="宋体" w:hAnsi="宋体" w:cs="宋体"/>
                <w:bCs/>
                <w:color w:val="auto"/>
                <w:kern w:val="0"/>
                <w:sz w:val="24"/>
                <w:lang w:bidi="en-US"/>
              </w:rPr>
            </w:pPr>
            <w:r>
              <w:rPr>
                <w:rFonts w:hint="eastAsia" w:ascii="宋体" w:hAnsi="宋体" w:cs="宋体"/>
                <w:bCs/>
                <w:color w:val="auto"/>
                <w:kern w:val="0"/>
                <w:sz w:val="24"/>
              </w:rPr>
              <w:t>②</w:t>
            </w:r>
            <w:r>
              <w:rPr>
                <w:rFonts w:hint="eastAsia" w:ascii="宋体" w:hAnsi="宋体" w:cs="宋体"/>
                <w:bCs/>
                <w:color w:val="auto"/>
                <w:kern w:val="0"/>
                <w:sz w:val="24"/>
                <w:lang w:bidi="en-US"/>
              </w:rPr>
              <w:t>废油桶</w:t>
            </w:r>
          </w:p>
          <w:p w14:paraId="24451704">
            <w:pPr>
              <w:autoSpaceDE w:val="0"/>
              <w:autoSpaceDN w:val="0"/>
              <w:adjustRightInd w:val="0"/>
              <w:snapToGrid w:val="0"/>
              <w:spacing w:line="360" w:lineRule="auto"/>
              <w:ind w:firstLine="480" w:firstLineChars="200"/>
              <w:rPr>
                <w:bCs/>
                <w:color w:val="auto"/>
                <w:sz w:val="24"/>
              </w:rPr>
            </w:pPr>
            <w:r>
              <w:rPr>
                <w:bCs/>
                <w:color w:val="auto"/>
                <w:sz w:val="24"/>
              </w:rPr>
              <w:t>建设项目设备维修、保养过程中产生废</w:t>
            </w:r>
            <w:r>
              <w:rPr>
                <w:rFonts w:hint="eastAsia"/>
                <w:bCs/>
                <w:color w:val="auto"/>
                <w:sz w:val="24"/>
              </w:rPr>
              <w:t>液压油</w:t>
            </w:r>
            <w:r>
              <w:rPr>
                <w:bCs/>
                <w:color w:val="auto"/>
                <w:sz w:val="24"/>
              </w:rPr>
              <w:t>，</w:t>
            </w:r>
            <w:r>
              <w:rPr>
                <w:rFonts w:hint="eastAsia"/>
                <w:bCs/>
                <w:color w:val="auto"/>
                <w:sz w:val="24"/>
              </w:rPr>
              <w:t>建设项目液压油用量0.1t/a，</w:t>
            </w:r>
            <w:r>
              <w:rPr>
                <w:rFonts w:hint="eastAsia"/>
                <w:color w:val="auto"/>
                <w:sz w:val="24"/>
              </w:rPr>
              <w:t>包装规格为2</w:t>
            </w:r>
            <w:r>
              <w:rPr>
                <w:color w:val="auto"/>
                <w:sz w:val="24"/>
              </w:rPr>
              <w:t>5kg/</w:t>
            </w:r>
            <w:r>
              <w:rPr>
                <w:rFonts w:hint="eastAsia"/>
                <w:color w:val="auto"/>
                <w:sz w:val="24"/>
              </w:rPr>
              <w:t>桶，使用后废包装桶约为4个/</w:t>
            </w:r>
            <w:r>
              <w:rPr>
                <w:color w:val="auto"/>
                <w:sz w:val="24"/>
              </w:rPr>
              <w:t>a</w:t>
            </w:r>
            <w:r>
              <w:rPr>
                <w:rFonts w:hint="eastAsia"/>
                <w:color w:val="auto"/>
                <w:sz w:val="24"/>
              </w:rPr>
              <w:t>，每个空桶重量约为0</w:t>
            </w:r>
            <w:r>
              <w:rPr>
                <w:color w:val="auto"/>
                <w:sz w:val="24"/>
              </w:rPr>
              <w:t>.0</w:t>
            </w:r>
            <w:r>
              <w:rPr>
                <w:rFonts w:hint="eastAsia"/>
                <w:color w:val="auto"/>
                <w:sz w:val="24"/>
              </w:rPr>
              <w:t>0</w:t>
            </w:r>
            <w:r>
              <w:rPr>
                <w:color w:val="auto"/>
                <w:sz w:val="24"/>
              </w:rPr>
              <w:t>15t</w:t>
            </w:r>
            <w:r>
              <w:rPr>
                <w:rFonts w:hint="eastAsia"/>
                <w:color w:val="auto"/>
                <w:sz w:val="24"/>
              </w:rPr>
              <w:t>，则产生的包装桶约为0.006</w:t>
            </w:r>
            <w:r>
              <w:rPr>
                <w:color w:val="auto"/>
                <w:sz w:val="24"/>
              </w:rPr>
              <w:t>t/a</w:t>
            </w:r>
            <w:r>
              <w:rPr>
                <w:rFonts w:hint="eastAsia"/>
                <w:color w:val="auto"/>
                <w:sz w:val="24"/>
              </w:rPr>
              <w:t>；</w:t>
            </w:r>
            <w:r>
              <w:rPr>
                <w:bCs/>
                <w:color w:val="auto"/>
                <w:sz w:val="24"/>
              </w:rPr>
              <w:t>经查询属于危险废物（HW08废矿物油与含矿物油废物，</w:t>
            </w:r>
            <w:r>
              <w:rPr>
                <w:rFonts w:hint="eastAsia"/>
                <w:bCs/>
                <w:color w:val="auto"/>
                <w:sz w:val="24"/>
              </w:rPr>
              <w:t>900-218-08</w:t>
            </w:r>
            <w:r>
              <w:rPr>
                <w:bCs/>
                <w:color w:val="auto"/>
                <w:sz w:val="24"/>
              </w:rPr>
              <w:t>）。</w:t>
            </w:r>
          </w:p>
          <w:p w14:paraId="4B000EBC">
            <w:pPr>
              <w:autoSpaceDE w:val="0"/>
              <w:autoSpaceDN w:val="0"/>
              <w:adjustRightInd w:val="0"/>
              <w:snapToGrid w:val="0"/>
              <w:spacing w:line="360" w:lineRule="auto"/>
              <w:ind w:firstLine="480" w:firstLineChars="200"/>
              <w:rPr>
                <w:bCs/>
                <w:color w:val="auto"/>
                <w:sz w:val="24"/>
              </w:rPr>
            </w:pPr>
            <w:r>
              <w:rPr>
                <w:rFonts w:hint="eastAsia" w:ascii="宋体" w:hAnsi="宋体" w:cs="宋体"/>
                <w:bCs/>
                <w:color w:val="auto"/>
                <w:kern w:val="0"/>
                <w:sz w:val="24"/>
                <w:lang w:bidi="en-US"/>
              </w:rPr>
              <w:t>③</w:t>
            </w:r>
            <w:r>
              <w:rPr>
                <w:rFonts w:hint="eastAsia"/>
                <w:bCs/>
                <w:color w:val="auto"/>
                <w:sz w:val="24"/>
              </w:rPr>
              <w:t>废胶桶</w:t>
            </w:r>
          </w:p>
          <w:p w14:paraId="7F3B7516">
            <w:pPr>
              <w:autoSpaceDE w:val="0"/>
              <w:autoSpaceDN w:val="0"/>
              <w:adjustRightInd w:val="0"/>
              <w:snapToGrid w:val="0"/>
              <w:spacing w:line="360" w:lineRule="auto"/>
              <w:ind w:firstLine="480" w:firstLineChars="200"/>
              <w:rPr>
                <w:rFonts w:hint="eastAsia" w:hAnsi="宋体" w:cs="宋体"/>
                <w:bCs/>
                <w:color w:val="auto"/>
                <w:sz w:val="24"/>
              </w:rPr>
            </w:pPr>
            <w:r>
              <w:rPr>
                <w:color w:val="auto"/>
                <w:sz w:val="24"/>
              </w:rPr>
              <w:t>本项目胶桶使用的为吨桶，单桶重量约为0.02t。胶桶</w:t>
            </w:r>
            <w:r>
              <w:rPr>
                <w:rFonts w:hint="eastAsia"/>
                <w:color w:val="auto"/>
                <w:sz w:val="24"/>
              </w:rPr>
              <w:t>使用后由原料厂家回收并重新灌装，然后返还项目生产循环利用</w:t>
            </w:r>
            <w:r>
              <w:rPr>
                <w:color w:val="auto"/>
                <w:sz w:val="24"/>
              </w:rPr>
              <w:t>，仅当发生破碎时才进行处理。类比同类企业，胶桶年损耗量约为5个，</w:t>
            </w:r>
            <w:r>
              <w:rPr>
                <w:rFonts w:hint="eastAsia"/>
                <w:color w:val="auto"/>
                <w:sz w:val="24"/>
                <w:lang w:eastAsia="zh-CN"/>
              </w:rPr>
              <w:t>胶桶内侧附着约</w:t>
            </w:r>
            <w:r>
              <w:rPr>
                <w:rFonts w:hint="eastAsia"/>
                <w:color w:val="auto"/>
                <w:sz w:val="24"/>
                <w:lang w:val="en-US" w:eastAsia="zh-CN"/>
              </w:rPr>
              <w:t>0.003t/a胶量，</w:t>
            </w:r>
            <w:r>
              <w:rPr>
                <w:color w:val="auto"/>
                <w:sz w:val="24"/>
              </w:rPr>
              <w:t>故需要处理的胶桶量为0.1</w:t>
            </w:r>
            <w:r>
              <w:rPr>
                <w:rFonts w:hint="eastAsia"/>
                <w:color w:val="auto"/>
                <w:sz w:val="24"/>
                <w:lang w:val="en-US" w:eastAsia="zh-CN"/>
              </w:rPr>
              <w:t>03</w:t>
            </w:r>
            <w:r>
              <w:rPr>
                <w:color w:val="auto"/>
                <w:sz w:val="24"/>
              </w:rPr>
              <w:t>t/a。</w:t>
            </w:r>
            <w:r>
              <w:rPr>
                <w:rStyle w:val="279"/>
                <w:color w:val="auto"/>
              </w:rPr>
              <w:t>建设单位拟将其收集至危废暂存间暂存，定期交有资质单位处理</w:t>
            </w:r>
            <w:r>
              <w:rPr>
                <w:rFonts w:hint="eastAsia" w:hAnsi="宋体" w:cs="宋体"/>
                <w:bCs/>
                <w:color w:val="auto"/>
                <w:sz w:val="24"/>
              </w:rPr>
              <w:t>。</w:t>
            </w:r>
          </w:p>
          <w:p w14:paraId="655F22B7">
            <w:pPr>
              <w:adjustRightInd w:val="0"/>
              <w:snapToGrid w:val="0"/>
              <w:spacing w:line="360" w:lineRule="auto"/>
              <w:ind w:firstLine="480" w:firstLineChars="200"/>
              <w:rPr>
                <w:rFonts w:hint="eastAsia" w:hAnsi="宋体" w:cs="宋体"/>
                <w:bCs/>
                <w:color w:val="auto"/>
                <w:sz w:val="24"/>
              </w:rPr>
            </w:pPr>
            <w:r>
              <w:rPr>
                <w:rFonts w:hint="eastAsia"/>
                <w:bCs/>
                <w:color w:val="auto"/>
                <w:sz w:val="24"/>
              </w:rPr>
              <w:t>④</w:t>
            </w:r>
            <w:r>
              <w:rPr>
                <w:rFonts w:hint="eastAsia" w:hAnsi="宋体" w:cs="宋体"/>
                <w:bCs/>
                <w:color w:val="auto"/>
                <w:sz w:val="24"/>
              </w:rPr>
              <w:t>含油抹布和手套</w:t>
            </w:r>
          </w:p>
          <w:p w14:paraId="77D7C9DA">
            <w:pPr>
              <w:autoSpaceDE w:val="0"/>
              <w:autoSpaceDN w:val="0"/>
              <w:adjustRightInd w:val="0"/>
              <w:snapToGrid w:val="0"/>
              <w:spacing w:line="360" w:lineRule="auto"/>
              <w:ind w:firstLine="480" w:firstLineChars="200"/>
              <w:rPr>
                <w:bCs/>
                <w:color w:val="auto"/>
                <w:kern w:val="0"/>
                <w:sz w:val="24"/>
                <w:lang w:bidi="en-US"/>
              </w:rPr>
            </w:pPr>
            <w:r>
              <w:rPr>
                <w:bCs/>
                <w:color w:val="auto"/>
                <w:kern w:val="0"/>
                <w:sz w:val="24"/>
                <w:lang w:bidi="en-US"/>
              </w:rPr>
              <w:t>建设项目</w:t>
            </w:r>
            <w:r>
              <w:rPr>
                <w:rFonts w:hint="eastAsia"/>
                <w:bCs/>
                <w:color w:val="auto"/>
                <w:kern w:val="0"/>
                <w:sz w:val="24"/>
                <w:lang w:bidi="en-US"/>
              </w:rPr>
              <w:t>人工擦拭、</w:t>
            </w:r>
            <w:r>
              <w:rPr>
                <w:bCs/>
                <w:color w:val="auto"/>
                <w:kern w:val="0"/>
                <w:sz w:val="24"/>
                <w:lang w:bidi="en-US"/>
              </w:rPr>
              <w:t>设备维修</w:t>
            </w:r>
            <w:r>
              <w:rPr>
                <w:rFonts w:hint="eastAsia"/>
                <w:bCs/>
                <w:color w:val="auto"/>
                <w:kern w:val="0"/>
                <w:sz w:val="24"/>
                <w:lang w:bidi="en-US"/>
              </w:rPr>
              <w:t>和</w:t>
            </w:r>
            <w:r>
              <w:rPr>
                <w:bCs/>
                <w:color w:val="auto"/>
                <w:kern w:val="0"/>
                <w:sz w:val="24"/>
                <w:lang w:bidi="en-US"/>
              </w:rPr>
              <w:t>保养过程中产生</w:t>
            </w:r>
            <w:r>
              <w:rPr>
                <w:rFonts w:hint="eastAsia"/>
                <w:bCs/>
                <w:color w:val="auto"/>
                <w:kern w:val="0"/>
                <w:sz w:val="24"/>
                <w:lang w:bidi="en-US"/>
              </w:rPr>
              <w:t>含油</w:t>
            </w:r>
            <w:r>
              <w:rPr>
                <w:bCs/>
                <w:color w:val="auto"/>
                <w:kern w:val="0"/>
                <w:sz w:val="24"/>
                <w:lang w:bidi="en-US"/>
              </w:rPr>
              <w:t>抹布</w:t>
            </w:r>
            <w:r>
              <w:rPr>
                <w:rFonts w:hint="eastAsia"/>
                <w:bCs/>
                <w:color w:val="auto"/>
                <w:kern w:val="0"/>
                <w:sz w:val="24"/>
                <w:lang w:bidi="en-US"/>
              </w:rPr>
              <w:t>和手套</w:t>
            </w:r>
            <w:r>
              <w:rPr>
                <w:bCs/>
                <w:color w:val="auto"/>
                <w:kern w:val="0"/>
                <w:sz w:val="24"/>
                <w:lang w:bidi="en-US"/>
              </w:rPr>
              <w:t>，类比同类项目，含油抹布</w:t>
            </w:r>
            <w:r>
              <w:rPr>
                <w:rFonts w:hint="eastAsia"/>
                <w:bCs/>
                <w:color w:val="auto"/>
                <w:kern w:val="0"/>
                <w:sz w:val="24"/>
                <w:lang w:bidi="en-US"/>
              </w:rPr>
              <w:t>和手套</w:t>
            </w:r>
            <w:r>
              <w:rPr>
                <w:bCs/>
                <w:color w:val="auto"/>
                <w:kern w:val="0"/>
                <w:sz w:val="24"/>
                <w:lang w:bidi="en-US"/>
              </w:rPr>
              <w:t>产生量约为0.0</w:t>
            </w:r>
            <w:r>
              <w:rPr>
                <w:rFonts w:hint="eastAsia"/>
                <w:bCs/>
                <w:color w:val="auto"/>
                <w:kern w:val="0"/>
                <w:sz w:val="24"/>
                <w:lang w:bidi="en-US"/>
              </w:rPr>
              <w:t>02</w:t>
            </w:r>
            <w:r>
              <w:rPr>
                <w:bCs/>
                <w:color w:val="auto"/>
                <w:kern w:val="0"/>
                <w:sz w:val="24"/>
                <w:lang w:bidi="en-US"/>
              </w:rPr>
              <w:t>t/a。经查询属于危险废物（HW49其他废物，900-041-49）</w:t>
            </w:r>
            <w:r>
              <w:rPr>
                <w:rFonts w:hint="eastAsia"/>
                <w:bCs/>
                <w:color w:val="auto"/>
                <w:kern w:val="0"/>
                <w:sz w:val="24"/>
                <w:lang w:bidi="en-US"/>
              </w:rPr>
              <w:t>，</w:t>
            </w:r>
            <w:r>
              <w:rPr>
                <w:rFonts w:hAnsiTheme="minorEastAsia" w:eastAsiaTheme="minorEastAsia"/>
                <w:bCs/>
                <w:color w:val="auto"/>
                <w:kern w:val="0"/>
                <w:sz w:val="24"/>
              </w:rPr>
              <w:t>由有资质和处理能力的危险废物处理单位处理</w:t>
            </w:r>
            <w:r>
              <w:rPr>
                <w:bCs/>
                <w:color w:val="auto"/>
                <w:kern w:val="0"/>
                <w:sz w:val="24"/>
                <w:lang w:bidi="en-US"/>
              </w:rPr>
              <w:t>。</w:t>
            </w:r>
          </w:p>
          <w:p w14:paraId="6F73F578">
            <w:pPr>
              <w:adjustRightInd w:val="0"/>
              <w:snapToGrid w:val="0"/>
              <w:spacing w:line="360" w:lineRule="auto"/>
              <w:ind w:firstLine="480" w:firstLineChars="200"/>
              <w:rPr>
                <w:rFonts w:hint="eastAsia"/>
                <w:bCs/>
                <w:color w:val="auto"/>
                <w:sz w:val="24"/>
                <w:lang w:eastAsia="zh-CN"/>
              </w:rPr>
            </w:pPr>
            <w:r>
              <w:rPr>
                <w:rFonts w:hint="eastAsia"/>
                <w:bCs/>
                <w:color w:val="auto"/>
                <w:sz w:val="24"/>
              </w:rPr>
              <w:t>⑤</w:t>
            </w:r>
            <w:r>
              <w:rPr>
                <w:rFonts w:hint="eastAsia"/>
                <w:bCs/>
                <w:color w:val="auto"/>
                <w:sz w:val="24"/>
                <w:lang w:eastAsia="zh-CN"/>
              </w:rPr>
              <w:t>清洗废水</w:t>
            </w:r>
          </w:p>
          <w:p w14:paraId="2599156B">
            <w:pPr>
              <w:adjustRightInd w:val="0"/>
              <w:snapToGrid w:val="0"/>
              <w:spacing w:line="360" w:lineRule="auto"/>
              <w:ind w:firstLine="480" w:firstLineChars="200"/>
              <w:rPr>
                <w:rFonts w:hint="eastAsia"/>
                <w:bCs/>
                <w:color w:val="auto"/>
                <w:sz w:val="24"/>
              </w:rPr>
            </w:pPr>
            <w:r>
              <w:rPr>
                <w:rFonts w:hint="eastAsia"/>
                <w:bCs/>
                <w:color w:val="auto"/>
                <w:sz w:val="24"/>
              </w:rPr>
              <w:t>建设项目</w:t>
            </w:r>
            <w:r>
              <w:rPr>
                <w:rFonts w:hint="eastAsia"/>
                <w:bCs/>
                <w:color w:val="auto"/>
                <w:sz w:val="24"/>
                <w:lang w:eastAsia="zh-CN"/>
              </w:rPr>
              <w:t>涂胶</w:t>
            </w:r>
            <w:r>
              <w:rPr>
                <w:rFonts w:hint="eastAsia"/>
                <w:bCs/>
                <w:color w:val="auto"/>
                <w:sz w:val="24"/>
              </w:rPr>
              <w:t>后需用清水清洗</w:t>
            </w:r>
            <w:r>
              <w:rPr>
                <w:rFonts w:hint="eastAsia"/>
                <w:bCs/>
                <w:color w:val="auto"/>
                <w:sz w:val="24"/>
                <w:lang w:eastAsia="zh-CN"/>
              </w:rPr>
              <w:t>涂胶机</w:t>
            </w:r>
            <w:r>
              <w:rPr>
                <w:rFonts w:hint="eastAsia"/>
                <w:bCs/>
                <w:color w:val="auto"/>
                <w:sz w:val="24"/>
              </w:rPr>
              <w:t>。根据企业提供资料，</w:t>
            </w:r>
            <w:r>
              <w:rPr>
                <w:rFonts w:hint="eastAsia"/>
                <w:bCs/>
                <w:color w:val="auto"/>
                <w:sz w:val="24"/>
                <w:lang w:eastAsia="zh-CN"/>
              </w:rPr>
              <w:t>涂胶机</w:t>
            </w:r>
            <w:r>
              <w:rPr>
                <w:rFonts w:hint="eastAsia"/>
                <w:bCs/>
                <w:color w:val="auto"/>
                <w:sz w:val="24"/>
              </w:rPr>
              <w:t>清洗用水量约为0.0</w:t>
            </w:r>
            <w:r>
              <w:rPr>
                <w:rFonts w:hint="eastAsia"/>
                <w:bCs/>
                <w:color w:val="auto"/>
                <w:sz w:val="24"/>
                <w:lang w:val="en-US" w:eastAsia="zh-CN"/>
              </w:rPr>
              <w:t>4</w:t>
            </w:r>
            <w:r>
              <w:rPr>
                <w:rFonts w:hint="eastAsia"/>
                <w:bCs/>
                <w:color w:val="auto"/>
                <w:sz w:val="24"/>
              </w:rPr>
              <w:t>m³/次，每天清洗一次，则喷头清洗用水量约为</w:t>
            </w:r>
            <w:r>
              <w:rPr>
                <w:rFonts w:hint="eastAsia"/>
                <w:bCs/>
                <w:color w:val="auto"/>
                <w:sz w:val="24"/>
                <w:lang w:val="en-US" w:eastAsia="zh-CN"/>
              </w:rPr>
              <w:t>12</w:t>
            </w:r>
            <w:r>
              <w:rPr>
                <w:rFonts w:hint="eastAsia"/>
                <w:bCs/>
                <w:color w:val="auto"/>
                <w:sz w:val="24"/>
              </w:rPr>
              <w:t>m³/a，清洗过程中约有20%的损耗，80%进入危废，</w:t>
            </w:r>
            <w:r>
              <w:rPr>
                <w:rFonts w:hint="eastAsia"/>
                <w:bCs/>
                <w:color w:val="auto"/>
                <w:sz w:val="24"/>
                <w:lang w:eastAsia="zh-CN"/>
              </w:rPr>
              <w:t>当作</w:t>
            </w:r>
            <w:r>
              <w:rPr>
                <w:rFonts w:hint="eastAsia"/>
                <w:bCs/>
                <w:color w:val="auto"/>
                <w:sz w:val="24"/>
              </w:rPr>
              <w:t>危险废物废液，委托有资质单位处置。</w:t>
            </w:r>
          </w:p>
          <w:p w14:paraId="1491E231">
            <w:pPr>
              <w:adjustRightInd w:val="0"/>
              <w:snapToGrid w:val="0"/>
              <w:spacing w:line="360" w:lineRule="auto"/>
              <w:ind w:firstLine="480" w:firstLineChars="200"/>
              <w:rPr>
                <w:rFonts w:hint="eastAsia"/>
                <w:bCs/>
                <w:color w:val="auto"/>
                <w:sz w:val="24"/>
                <w:lang w:eastAsia="zh-CN"/>
              </w:rPr>
            </w:pPr>
            <w:r>
              <w:rPr>
                <w:rFonts w:hint="eastAsia"/>
                <w:bCs/>
                <w:color w:val="auto"/>
                <w:sz w:val="24"/>
              </w:rPr>
              <w:t>⑥</w:t>
            </w:r>
            <w:r>
              <w:rPr>
                <w:rFonts w:hint="eastAsia"/>
                <w:bCs/>
                <w:color w:val="auto"/>
                <w:sz w:val="24"/>
                <w:lang w:eastAsia="zh-CN"/>
              </w:rPr>
              <w:t>水喷淋废水</w:t>
            </w:r>
          </w:p>
          <w:p w14:paraId="4AAEFEEE">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本项目循环量为</w:t>
            </w:r>
            <w:r>
              <w:rPr>
                <w:rFonts w:hint="default"/>
                <w:bCs/>
                <w:color w:val="auto"/>
                <w:sz w:val="24"/>
                <w:lang w:val="en-US" w:eastAsia="zh-CN"/>
              </w:rPr>
              <w:t>20m</w:t>
            </w:r>
            <w:r>
              <w:rPr>
                <w:rFonts w:hint="default"/>
                <w:bCs/>
                <w:color w:val="auto"/>
                <w:sz w:val="24"/>
                <w:vertAlign w:val="superscript"/>
                <w:lang w:val="en-US" w:eastAsia="zh-CN"/>
              </w:rPr>
              <w:t>3</w:t>
            </w:r>
            <w:r>
              <w:rPr>
                <w:rFonts w:hint="default"/>
                <w:bCs/>
                <w:color w:val="auto"/>
                <w:sz w:val="24"/>
                <w:lang w:val="en-US" w:eastAsia="zh-CN"/>
              </w:rPr>
              <w:t>/h</w:t>
            </w:r>
            <w:r>
              <w:rPr>
                <w:rFonts w:hint="eastAsia"/>
                <w:bCs/>
                <w:color w:val="auto"/>
                <w:sz w:val="24"/>
                <w:lang w:val="en-US" w:eastAsia="zh-CN"/>
              </w:rPr>
              <w:t>，水帘水按需补充、循环使用，定期捞渣，定期整体更换作为危险废物。配套水喷淋装置废水可循环运行6个月更换一次，一次更换量为</w:t>
            </w:r>
            <w:r>
              <w:rPr>
                <w:rFonts w:hint="default"/>
                <w:bCs/>
                <w:color w:val="auto"/>
                <w:sz w:val="24"/>
                <w:lang w:val="en-US" w:eastAsia="zh-CN"/>
              </w:rPr>
              <w:t>5t</w:t>
            </w:r>
            <w:r>
              <w:rPr>
                <w:rFonts w:hint="eastAsia"/>
                <w:bCs/>
                <w:color w:val="auto"/>
                <w:sz w:val="24"/>
                <w:lang w:val="en-US" w:eastAsia="zh-CN"/>
              </w:rPr>
              <w:t>，则水喷淋废液产生量为10</w:t>
            </w:r>
            <w:r>
              <w:rPr>
                <w:rFonts w:hint="default"/>
                <w:bCs/>
                <w:color w:val="auto"/>
                <w:sz w:val="24"/>
                <w:lang w:val="en-US" w:eastAsia="zh-CN"/>
              </w:rPr>
              <w:t>t/a</w:t>
            </w:r>
            <w:r>
              <w:rPr>
                <w:rFonts w:hint="eastAsia"/>
                <w:bCs/>
                <w:color w:val="auto"/>
                <w:sz w:val="24"/>
                <w:lang w:val="en-US" w:eastAsia="zh-CN"/>
              </w:rPr>
              <w:t>。经查询属于危险废物（</w:t>
            </w:r>
            <w:r>
              <w:rPr>
                <w:rFonts w:hint="default"/>
                <w:bCs/>
                <w:color w:val="auto"/>
                <w:sz w:val="24"/>
                <w:lang w:val="en-US" w:eastAsia="zh-CN"/>
              </w:rPr>
              <w:t>HW</w:t>
            </w:r>
            <w:r>
              <w:rPr>
                <w:rFonts w:hint="eastAsia"/>
                <w:bCs/>
                <w:color w:val="auto"/>
                <w:sz w:val="24"/>
                <w:lang w:val="en-US" w:eastAsia="zh-CN"/>
              </w:rPr>
              <w:t>49其他废物，772-006</w:t>
            </w:r>
            <w:r>
              <w:rPr>
                <w:rFonts w:hint="default"/>
                <w:bCs/>
                <w:color w:val="auto"/>
                <w:sz w:val="24"/>
                <w:lang w:val="en-US" w:eastAsia="zh-CN"/>
              </w:rPr>
              <w:t>-</w:t>
            </w:r>
            <w:r>
              <w:rPr>
                <w:rFonts w:hint="eastAsia"/>
                <w:bCs/>
                <w:color w:val="auto"/>
                <w:sz w:val="24"/>
                <w:lang w:val="en-US" w:eastAsia="zh-CN"/>
              </w:rPr>
              <w:t>49）。</w:t>
            </w:r>
          </w:p>
          <w:p w14:paraId="252A04E8">
            <w:pPr>
              <w:adjustRightInd w:val="0"/>
              <w:snapToGrid w:val="0"/>
              <w:spacing w:line="360" w:lineRule="auto"/>
              <w:ind w:firstLine="482" w:firstLineChars="200"/>
              <w:rPr>
                <w:rFonts w:eastAsiaTheme="minorEastAsia"/>
                <w:b/>
                <w:color w:val="auto"/>
                <w:kern w:val="0"/>
                <w:sz w:val="24"/>
              </w:rPr>
            </w:pPr>
            <w:r>
              <w:rPr>
                <w:rFonts w:eastAsiaTheme="minorEastAsia"/>
                <w:b/>
                <w:color w:val="auto"/>
                <w:kern w:val="0"/>
                <w:sz w:val="24"/>
              </w:rPr>
              <w:t>一般工业固废</w:t>
            </w:r>
          </w:p>
          <w:p w14:paraId="0CCE2817">
            <w:pPr>
              <w:adjustRightInd w:val="0"/>
              <w:snapToGrid w:val="0"/>
              <w:spacing w:line="360" w:lineRule="auto"/>
              <w:ind w:firstLine="480" w:firstLineChars="200"/>
              <w:rPr>
                <w:rStyle w:val="50"/>
                <w:rFonts w:eastAsiaTheme="minorEastAsia"/>
                <w:color w:val="auto"/>
                <w:sz w:val="24"/>
              </w:rPr>
            </w:pPr>
            <w:r>
              <w:rPr>
                <w:rStyle w:val="50"/>
                <w:rFonts w:hint="eastAsia" w:ascii="宋体" w:hAnsi="宋体" w:cs="宋体"/>
                <w:color w:val="auto"/>
                <w:sz w:val="24"/>
              </w:rPr>
              <w:t>①</w:t>
            </w:r>
            <w:r>
              <w:rPr>
                <w:rStyle w:val="50"/>
                <w:rFonts w:eastAsiaTheme="minorEastAsia"/>
                <w:color w:val="auto"/>
                <w:sz w:val="24"/>
              </w:rPr>
              <w:t>边角料</w:t>
            </w:r>
            <w:r>
              <w:rPr>
                <w:rFonts w:eastAsiaTheme="minorEastAsia"/>
                <w:color w:val="auto"/>
                <w:sz w:val="24"/>
              </w:rPr>
              <w:t>S</w:t>
            </w:r>
            <w:r>
              <w:rPr>
                <w:rFonts w:hint="eastAsia" w:eastAsiaTheme="minorEastAsia"/>
                <w:color w:val="auto"/>
                <w:sz w:val="24"/>
                <w:vertAlign w:val="subscript"/>
              </w:rPr>
              <w:t>3</w:t>
            </w:r>
          </w:p>
          <w:p w14:paraId="7EFC28F7">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项目裁边工段会产生边角料，根据业主提供资料，边角料的产生量约为产品</w:t>
            </w:r>
            <w:r>
              <w:rPr>
                <w:rStyle w:val="50"/>
                <w:rFonts w:hint="eastAsia" w:eastAsiaTheme="minorEastAsia"/>
                <w:color w:val="auto"/>
                <w:sz w:val="24"/>
              </w:rPr>
              <w:t>产</w:t>
            </w:r>
            <w:r>
              <w:rPr>
                <w:rStyle w:val="50"/>
                <w:rFonts w:eastAsiaTheme="minorEastAsia"/>
                <w:color w:val="auto"/>
                <w:sz w:val="24"/>
              </w:rPr>
              <w:t>量的1%，本项目胶合板</w:t>
            </w:r>
            <w:r>
              <w:rPr>
                <w:rStyle w:val="50"/>
                <w:rFonts w:hint="eastAsia" w:eastAsiaTheme="minorEastAsia"/>
                <w:color w:val="auto"/>
                <w:sz w:val="24"/>
              </w:rPr>
              <w:t>产</w:t>
            </w:r>
            <w:r>
              <w:rPr>
                <w:rStyle w:val="50"/>
                <w:rFonts w:eastAsiaTheme="minorEastAsia"/>
                <w:color w:val="auto"/>
                <w:sz w:val="24"/>
              </w:rPr>
              <w:t>量</w:t>
            </w:r>
            <w:r>
              <w:rPr>
                <w:rStyle w:val="50"/>
                <w:rFonts w:hint="eastAsia" w:eastAsiaTheme="minorEastAsia"/>
                <w:color w:val="auto"/>
                <w:sz w:val="24"/>
              </w:rPr>
              <w:t>11</w:t>
            </w:r>
            <w:r>
              <w:rPr>
                <w:rStyle w:val="50"/>
                <w:rFonts w:eastAsiaTheme="minorEastAsia"/>
                <w:color w:val="auto"/>
                <w:sz w:val="24"/>
              </w:rPr>
              <w:t>000m</w:t>
            </w:r>
            <w:r>
              <w:rPr>
                <w:rStyle w:val="50"/>
                <w:rFonts w:eastAsiaTheme="minorEastAsia"/>
                <w:color w:val="auto"/>
                <w:sz w:val="24"/>
                <w:vertAlign w:val="superscript"/>
              </w:rPr>
              <w:t>3</w:t>
            </w:r>
            <w:r>
              <w:rPr>
                <w:rStyle w:val="50"/>
                <w:rFonts w:hint="eastAsia" w:eastAsiaTheme="minorEastAsia"/>
                <w:color w:val="auto"/>
                <w:sz w:val="24"/>
              </w:rPr>
              <w:t>/a</w:t>
            </w:r>
            <w:r>
              <w:rPr>
                <w:rStyle w:val="50"/>
                <w:rFonts w:eastAsiaTheme="minorEastAsia"/>
                <w:color w:val="auto"/>
                <w:sz w:val="24"/>
              </w:rPr>
              <w:t>，</w:t>
            </w:r>
            <w:r>
              <w:rPr>
                <w:rStyle w:val="50"/>
                <w:rFonts w:hint="eastAsia" w:eastAsiaTheme="minorEastAsia"/>
                <w:color w:val="auto"/>
                <w:sz w:val="24"/>
              </w:rPr>
              <w:t>原料使用量为13000</w:t>
            </w:r>
            <w:r>
              <w:rPr>
                <w:rStyle w:val="50"/>
                <w:rFonts w:eastAsiaTheme="minorEastAsia"/>
                <w:color w:val="auto"/>
                <w:sz w:val="24"/>
              </w:rPr>
              <w:t>m</w:t>
            </w:r>
            <w:r>
              <w:rPr>
                <w:rStyle w:val="50"/>
                <w:rFonts w:eastAsiaTheme="minorEastAsia"/>
                <w:color w:val="auto"/>
                <w:sz w:val="24"/>
                <w:vertAlign w:val="superscript"/>
              </w:rPr>
              <w:t>3</w:t>
            </w:r>
            <w:r>
              <w:rPr>
                <w:rStyle w:val="50"/>
                <w:rFonts w:hint="eastAsia" w:eastAsiaTheme="minorEastAsia"/>
                <w:color w:val="auto"/>
                <w:sz w:val="24"/>
              </w:rPr>
              <w:t>/a，</w:t>
            </w:r>
            <w:r>
              <w:rPr>
                <w:rStyle w:val="50"/>
                <w:rFonts w:eastAsiaTheme="minorEastAsia"/>
                <w:color w:val="auto"/>
                <w:sz w:val="24"/>
              </w:rPr>
              <w:t>边角料的产生量约为</w:t>
            </w:r>
            <w:r>
              <w:rPr>
                <w:rStyle w:val="50"/>
                <w:rFonts w:hint="eastAsia" w:eastAsiaTheme="minorEastAsia"/>
                <w:color w:val="auto"/>
                <w:sz w:val="24"/>
              </w:rPr>
              <w:t>2000m</w:t>
            </w:r>
            <w:r>
              <w:rPr>
                <w:rStyle w:val="50"/>
                <w:rFonts w:hint="eastAsia" w:eastAsiaTheme="minorEastAsia"/>
                <w:color w:val="auto"/>
                <w:sz w:val="24"/>
                <w:vertAlign w:val="superscript"/>
              </w:rPr>
              <w:t>3</w:t>
            </w:r>
            <w:r>
              <w:rPr>
                <w:rStyle w:val="50"/>
                <w:rFonts w:hint="eastAsia" w:eastAsiaTheme="minorEastAsia"/>
                <w:color w:val="auto"/>
                <w:sz w:val="24"/>
              </w:rPr>
              <w:t>/a，密度以0.5计，则</w:t>
            </w:r>
            <w:r>
              <w:rPr>
                <w:rStyle w:val="50"/>
                <w:rFonts w:eastAsiaTheme="minorEastAsia"/>
                <w:color w:val="auto"/>
                <w:sz w:val="24"/>
              </w:rPr>
              <w:t>边角料的产生</w:t>
            </w:r>
            <w:r>
              <w:rPr>
                <w:rStyle w:val="50"/>
                <w:rFonts w:hint="eastAsia" w:eastAsiaTheme="minorEastAsia"/>
                <w:color w:val="auto"/>
                <w:sz w:val="24"/>
              </w:rPr>
              <w:t>量为1000t</w:t>
            </w:r>
            <w:r>
              <w:rPr>
                <w:rStyle w:val="50"/>
                <w:rFonts w:eastAsiaTheme="minorEastAsia"/>
                <w:color w:val="auto"/>
                <w:sz w:val="24"/>
              </w:rPr>
              <w:t>/a。</w:t>
            </w:r>
          </w:p>
          <w:p w14:paraId="6AD73F4D">
            <w:pPr>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②不合格胶合板S</w:t>
            </w:r>
            <w:r>
              <w:rPr>
                <w:rStyle w:val="50"/>
                <w:rFonts w:hint="eastAsia" w:eastAsiaTheme="minorEastAsia"/>
                <w:color w:val="auto"/>
                <w:sz w:val="24"/>
                <w:vertAlign w:val="subscript"/>
              </w:rPr>
              <w:t>4</w:t>
            </w:r>
          </w:p>
          <w:p w14:paraId="6FA01D0D">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根据企业生产经验，</w:t>
            </w:r>
            <w:r>
              <w:rPr>
                <w:rStyle w:val="50"/>
                <w:rFonts w:hint="eastAsia" w:eastAsiaTheme="minorEastAsia"/>
                <w:color w:val="auto"/>
                <w:sz w:val="24"/>
              </w:rPr>
              <w:t>不合格胶合板产</w:t>
            </w:r>
            <w:r>
              <w:rPr>
                <w:rStyle w:val="50"/>
                <w:rFonts w:eastAsiaTheme="minorEastAsia"/>
                <w:color w:val="auto"/>
                <w:sz w:val="24"/>
              </w:rPr>
              <w:t>生量约为</w:t>
            </w:r>
            <w:r>
              <w:rPr>
                <w:rStyle w:val="50"/>
                <w:rFonts w:hint="eastAsia" w:eastAsiaTheme="minorEastAsia"/>
                <w:color w:val="auto"/>
                <w:sz w:val="24"/>
              </w:rPr>
              <w:t>产品的0.1%，</w:t>
            </w:r>
            <w:r>
              <w:rPr>
                <w:rStyle w:val="50"/>
                <w:rFonts w:eastAsiaTheme="minorEastAsia"/>
                <w:color w:val="auto"/>
                <w:sz w:val="24"/>
              </w:rPr>
              <w:t>本项目胶合板</w:t>
            </w:r>
            <w:r>
              <w:rPr>
                <w:rStyle w:val="50"/>
                <w:rFonts w:hint="eastAsia" w:eastAsiaTheme="minorEastAsia"/>
                <w:color w:val="auto"/>
                <w:sz w:val="24"/>
              </w:rPr>
              <w:t>产</w:t>
            </w:r>
            <w:r>
              <w:rPr>
                <w:rStyle w:val="50"/>
                <w:rFonts w:eastAsiaTheme="minorEastAsia"/>
                <w:color w:val="auto"/>
                <w:sz w:val="24"/>
              </w:rPr>
              <w:t>量</w:t>
            </w:r>
            <w:r>
              <w:rPr>
                <w:rStyle w:val="50"/>
                <w:rFonts w:hint="eastAsia" w:eastAsiaTheme="minorEastAsia"/>
                <w:color w:val="auto"/>
                <w:sz w:val="24"/>
              </w:rPr>
              <w:t>11</w:t>
            </w:r>
            <w:r>
              <w:rPr>
                <w:rStyle w:val="50"/>
                <w:rFonts w:eastAsiaTheme="minorEastAsia"/>
                <w:color w:val="auto"/>
                <w:sz w:val="24"/>
              </w:rPr>
              <w:t>000m</w:t>
            </w:r>
            <w:r>
              <w:rPr>
                <w:rStyle w:val="50"/>
                <w:rFonts w:eastAsiaTheme="minorEastAsia"/>
                <w:color w:val="auto"/>
                <w:sz w:val="24"/>
                <w:vertAlign w:val="superscript"/>
              </w:rPr>
              <w:t>3</w:t>
            </w:r>
            <w:r>
              <w:rPr>
                <w:rStyle w:val="50"/>
                <w:rFonts w:hint="eastAsia" w:eastAsiaTheme="minorEastAsia"/>
                <w:color w:val="auto"/>
                <w:sz w:val="24"/>
              </w:rPr>
              <w:t>/a</w:t>
            </w:r>
            <w:r>
              <w:rPr>
                <w:rStyle w:val="50"/>
                <w:rFonts w:eastAsiaTheme="minorEastAsia"/>
                <w:color w:val="auto"/>
                <w:sz w:val="24"/>
              </w:rPr>
              <w:t>，</w:t>
            </w:r>
            <w:r>
              <w:rPr>
                <w:rStyle w:val="50"/>
                <w:rFonts w:hint="eastAsia" w:eastAsiaTheme="minorEastAsia"/>
                <w:color w:val="auto"/>
                <w:sz w:val="24"/>
              </w:rPr>
              <w:t>本项目不合格胶合板产生量为11m</w:t>
            </w:r>
            <w:r>
              <w:rPr>
                <w:rStyle w:val="50"/>
                <w:rFonts w:hint="eastAsia" w:eastAsiaTheme="minorEastAsia"/>
                <w:color w:val="auto"/>
                <w:sz w:val="24"/>
                <w:vertAlign w:val="superscript"/>
              </w:rPr>
              <w:t>3</w:t>
            </w:r>
            <w:r>
              <w:rPr>
                <w:rStyle w:val="50"/>
                <w:rFonts w:eastAsiaTheme="minorEastAsia"/>
                <w:color w:val="auto"/>
                <w:sz w:val="24"/>
              </w:rPr>
              <w:t>/a</w:t>
            </w:r>
            <w:r>
              <w:rPr>
                <w:rStyle w:val="50"/>
                <w:rFonts w:hint="eastAsia" w:eastAsiaTheme="minorEastAsia"/>
                <w:color w:val="auto"/>
                <w:sz w:val="24"/>
              </w:rPr>
              <w:t>，密度以0.5计，则不合格胶合板</w:t>
            </w:r>
            <w:r>
              <w:rPr>
                <w:rStyle w:val="50"/>
                <w:rFonts w:eastAsiaTheme="minorEastAsia"/>
                <w:color w:val="auto"/>
                <w:sz w:val="24"/>
              </w:rPr>
              <w:t>的产生</w:t>
            </w:r>
            <w:r>
              <w:rPr>
                <w:rStyle w:val="50"/>
                <w:rFonts w:hint="eastAsia" w:eastAsiaTheme="minorEastAsia"/>
                <w:color w:val="auto"/>
                <w:sz w:val="24"/>
              </w:rPr>
              <w:t>量为5.5t</w:t>
            </w:r>
            <w:r>
              <w:rPr>
                <w:rStyle w:val="50"/>
                <w:rFonts w:eastAsiaTheme="minorEastAsia"/>
                <w:color w:val="auto"/>
                <w:sz w:val="24"/>
              </w:rPr>
              <w:t>/a。</w:t>
            </w:r>
          </w:p>
          <w:p w14:paraId="58428D95">
            <w:pPr>
              <w:adjustRightInd w:val="0"/>
              <w:snapToGrid w:val="0"/>
              <w:spacing w:line="360" w:lineRule="auto"/>
              <w:ind w:firstLine="480" w:firstLineChars="200"/>
              <w:rPr>
                <w:rStyle w:val="50"/>
                <w:rFonts w:eastAsiaTheme="minorEastAsia"/>
                <w:color w:val="auto"/>
                <w:sz w:val="24"/>
              </w:rPr>
            </w:pPr>
            <w:r>
              <w:rPr>
                <w:rStyle w:val="50"/>
                <w:rFonts w:hint="eastAsia" w:ascii="宋体" w:hAnsi="宋体" w:cs="宋体"/>
                <w:color w:val="auto"/>
                <w:sz w:val="24"/>
              </w:rPr>
              <w:t>③</w:t>
            </w:r>
            <w:r>
              <w:rPr>
                <w:rStyle w:val="50"/>
                <w:rFonts w:eastAsiaTheme="minorEastAsia"/>
                <w:color w:val="auto"/>
                <w:sz w:val="24"/>
              </w:rPr>
              <w:t>收集灰</w:t>
            </w:r>
          </w:p>
          <w:p w14:paraId="11B29CB4">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根据物料衡算法，</w:t>
            </w:r>
            <w:r>
              <w:rPr>
                <w:rStyle w:val="50"/>
                <w:rFonts w:hint="eastAsia" w:eastAsiaTheme="minorEastAsia"/>
                <w:color w:val="auto"/>
                <w:sz w:val="24"/>
              </w:rPr>
              <w:t>旋切、锯切、砂光</w:t>
            </w:r>
            <w:r>
              <w:rPr>
                <w:rStyle w:val="50"/>
                <w:rFonts w:eastAsiaTheme="minorEastAsia"/>
                <w:color w:val="auto"/>
                <w:sz w:val="24"/>
              </w:rPr>
              <w:t>粉尘产生量约</w:t>
            </w:r>
            <w:r>
              <w:rPr>
                <w:rStyle w:val="50"/>
                <w:rFonts w:hint="eastAsia" w:eastAsiaTheme="minorEastAsia"/>
                <w:color w:val="auto"/>
                <w:sz w:val="24"/>
              </w:rPr>
              <w:t>36.2052</w:t>
            </w:r>
            <w:r>
              <w:rPr>
                <w:rStyle w:val="50"/>
                <w:rFonts w:eastAsiaTheme="minorEastAsia"/>
                <w:color w:val="auto"/>
                <w:sz w:val="24"/>
              </w:rPr>
              <w:t>t/a，企业收集后交由物资部门外售处理。</w:t>
            </w:r>
          </w:p>
          <w:p w14:paraId="5D1B4567">
            <w:pPr>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④</w:t>
            </w:r>
            <w:r>
              <w:rPr>
                <w:rStyle w:val="50"/>
                <w:rFonts w:eastAsiaTheme="minorEastAsia"/>
                <w:color w:val="auto"/>
                <w:sz w:val="24"/>
              </w:rPr>
              <w:t>废布袋</w:t>
            </w:r>
          </w:p>
          <w:p w14:paraId="4451A51C">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根据企业生产经验，建设项目废布袋产生量约为0.01t</w:t>
            </w:r>
            <w:r>
              <w:rPr>
                <w:rStyle w:val="50"/>
                <w:rFonts w:hint="eastAsia" w:eastAsiaTheme="minorEastAsia"/>
                <w:color w:val="auto"/>
                <w:sz w:val="24"/>
              </w:rPr>
              <w:t>/a</w:t>
            </w:r>
            <w:r>
              <w:rPr>
                <w:rStyle w:val="50"/>
                <w:rFonts w:eastAsiaTheme="minorEastAsia"/>
                <w:color w:val="auto"/>
                <w:sz w:val="24"/>
              </w:rPr>
              <w:t>。</w:t>
            </w:r>
          </w:p>
          <w:p w14:paraId="15C89075">
            <w:pPr>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⑤</w:t>
            </w:r>
            <w:r>
              <w:rPr>
                <w:rStyle w:val="50"/>
                <w:rFonts w:eastAsiaTheme="minorEastAsia"/>
                <w:color w:val="auto"/>
                <w:sz w:val="24"/>
              </w:rPr>
              <w:t>废包装袋</w:t>
            </w:r>
          </w:p>
          <w:p w14:paraId="79FDF043">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项目面粉采用尼龙袋包装，包装规格为2</w:t>
            </w:r>
            <w:r>
              <w:rPr>
                <w:rStyle w:val="50"/>
                <w:rFonts w:hint="eastAsia" w:eastAsiaTheme="minorEastAsia"/>
                <w:color w:val="auto"/>
                <w:sz w:val="24"/>
              </w:rPr>
              <w:t>5</w:t>
            </w:r>
            <w:r>
              <w:rPr>
                <w:rStyle w:val="50"/>
                <w:rFonts w:eastAsiaTheme="minorEastAsia"/>
                <w:color w:val="auto"/>
                <w:sz w:val="24"/>
              </w:rPr>
              <w:t>kg/袋，单只包装袋重量以0.3kg计，项目面粉用量</w:t>
            </w:r>
            <w:r>
              <w:rPr>
                <w:rStyle w:val="50"/>
                <w:rFonts w:hint="eastAsia" w:eastAsiaTheme="minorEastAsia"/>
                <w:color w:val="auto"/>
                <w:sz w:val="24"/>
              </w:rPr>
              <w:t>400</w:t>
            </w:r>
            <w:r>
              <w:rPr>
                <w:rStyle w:val="50"/>
                <w:rFonts w:eastAsiaTheme="minorEastAsia"/>
                <w:color w:val="auto"/>
                <w:sz w:val="24"/>
              </w:rPr>
              <w:t>t/a，则废包装袋产生量约为</w:t>
            </w:r>
            <w:r>
              <w:rPr>
                <w:rStyle w:val="50"/>
                <w:rFonts w:hint="eastAsia" w:eastAsiaTheme="minorEastAsia"/>
                <w:color w:val="auto"/>
                <w:sz w:val="24"/>
              </w:rPr>
              <w:t>4.8</w:t>
            </w:r>
            <w:r>
              <w:rPr>
                <w:rStyle w:val="50"/>
                <w:rFonts w:eastAsiaTheme="minorEastAsia"/>
                <w:color w:val="auto"/>
                <w:sz w:val="24"/>
              </w:rPr>
              <w:t>t/a。废包装袋统一收集后外售</w:t>
            </w:r>
            <w:r>
              <w:rPr>
                <w:rStyle w:val="50"/>
                <w:rFonts w:hint="eastAsia" w:eastAsiaTheme="minorEastAsia"/>
                <w:color w:val="auto"/>
                <w:sz w:val="24"/>
              </w:rPr>
              <w:t>。</w:t>
            </w:r>
          </w:p>
          <w:p w14:paraId="6A34E8FF">
            <w:pPr>
              <w:autoSpaceDE w:val="0"/>
              <w:autoSpaceDN w:val="0"/>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⑥废木屑</w:t>
            </w:r>
          </w:p>
          <w:p w14:paraId="19D9432A">
            <w:pPr>
              <w:autoSpaceDE w:val="0"/>
              <w:autoSpaceDN w:val="0"/>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项目生产中，锯边和砂光工段，未被收集的颗粒物在生产车间无组织排放，因颗粒物以大直径木屑为主，大部分在车间内自然沉降，沉降率按</w:t>
            </w:r>
            <w:r>
              <w:rPr>
                <w:rStyle w:val="50"/>
                <w:rFonts w:eastAsiaTheme="minorEastAsia"/>
                <w:color w:val="auto"/>
                <w:sz w:val="24"/>
              </w:rPr>
              <w:t>90%</w:t>
            </w:r>
            <w:r>
              <w:rPr>
                <w:rStyle w:val="50"/>
                <w:rFonts w:hint="eastAsia" w:eastAsiaTheme="minorEastAsia"/>
                <w:color w:val="auto"/>
                <w:sz w:val="24"/>
              </w:rPr>
              <w:t>计。因此产生的废木屑3.3858t/a。</w:t>
            </w:r>
          </w:p>
          <w:p w14:paraId="2A30220C">
            <w:pPr>
              <w:autoSpaceDE w:val="0"/>
              <w:autoSpaceDN w:val="0"/>
              <w:adjustRightInd w:val="0"/>
              <w:snapToGrid w:val="0"/>
              <w:spacing w:line="360" w:lineRule="auto"/>
              <w:ind w:firstLine="480" w:firstLineChars="200"/>
              <w:rPr>
                <w:rStyle w:val="50"/>
                <w:rFonts w:hint="eastAsia" w:ascii="宋体" w:hAnsi="宋体" w:cs="宋体"/>
                <w:color w:val="auto"/>
                <w:sz w:val="24"/>
              </w:rPr>
            </w:pPr>
            <w:r>
              <w:rPr>
                <w:rStyle w:val="50"/>
                <w:rFonts w:hint="eastAsia" w:ascii="宋体" w:hAnsi="宋体" w:cs="宋体"/>
                <w:color w:val="auto"/>
                <w:sz w:val="24"/>
              </w:rPr>
              <w:t>⑦废砂片</w:t>
            </w:r>
          </w:p>
          <w:p w14:paraId="39DDBA2E">
            <w:pPr>
              <w:autoSpaceDE w:val="0"/>
              <w:autoSpaceDN w:val="0"/>
              <w:adjustRightInd w:val="0"/>
              <w:snapToGrid w:val="0"/>
              <w:spacing w:line="360" w:lineRule="auto"/>
              <w:ind w:firstLine="480" w:firstLineChars="200"/>
              <w:rPr>
                <w:color w:val="auto"/>
              </w:rPr>
            </w:pPr>
            <w:r>
              <w:rPr>
                <w:rStyle w:val="50"/>
                <w:color w:val="auto"/>
                <w:sz w:val="24"/>
              </w:rPr>
              <w:t>根据企业砂轮片年用量为0.1t/a，产生的废砂轮片约为</w:t>
            </w:r>
            <w:r>
              <w:rPr>
                <w:rStyle w:val="50"/>
                <w:rFonts w:hint="eastAsia"/>
                <w:color w:val="auto"/>
                <w:sz w:val="24"/>
              </w:rPr>
              <w:t>使用量的</w:t>
            </w:r>
            <w:r>
              <w:rPr>
                <w:rStyle w:val="50"/>
                <w:color w:val="auto"/>
                <w:sz w:val="24"/>
              </w:rPr>
              <w:t>10%</w:t>
            </w:r>
            <w:r>
              <w:rPr>
                <w:rStyle w:val="50"/>
                <w:rFonts w:hint="eastAsia"/>
                <w:color w:val="auto"/>
                <w:sz w:val="24"/>
              </w:rPr>
              <w:t>，则</w:t>
            </w:r>
            <w:r>
              <w:rPr>
                <w:rStyle w:val="50"/>
                <w:color w:val="auto"/>
                <w:sz w:val="24"/>
              </w:rPr>
              <w:t>废砂轮片约0.01t/a。</w:t>
            </w:r>
          </w:p>
          <w:p w14:paraId="605B505B">
            <w:pPr>
              <w:adjustRightInd w:val="0"/>
              <w:snapToGrid w:val="0"/>
              <w:spacing w:line="360" w:lineRule="auto"/>
              <w:ind w:firstLine="480" w:firstLineChars="200"/>
              <w:rPr>
                <w:rStyle w:val="50"/>
                <w:rFonts w:eastAsiaTheme="minorEastAsia"/>
                <w:color w:val="auto"/>
                <w:sz w:val="24"/>
              </w:rPr>
            </w:pPr>
            <w:r>
              <w:rPr>
                <w:rStyle w:val="50"/>
                <w:rFonts w:eastAsiaTheme="minorEastAsia"/>
                <w:color w:val="auto"/>
                <w:sz w:val="24"/>
              </w:rPr>
              <w:t>（3）生活垃圾</w:t>
            </w:r>
          </w:p>
          <w:p w14:paraId="6587AF2E">
            <w:pPr>
              <w:adjustRightInd w:val="0"/>
              <w:snapToGrid w:val="0"/>
              <w:spacing w:line="360" w:lineRule="auto"/>
              <w:ind w:firstLine="480" w:firstLineChars="200"/>
              <w:rPr>
                <w:rStyle w:val="50"/>
                <w:rFonts w:eastAsiaTheme="minorEastAsia"/>
                <w:color w:val="auto"/>
                <w:sz w:val="24"/>
              </w:rPr>
            </w:pPr>
            <w:r>
              <w:rPr>
                <w:rStyle w:val="50"/>
                <w:rFonts w:hint="eastAsia" w:eastAsiaTheme="minorEastAsia"/>
                <w:color w:val="auto"/>
                <w:sz w:val="24"/>
              </w:rPr>
              <w:t>①</w:t>
            </w:r>
            <w:r>
              <w:rPr>
                <w:rStyle w:val="50"/>
                <w:rFonts w:eastAsiaTheme="minorEastAsia"/>
                <w:color w:val="auto"/>
                <w:sz w:val="24"/>
              </w:rPr>
              <w:t>生活垃圾</w:t>
            </w:r>
          </w:p>
          <w:p w14:paraId="35A4F75C">
            <w:pPr>
              <w:adjustRightInd w:val="0"/>
              <w:snapToGrid w:val="0"/>
              <w:spacing w:line="360" w:lineRule="auto"/>
              <w:ind w:firstLine="480" w:firstLineChars="200"/>
              <w:rPr>
                <w:rFonts w:eastAsiaTheme="minorEastAsia"/>
                <w:color w:val="auto"/>
                <w:sz w:val="24"/>
              </w:rPr>
            </w:pPr>
            <w:r>
              <w:rPr>
                <w:rStyle w:val="50"/>
                <w:rFonts w:hint="eastAsia" w:eastAsiaTheme="minorEastAsia"/>
                <w:color w:val="auto"/>
                <w:sz w:val="24"/>
              </w:rPr>
              <w:t>建设</w:t>
            </w:r>
            <w:r>
              <w:rPr>
                <w:rStyle w:val="50"/>
                <w:rFonts w:eastAsiaTheme="minorEastAsia"/>
                <w:color w:val="auto"/>
                <w:sz w:val="24"/>
              </w:rPr>
              <w:t>项目职工</w:t>
            </w:r>
            <w:r>
              <w:rPr>
                <w:rFonts w:hint="eastAsia" w:eastAsiaTheme="minorEastAsia"/>
                <w:bCs/>
                <w:color w:val="auto"/>
                <w:sz w:val="24"/>
              </w:rPr>
              <w:t>35</w:t>
            </w:r>
            <w:r>
              <w:rPr>
                <w:rFonts w:eastAsiaTheme="minorEastAsia"/>
                <w:bCs/>
                <w:color w:val="auto"/>
                <w:sz w:val="24"/>
              </w:rPr>
              <w:t>人，</w:t>
            </w:r>
            <w:r>
              <w:rPr>
                <w:rFonts w:hint="eastAsia" w:eastAsiaTheme="minorEastAsia"/>
                <w:bCs/>
                <w:color w:val="auto"/>
                <w:sz w:val="24"/>
              </w:rPr>
              <w:t>年工作300天，</w:t>
            </w:r>
            <w:r>
              <w:rPr>
                <w:rFonts w:eastAsiaTheme="minorEastAsia"/>
                <w:bCs/>
                <w:color w:val="auto"/>
                <w:sz w:val="24"/>
              </w:rPr>
              <w:t>根据《城镇生活源产排污系数手册》，生活垃圾按0.</w:t>
            </w:r>
            <w:r>
              <w:rPr>
                <w:rFonts w:hint="eastAsia" w:eastAsiaTheme="minorEastAsia"/>
                <w:bCs/>
                <w:color w:val="auto"/>
                <w:sz w:val="24"/>
              </w:rPr>
              <w:t>42</w:t>
            </w:r>
            <w:r>
              <w:rPr>
                <w:rFonts w:eastAsiaTheme="minorEastAsia"/>
                <w:bCs/>
                <w:color w:val="auto"/>
                <w:sz w:val="24"/>
              </w:rPr>
              <w:t>kg/人</w:t>
            </w:r>
            <w:r>
              <w:rPr>
                <w:rFonts w:eastAsiaTheme="minorEastAsia"/>
                <w:color w:val="auto"/>
                <w:sz w:val="24"/>
              </w:rPr>
              <w:t>·</w:t>
            </w:r>
            <w:r>
              <w:rPr>
                <w:rFonts w:eastAsiaTheme="minorEastAsia"/>
                <w:bCs/>
                <w:color w:val="auto"/>
                <w:sz w:val="24"/>
              </w:rPr>
              <w:t>d计算，则产生量为</w:t>
            </w:r>
            <w:r>
              <w:rPr>
                <w:rFonts w:hint="eastAsia" w:eastAsiaTheme="minorEastAsia"/>
                <w:bCs/>
                <w:color w:val="auto"/>
                <w:sz w:val="24"/>
              </w:rPr>
              <w:t>4.41</w:t>
            </w:r>
            <w:r>
              <w:rPr>
                <w:rFonts w:eastAsiaTheme="minorEastAsia"/>
                <w:bCs/>
                <w:color w:val="auto"/>
                <w:sz w:val="24"/>
              </w:rPr>
              <w:t>t/a，由环卫部门清运。</w:t>
            </w:r>
          </w:p>
          <w:p w14:paraId="6C964658">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化粪池污泥</w:t>
            </w:r>
          </w:p>
          <w:p w14:paraId="29D5FE63">
            <w:pPr>
              <w:adjustRightInd w:val="0"/>
              <w:snapToGrid w:val="0"/>
              <w:spacing w:line="360" w:lineRule="auto"/>
              <w:ind w:firstLine="480" w:firstLineChars="200"/>
              <w:rPr>
                <w:rFonts w:eastAsiaTheme="minorEastAsia"/>
                <w:color w:val="auto"/>
                <w:sz w:val="24"/>
              </w:rPr>
            </w:pPr>
            <w:r>
              <w:rPr>
                <w:color w:val="auto"/>
                <w:kern w:val="0"/>
                <w:sz w:val="24"/>
                <w:szCs w:val="20"/>
              </w:rPr>
              <w:t>建设项目生活污水与生活废水合流排入化粪池</w:t>
            </w:r>
            <w:r>
              <w:rPr>
                <w:rFonts w:eastAsiaTheme="minorEastAsia"/>
                <w:color w:val="auto"/>
                <w:sz w:val="24"/>
              </w:rPr>
              <w:t>，</w:t>
            </w:r>
            <w:r>
              <w:rPr>
                <w:rFonts w:hint="eastAsia" w:eastAsiaTheme="minorEastAsia"/>
                <w:color w:val="auto"/>
                <w:sz w:val="24"/>
              </w:rPr>
              <w:t>项目</w:t>
            </w:r>
            <w:r>
              <w:rPr>
                <w:rFonts w:eastAsiaTheme="minorEastAsia"/>
                <w:color w:val="auto"/>
                <w:sz w:val="24"/>
              </w:rPr>
              <w:t>职工</w:t>
            </w:r>
            <w:r>
              <w:rPr>
                <w:rFonts w:hint="eastAsia" w:eastAsiaTheme="minorEastAsia"/>
                <w:color w:val="auto"/>
                <w:sz w:val="24"/>
              </w:rPr>
              <w:t>35</w:t>
            </w:r>
            <w:r>
              <w:rPr>
                <w:rFonts w:eastAsiaTheme="minorEastAsia"/>
                <w:color w:val="auto"/>
                <w:sz w:val="24"/>
              </w:rPr>
              <w:t>人，化粪池污泥量取0.3L人•天，年运营3</w:t>
            </w:r>
            <w:r>
              <w:rPr>
                <w:rFonts w:hint="eastAsia" w:eastAsiaTheme="minorEastAsia"/>
                <w:color w:val="auto"/>
                <w:sz w:val="24"/>
              </w:rPr>
              <w:t>0</w:t>
            </w:r>
            <w:r>
              <w:rPr>
                <w:rFonts w:eastAsiaTheme="minorEastAsia"/>
                <w:color w:val="auto"/>
                <w:sz w:val="24"/>
              </w:rPr>
              <w:t>0d，则化粪池污泥量约</w:t>
            </w:r>
            <w:r>
              <w:rPr>
                <w:rFonts w:hint="eastAsia" w:eastAsiaTheme="minorEastAsia"/>
                <w:color w:val="auto"/>
                <w:sz w:val="24"/>
              </w:rPr>
              <w:t>3.15</w:t>
            </w:r>
            <w:r>
              <w:rPr>
                <w:rFonts w:eastAsiaTheme="minorEastAsia"/>
                <w:color w:val="auto"/>
                <w:sz w:val="24"/>
              </w:rPr>
              <w:t>t/a。</w:t>
            </w:r>
          </w:p>
          <w:p w14:paraId="34A8144B">
            <w:pPr>
              <w:wordWrap w:val="0"/>
              <w:spacing w:line="360" w:lineRule="auto"/>
              <w:ind w:firstLine="482" w:firstLineChars="200"/>
              <w:rPr>
                <w:b/>
                <w:bCs/>
                <w:color w:val="auto"/>
                <w:sz w:val="24"/>
              </w:rPr>
            </w:pPr>
            <w:r>
              <w:rPr>
                <w:b/>
                <w:bCs/>
                <w:color w:val="auto"/>
                <w:sz w:val="24"/>
              </w:rPr>
              <w:t>4.2固体废物环境影响分析</w:t>
            </w:r>
          </w:p>
          <w:p w14:paraId="38AE19A3">
            <w:pPr>
              <w:pStyle w:val="18"/>
              <w:wordWrap w:val="0"/>
              <w:spacing w:before="0" w:after="0" w:line="360" w:lineRule="auto"/>
              <w:ind w:right="0" w:firstLine="482" w:firstLineChars="200"/>
              <w:rPr>
                <w:b/>
                <w:bCs/>
                <w:color w:val="auto"/>
                <w:sz w:val="24"/>
                <w:szCs w:val="24"/>
              </w:rPr>
            </w:pPr>
            <w:r>
              <w:rPr>
                <w:b/>
                <w:bCs/>
                <w:color w:val="auto"/>
                <w:sz w:val="24"/>
                <w:szCs w:val="24"/>
              </w:rPr>
              <w:t>（1）对环境及敏感目标影响</w:t>
            </w:r>
          </w:p>
          <w:p w14:paraId="1AFA2A0F">
            <w:pPr>
              <w:wordWrap w:val="0"/>
              <w:spacing w:line="360" w:lineRule="auto"/>
              <w:ind w:firstLine="480" w:firstLineChars="200"/>
              <w:rPr>
                <w:color w:val="auto"/>
                <w:sz w:val="24"/>
              </w:rPr>
            </w:pPr>
            <w:r>
              <w:rPr>
                <w:color w:val="auto"/>
                <w:sz w:val="24"/>
              </w:rPr>
              <w:t>通常，固体废物中有害物质通过释放到水体、土壤和大气中而进入环境，对环境造成影响，影响的程度取决于释放过程中污染物的转移量及其进入环境后的浓度。</w:t>
            </w:r>
          </w:p>
          <w:p w14:paraId="792A10AC">
            <w:pPr>
              <w:wordWrap w:val="0"/>
              <w:spacing w:line="360" w:lineRule="auto"/>
              <w:ind w:firstLine="480" w:firstLineChars="200"/>
              <w:rPr>
                <w:color w:val="auto"/>
                <w:sz w:val="24"/>
              </w:rPr>
            </w:pPr>
            <w:r>
              <w:rPr>
                <w:color w:val="auto"/>
                <w:sz w:val="24"/>
              </w:rPr>
              <w:t>企业从其产生固体废物的种类及其成分来看，若不妥善处置，有可能对土壤、水体、环境空气质量产生影响。</w:t>
            </w:r>
          </w:p>
          <w:p w14:paraId="6D146EFF">
            <w:pPr>
              <w:wordWrap w:val="0"/>
              <w:spacing w:line="360" w:lineRule="auto"/>
              <w:ind w:firstLine="480" w:firstLineChars="200"/>
              <w:rPr>
                <w:color w:val="auto"/>
                <w:sz w:val="24"/>
              </w:rPr>
            </w:pPr>
            <w:r>
              <w:rPr>
                <w:color w:val="auto"/>
                <w:sz w:val="24"/>
              </w:rPr>
              <w:t>I</w:t>
            </w:r>
            <w:r>
              <w:rPr>
                <w:rFonts w:hint="eastAsia"/>
                <w:color w:val="auto"/>
                <w:sz w:val="24"/>
                <w:lang w:eastAsia="zh-CN"/>
              </w:rPr>
              <w:t>.</w:t>
            </w:r>
            <w:r>
              <w:rPr>
                <w:color w:val="auto"/>
                <w:sz w:val="24"/>
              </w:rPr>
              <w:t>对土壤环境的影响分析</w:t>
            </w:r>
          </w:p>
          <w:p w14:paraId="102A762D">
            <w:pPr>
              <w:wordWrap w:val="0"/>
              <w:spacing w:line="360" w:lineRule="auto"/>
              <w:ind w:firstLine="480" w:firstLineChars="200"/>
              <w:rPr>
                <w:color w:val="auto"/>
                <w:sz w:val="24"/>
              </w:rPr>
            </w:pPr>
            <w:r>
              <w:rPr>
                <w:color w:val="auto"/>
                <w:sz w:val="24"/>
              </w:rPr>
              <w:t>企业</w:t>
            </w:r>
            <w:r>
              <w:rPr>
                <w:rFonts w:hint="eastAsia"/>
                <w:color w:val="auto"/>
                <w:sz w:val="24"/>
              </w:rPr>
              <w:t>废机油</w:t>
            </w:r>
            <w:r>
              <w:rPr>
                <w:color w:val="auto"/>
                <w:sz w:val="24"/>
              </w:rPr>
              <w:t>等危险废物泄漏，可能对土壤造成一定程度的污染。</w:t>
            </w:r>
          </w:p>
          <w:p w14:paraId="7A721B42">
            <w:pPr>
              <w:wordWrap w:val="0"/>
              <w:spacing w:line="360" w:lineRule="auto"/>
              <w:ind w:firstLine="480" w:firstLineChars="200"/>
              <w:rPr>
                <w:color w:val="auto"/>
                <w:sz w:val="24"/>
              </w:rPr>
            </w:pPr>
            <w:r>
              <w:rPr>
                <w:color w:val="auto"/>
                <w:sz w:val="24"/>
              </w:rPr>
              <w:t>II、对水环境的影响分析</w:t>
            </w:r>
          </w:p>
          <w:p w14:paraId="7CAC74D4">
            <w:pPr>
              <w:wordWrap w:val="0"/>
              <w:spacing w:line="360" w:lineRule="auto"/>
              <w:ind w:firstLine="480" w:firstLineChars="200"/>
              <w:rPr>
                <w:color w:val="auto"/>
                <w:sz w:val="24"/>
              </w:rPr>
            </w:pPr>
            <w:r>
              <w:rPr>
                <w:color w:val="auto"/>
                <w:sz w:val="24"/>
              </w:rPr>
              <w:t>企业储存场所若未采取防雨、防渗措施，工业固体废物（尤其是危险废物）一旦与水（雨水、地表径流水或地下水等）接触，固体废物中的有害成分就会不可避免地或多或少被浸滤出来，污染物（有害成分）随浸出液进入地面水体和地下水层，可能对地面水体和地下水体造成污染，造成二次污染。</w:t>
            </w:r>
          </w:p>
          <w:p w14:paraId="61F6261A">
            <w:pPr>
              <w:wordWrap w:val="0"/>
              <w:spacing w:line="360" w:lineRule="auto"/>
              <w:ind w:firstLine="480" w:firstLineChars="200"/>
              <w:rPr>
                <w:color w:val="auto"/>
                <w:sz w:val="24"/>
              </w:rPr>
            </w:pPr>
            <w:r>
              <w:rPr>
                <w:rFonts w:hint="eastAsia"/>
                <w:color w:val="auto"/>
                <w:sz w:val="24"/>
                <w:lang w:eastAsia="zh-CN"/>
              </w:rPr>
              <w:t>Ⅲ</w:t>
            </w:r>
            <w:r>
              <w:rPr>
                <w:color w:val="auto"/>
                <w:sz w:val="24"/>
              </w:rPr>
              <w:t>、对环境空气的影响分析</w:t>
            </w:r>
          </w:p>
          <w:p w14:paraId="66C03F57">
            <w:pPr>
              <w:wordWrap w:val="0"/>
              <w:spacing w:line="360" w:lineRule="auto"/>
              <w:ind w:firstLine="480" w:firstLineChars="200"/>
              <w:rPr>
                <w:color w:val="auto"/>
                <w:sz w:val="24"/>
              </w:rPr>
            </w:pPr>
            <w:r>
              <w:rPr>
                <w:color w:val="auto"/>
                <w:sz w:val="24"/>
              </w:rPr>
              <w:t>企业危险废物废活性炭和</w:t>
            </w:r>
            <w:r>
              <w:rPr>
                <w:rFonts w:hint="eastAsia"/>
                <w:color w:val="auto"/>
                <w:sz w:val="24"/>
              </w:rPr>
              <w:t>废机油</w:t>
            </w:r>
            <w:r>
              <w:rPr>
                <w:color w:val="auto"/>
                <w:sz w:val="24"/>
              </w:rPr>
              <w:t>等，若对这些不进行妥善处置，或在包装、运输过程中泄漏，则会对附近敏感点或运输线路沿线的环境空气造成一定的污染影响。</w:t>
            </w:r>
          </w:p>
          <w:p w14:paraId="11E829EC">
            <w:pPr>
              <w:wordWrap w:val="0"/>
              <w:spacing w:line="360" w:lineRule="auto"/>
              <w:ind w:firstLine="480" w:firstLineChars="200"/>
              <w:rPr>
                <w:color w:val="auto"/>
                <w:sz w:val="24"/>
              </w:rPr>
            </w:pPr>
            <w:r>
              <w:rPr>
                <w:color w:val="auto"/>
                <w:sz w:val="24"/>
              </w:rPr>
              <w:t>本项目产生固废根据其特性分别采用密封桶装或袋装方式，并单独分区存储，贮存过程不会对环境空气和地表水产生影响；危险废物暂存场所须防腐</w:t>
            </w:r>
            <w:r>
              <w:rPr>
                <w:rFonts w:hint="eastAsia"/>
                <w:color w:val="auto"/>
                <w:sz w:val="24"/>
                <w:lang w:eastAsia="zh-CN"/>
              </w:rPr>
              <w:t>防蚀处理</w:t>
            </w:r>
            <w:r>
              <w:rPr>
                <w:color w:val="auto"/>
                <w:sz w:val="24"/>
              </w:rPr>
              <w:t>，泄漏物料不会对地下水和土壤造成污染。</w:t>
            </w:r>
          </w:p>
          <w:p w14:paraId="25EA77C9">
            <w:pPr>
              <w:wordWrap w:val="0"/>
              <w:spacing w:line="360" w:lineRule="auto"/>
              <w:ind w:firstLine="480" w:firstLineChars="200"/>
              <w:rPr>
                <w:color w:val="auto"/>
                <w:sz w:val="24"/>
              </w:rPr>
            </w:pPr>
            <w:r>
              <w:rPr>
                <w:color w:val="auto"/>
                <w:sz w:val="24"/>
              </w:rPr>
              <w:t>本项目危险废物主要为废包装桶、废活性炭</w:t>
            </w:r>
            <w:r>
              <w:rPr>
                <w:rFonts w:hint="eastAsia"/>
                <w:color w:val="auto"/>
                <w:sz w:val="24"/>
              </w:rPr>
              <w:t>、废机</w:t>
            </w:r>
            <w:r>
              <w:rPr>
                <w:rFonts w:hint="eastAsia"/>
                <w:color w:val="auto"/>
                <w:sz w:val="24"/>
                <w:lang w:eastAsia="zh-CN"/>
              </w:rPr>
              <w:t>油</w:t>
            </w:r>
            <w:r>
              <w:rPr>
                <w:color w:val="auto"/>
                <w:sz w:val="24"/>
              </w:rPr>
              <w:t>等。</w:t>
            </w:r>
          </w:p>
          <w:p w14:paraId="14205653">
            <w:pPr>
              <w:wordWrap w:val="0"/>
              <w:spacing w:line="360" w:lineRule="auto"/>
              <w:ind w:firstLine="480" w:firstLineChars="200"/>
              <w:rPr>
                <w:b/>
                <w:bCs/>
                <w:color w:val="auto"/>
                <w:sz w:val="24"/>
              </w:rPr>
            </w:pPr>
            <w:r>
              <w:rPr>
                <w:color w:val="auto"/>
                <w:sz w:val="24"/>
              </w:rPr>
              <w:t>根据《建设项目危险废物环境影响评价指南》（环境保护部公告2017年第43号）要求，危险废物贮存场所（设施）的名称、位置、占地面积、贮存方式、贮存容积、贮存周期等情况详见下表。</w:t>
            </w:r>
          </w:p>
          <w:p w14:paraId="6C73C05D">
            <w:pPr>
              <w:wordWrap w:val="0"/>
              <w:spacing w:line="360" w:lineRule="auto"/>
              <w:jc w:val="center"/>
              <w:rPr>
                <w:b/>
                <w:bCs/>
                <w:color w:val="auto"/>
                <w:sz w:val="24"/>
              </w:rPr>
            </w:pPr>
            <w:r>
              <w:rPr>
                <w:b/>
                <w:bCs/>
                <w:color w:val="auto"/>
                <w:sz w:val="24"/>
              </w:rPr>
              <w:t>表4-25 企业危险废物贮存场所基本情况表</w:t>
            </w:r>
          </w:p>
          <w:tbl>
            <w:tblPr>
              <w:tblStyle w:val="4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691"/>
              <w:gridCol w:w="1377"/>
              <w:gridCol w:w="763"/>
              <w:gridCol w:w="1062"/>
              <w:gridCol w:w="790"/>
              <w:gridCol w:w="753"/>
              <w:gridCol w:w="814"/>
              <w:gridCol w:w="1471"/>
              <w:gridCol w:w="662"/>
            </w:tblGrid>
            <w:tr w14:paraId="7771212B">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2884DBE">
                  <w:pPr>
                    <w:widowControl/>
                    <w:wordWrap w:val="0"/>
                    <w:jc w:val="center"/>
                    <w:rPr>
                      <w:b/>
                      <w:color w:val="auto"/>
                      <w:szCs w:val="21"/>
                    </w:rPr>
                  </w:pPr>
                  <w:r>
                    <w:rPr>
                      <w:b/>
                      <w:color w:val="auto"/>
                      <w:szCs w:val="21"/>
                    </w:rPr>
                    <w:t>贮存场所名称</w:t>
                  </w:r>
                </w:p>
              </w:tc>
              <w:tc>
                <w:tcPr>
                  <w:tcW w:w="821" w:type="pct"/>
                  <w:tcBorders>
                    <w:tl2br w:val="nil"/>
                    <w:tr2bl w:val="nil"/>
                  </w:tcBorders>
                  <w:vAlign w:val="center"/>
                </w:tcPr>
                <w:p w14:paraId="2E74D120">
                  <w:pPr>
                    <w:widowControl/>
                    <w:wordWrap w:val="0"/>
                    <w:jc w:val="center"/>
                    <w:textAlignment w:val="center"/>
                    <w:rPr>
                      <w:b/>
                      <w:bCs/>
                      <w:color w:val="auto"/>
                      <w:szCs w:val="21"/>
                    </w:rPr>
                  </w:pPr>
                  <w:r>
                    <w:rPr>
                      <w:b/>
                      <w:bCs/>
                      <w:color w:val="auto"/>
                      <w:kern w:val="0"/>
                      <w:szCs w:val="21"/>
                      <w:lang w:bidi="ar"/>
                    </w:rPr>
                    <w:t>危险废物名称</w:t>
                  </w:r>
                </w:p>
              </w:tc>
              <w:tc>
                <w:tcPr>
                  <w:tcW w:w="455" w:type="pct"/>
                  <w:tcBorders>
                    <w:tl2br w:val="nil"/>
                    <w:tr2bl w:val="nil"/>
                  </w:tcBorders>
                  <w:vAlign w:val="center"/>
                </w:tcPr>
                <w:p w14:paraId="09419E7B">
                  <w:pPr>
                    <w:widowControl/>
                    <w:wordWrap w:val="0"/>
                    <w:jc w:val="center"/>
                    <w:rPr>
                      <w:b/>
                      <w:color w:val="auto"/>
                      <w:szCs w:val="21"/>
                    </w:rPr>
                  </w:pPr>
                  <w:r>
                    <w:rPr>
                      <w:b/>
                      <w:color w:val="auto"/>
                      <w:szCs w:val="21"/>
                    </w:rPr>
                    <w:t>占地</w:t>
                  </w:r>
                </w:p>
                <w:p w14:paraId="3A51E3E6">
                  <w:pPr>
                    <w:widowControl/>
                    <w:wordWrap w:val="0"/>
                    <w:jc w:val="center"/>
                    <w:rPr>
                      <w:b/>
                      <w:color w:val="auto"/>
                      <w:szCs w:val="21"/>
                    </w:rPr>
                  </w:pPr>
                  <w:r>
                    <w:rPr>
                      <w:b/>
                      <w:color w:val="auto"/>
                      <w:szCs w:val="21"/>
                    </w:rPr>
                    <w:t>面积（</w:t>
                  </w:r>
                  <w:bookmarkStart w:id="35" w:name="_Hlk137156216"/>
                  <w:r>
                    <w:rPr>
                      <w:b/>
                      <w:color w:val="auto"/>
                      <w:szCs w:val="21"/>
                    </w:rPr>
                    <w:t>m</w:t>
                  </w:r>
                  <w:r>
                    <w:rPr>
                      <w:b/>
                      <w:color w:val="auto"/>
                      <w:szCs w:val="21"/>
                      <w:vertAlign w:val="superscript"/>
                    </w:rPr>
                    <w:t>2</w:t>
                  </w:r>
                  <w:bookmarkEnd w:id="35"/>
                  <w:r>
                    <w:rPr>
                      <w:b/>
                      <w:color w:val="auto"/>
                      <w:szCs w:val="21"/>
                    </w:rPr>
                    <w:t>）</w:t>
                  </w:r>
                </w:p>
              </w:tc>
              <w:tc>
                <w:tcPr>
                  <w:tcW w:w="633" w:type="pct"/>
                  <w:tcBorders>
                    <w:tl2br w:val="nil"/>
                    <w:tr2bl w:val="nil"/>
                  </w:tcBorders>
                  <w:vAlign w:val="center"/>
                </w:tcPr>
                <w:p w14:paraId="05D805C9">
                  <w:pPr>
                    <w:widowControl/>
                    <w:wordWrap w:val="0"/>
                    <w:jc w:val="center"/>
                    <w:rPr>
                      <w:b/>
                      <w:color w:val="auto"/>
                      <w:szCs w:val="21"/>
                    </w:rPr>
                  </w:pPr>
                  <w:r>
                    <w:rPr>
                      <w:b/>
                      <w:color w:val="auto"/>
                      <w:szCs w:val="21"/>
                    </w:rPr>
                    <w:t>贮存方式</w:t>
                  </w:r>
                </w:p>
              </w:tc>
              <w:tc>
                <w:tcPr>
                  <w:tcW w:w="471" w:type="pct"/>
                  <w:tcBorders>
                    <w:tl2br w:val="nil"/>
                    <w:tr2bl w:val="nil"/>
                  </w:tcBorders>
                  <w:vAlign w:val="center"/>
                </w:tcPr>
                <w:p w14:paraId="5120F07E">
                  <w:pPr>
                    <w:widowControl/>
                    <w:wordWrap w:val="0"/>
                    <w:jc w:val="center"/>
                    <w:rPr>
                      <w:b/>
                      <w:color w:val="auto"/>
                      <w:szCs w:val="21"/>
                    </w:rPr>
                  </w:pPr>
                  <w:r>
                    <w:rPr>
                      <w:b/>
                      <w:color w:val="auto"/>
                      <w:szCs w:val="21"/>
                    </w:rPr>
                    <w:t>贮存能力（t）</w:t>
                  </w:r>
                </w:p>
              </w:tc>
              <w:tc>
                <w:tcPr>
                  <w:tcW w:w="449" w:type="pct"/>
                  <w:tcBorders>
                    <w:tl2br w:val="nil"/>
                    <w:tr2bl w:val="nil"/>
                  </w:tcBorders>
                  <w:vAlign w:val="center"/>
                </w:tcPr>
                <w:p w14:paraId="7301A66F">
                  <w:pPr>
                    <w:widowControl/>
                    <w:wordWrap w:val="0"/>
                    <w:jc w:val="center"/>
                    <w:textAlignment w:val="center"/>
                    <w:rPr>
                      <w:b/>
                      <w:bCs/>
                      <w:color w:val="auto"/>
                      <w:szCs w:val="21"/>
                    </w:rPr>
                  </w:pPr>
                  <w:r>
                    <w:rPr>
                      <w:b/>
                      <w:bCs/>
                      <w:color w:val="auto"/>
                      <w:kern w:val="0"/>
                      <w:szCs w:val="21"/>
                      <w:lang w:bidi="ar"/>
                    </w:rPr>
                    <w:t>危险特性</w:t>
                  </w:r>
                </w:p>
              </w:tc>
              <w:tc>
                <w:tcPr>
                  <w:tcW w:w="485" w:type="pct"/>
                  <w:tcBorders>
                    <w:tl2br w:val="nil"/>
                    <w:tr2bl w:val="nil"/>
                  </w:tcBorders>
                  <w:vAlign w:val="center"/>
                </w:tcPr>
                <w:p w14:paraId="3866FA7C">
                  <w:pPr>
                    <w:widowControl/>
                    <w:wordWrap w:val="0"/>
                    <w:jc w:val="center"/>
                    <w:textAlignment w:val="center"/>
                    <w:rPr>
                      <w:b/>
                      <w:bCs/>
                      <w:color w:val="auto"/>
                      <w:szCs w:val="21"/>
                    </w:rPr>
                  </w:pPr>
                  <w:r>
                    <w:rPr>
                      <w:b/>
                      <w:bCs/>
                      <w:color w:val="auto"/>
                      <w:kern w:val="0"/>
                      <w:szCs w:val="21"/>
                      <w:lang w:bidi="ar"/>
                    </w:rPr>
                    <w:t>废物类别</w:t>
                  </w:r>
                </w:p>
              </w:tc>
              <w:tc>
                <w:tcPr>
                  <w:tcW w:w="877" w:type="pct"/>
                  <w:tcBorders>
                    <w:tl2br w:val="nil"/>
                    <w:tr2bl w:val="nil"/>
                  </w:tcBorders>
                  <w:vAlign w:val="center"/>
                </w:tcPr>
                <w:p w14:paraId="4EA2250A">
                  <w:pPr>
                    <w:widowControl/>
                    <w:wordWrap w:val="0"/>
                    <w:jc w:val="center"/>
                    <w:textAlignment w:val="center"/>
                    <w:rPr>
                      <w:b/>
                      <w:bCs/>
                      <w:color w:val="auto"/>
                      <w:szCs w:val="21"/>
                    </w:rPr>
                  </w:pPr>
                  <w:r>
                    <w:rPr>
                      <w:b/>
                      <w:bCs/>
                      <w:color w:val="auto"/>
                      <w:kern w:val="0"/>
                      <w:szCs w:val="21"/>
                      <w:lang w:bidi="ar"/>
                    </w:rPr>
                    <w:t>废物代码</w:t>
                  </w:r>
                </w:p>
              </w:tc>
              <w:tc>
                <w:tcPr>
                  <w:tcW w:w="394" w:type="pct"/>
                  <w:tcBorders>
                    <w:tl2br w:val="nil"/>
                    <w:tr2bl w:val="nil"/>
                  </w:tcBorders>
                  <w:vAlign w:val="center"/>
                </w:tcPr>
                <w:p w14:paraId="15305AB9">
                  <w:pPr>
                    <w:widowControl/>
                    <w:wordWrap w:val="0"/>
                    <w:jc w:val="center"/>
                    <w:rPr>
                      <w:b/>
                      <w:bCs/>
                      <w:color w:val="auto"/>
                      <w:szCs w:val="21"/>
                    </w:rPr>
                  </w:pPr>
                  <w:r>
                    <w:rPr>
                      <w:rFonts w:hint="eastAsia"/>
                      <w:b/>
                      <w:color w:val="auto"/>
                      <w:szCs w:val="21"/>
                    </w:rPr>
                    <w:t>贮存周期</w:t>
                  </w:r>
                </w:p>
              </w:tc>
            </w:tr>
            <w:tr w14:paraId="1E114DF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restart"/>
                  <w:tcBorders>
                    <w:tl2br w:val="nil"/>
                    <w:tr2bl w:val="nil"/>
                  </w:tcBorders>
                  <w:vAlign w:val="center"/>
                </w:tcPr>
                <w:p w14:paraId="15BFDAF7">
                  <w:pPr>
                    <w:wordWrap w:val="0"/>
                    <w:jc w:val="center"/>
                    <w:rPr>
                      <w:b/>
                      <w:color w:val="auto"/>
                      <w:szCs w:val="21"/>
                    </w:rPr>
                  </w:pPr>
                  <w:r>
                    <w:rPr>
                      <w:bCs/>
                      <w:color w:val="auto"/>
                      <w:szCs w:val="21"/>
                    </w:rPr>
                    <w:t>危废暂存库</w:t>
                  </w:r>
                </w:p>
              </w:tc>
              <w:tc>
                <w:tcPr>
                  <w:tcW w:w="821" w:type="pct"/>
                  <w:tcBorders>
                    <w:tl2br w:val="nil"/>
                    <w:tr2bl w:val="nil"/>
                  </w:tcBorders>
                  <w:vAlign w:val="center"/>
                </w:tcPr>
                <w:p w14:paraId="6EC50DBE">
                  <w:pPr>
                    <w:jc w:val="center"/>
                    <w:rPr>
                      <w:rFonts w:ascii="Times New Roman" w:hAnsi="Times New Roman" w:eastAsia="宋体" w:cs="Times New Roman"/>
                      <w:color w:val="auto"/>
                      <w:kern w:val="2"/>
                      <w:sz w:val="21"/>
                      <w:szCs w:val="21"/>
                      <w:lang w:val="en-US" w:eastAsia="zh-CN" w:bidi="ar-SA"/>
                    </w:rPr>
                  </w:pPr>
                  <w:r>
                    <w:rPr>
                      <w:rFonts w:hint="eastAsia" w:eastAsiaTheme="minorEastAsia"/>
                      <w:color w:val="auto"/>
                      <w:szCs w:val="21"/>
                    </w:rPr>
                    <w:t>废活性炭</w:t>
                  </w:r>
                </w:p>
              </w:tc>
              <w:tc>
                <w:tcPr>
                  <w:tcW w:w="455" w:type="pct"/>
                  <w:tcBorders>
                    <w:tl2br w:val="nil"/>
                    <w:tr2bl w:val="nil"/>
                  </w:tcBorders>
                  <w:vAlign w:val="center"/>
                </w:tcPr>
                <w:p w14:paraId="0496884A">
                  <w:pPr>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Cs w:val="21"/>
                    </w:rPr>
                    <w:t>2</w:t>
                  </w:r>
                </w:p>
              </w:tc>
              <w:tc>
                <w:tcPr>
                  <w:tcW w:w="633" w:type="pct"/>
                  <w:vMerge w:val="restart"/>
                  <w:tcBorders>
                    <w:tl2br w:val="nil"/>
                    <w:tr2bl w:val="nil"/>
                  </w:tcBorders>
                  <w:vAlign w:val="center"/>
                </w:tcPr>
                <w:p w14:paraId="32A7BE7E">
                  <w:pPr>
                    <w:widowControl/>
                    <w:wordWrap w:val="0"/>
                    <w:jc w:val="center"/>
                    <w:textAlignment w:val="center"/>
                    <w:rPr>
                      <w:color w:val="auto"/>
                      <w:szCs w:val="21"/>
                    </w:rPr>
                  </w:pPr>
                  <w:r>
                    <w:rPr>
                      <w:color w:val="auto"/>
                      <w:szCs w:val="21"/>
                    </w:rPr>
                    <w:t>密封</w:t>
                  </w:r>
                </w:p>
              </w:tc>
              <w:tc>
                <w:tcPr>
                  <w:tcW w:w="471" w:type="pct"/>
                  <w:tcBorders>
                    <w:tl2br w:val="nil"/>
                    <w:tr2bl w:val="nil"/>
                  </w:tcBorders>
                  <w:vAlign w:val="center"/>
                </w:tcPr>
                <w:p w14:paraId="01B39F21">
                  <w:pPr>
                    <w:adjustRightInd w:val="0"/>
                    <w:snapToGrid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eastAsiaTheme="minorEastAsia"/>
                      <w:color w:val="auto"/>
                      <w:szCs w:val="21"/>
                      <w:lang w:eastAsia="zh-CN"/>
                    </w:rPr>
                    <w:t>1.77</w:t>
                  </w:r>
                </w:p>
              </w:tc>
              <w:tc>
                <w:tcPr>
                  <w:tcW w:w="449" w:type="pct"/>
                  <w:tcBorders>
                    <w:tl2br w:val="nil"/>
                    <w:tr2bl w:val="nil"/>
                  </w:tcBorders>
                  <w:vAlign w:val="center"/>
                </w:tcPr>
                <w:p w14:paraId="79A7471C">
                  <w:pPr>
                    <w:jc w:val="center"/>
                    <w:rPr>
                      <w:rFonts w:ascii="Times New Roman" w:hAnsi="Times New Roman" w:eastAsia="宋体" w:cs="Times New Roman"/>
                      <w:color w:val="auto"/>
                      <w:kern w:val="2"/>
                      <w:sz w:val="21"/>
                      <w:szCs w:val="21"/>
                      <w:lang w:val="en-US" w:eastAsia="zh-CN" w:bidi="ar-SA"/>
                    </w:rPr>
                  </w:pPr>
                  <w:r>
                    <w:rPr>
                      <w:color w:val="auto"/>
                      <w:szCs w:val="21"/>
                    </w:rPr>
                    <w:t>T</w:t>
                  </w:r>
                </w:p>
              </w:tc>
              <w:tc>
                <w:tcPr>
                  <w:tcW w:w="485" w:type="pct"/>
                  <w:tcBorders>
                    <w:tl2br w:val="nil"/>
                    <w:tr2bl w:val="nil"/>
                  </w:tcBorders>
                  <w:vAlign w:val="center"/>
                </w:tcPr>
                <w:p w14:paraId="23151E88">
                  <w:pPr>
                    <w:adjustRightInd w:val="0"/>
                    <w:snapToGrid w:val="0"/>
                    <w:jc w:val="center"/>
                    <w:rPr>
                      <w:rFonts w:ascii="Times New Roman" w:hAnsi="Times New Roman" w:eastAsia="宋体" w:cs="Times New Roman"/>
                      <w:color w:val="auto"/>
                      <w:kern w:val="2"/>
                      <w:sz w:val="21"/>
                      <w:szCs w:val="21"/>
                      <w:lang w:val="en-US" w:eastAsia="zh-CN" w:bidi="ar-SA"/>
                    </w:rPr>
                  </w:pPr>
                  <w:r>
                    <w:rPr>
                      <w:rFonts w:eastAsiaTheme="minorEastAsia"/>
                      <w:color w:val="auto"/>
                      <w:kern w:val="0"/>
                      <w:szCs w:val="21"/>
                    </w:rPr>
                    <w:t>HW4</w:t>
                  </w:r>
                  <w:r>
                    <w:rPr>
                      <w:rFonts w:hint="eastAsia" w:eastAsiaTheme="minorEastAsia"/>
                      <w:color w:val="auto"/>
                      <w:kern w:val="0"/>
                      <w:szCs w:val="21"/>
                    </w:rPr>
                    <w:t>9</w:t>
                  </w:r>
                </w:p>
              </w:tc>
              <w:tc>
                <w:tcPr>
                  <w:tcW w:w="877" w:type="pct"/>
                  <w:tcBorders>
                    <w:tl2br w:val="nil"/>
                    <w:tr2bl w:val="nil"/>
                  </w:tcBorders>
                  <w:vAlign w:val="center"/>
                </w:tcPr>
                <w:p w14:paraId="6803BC80">
                  <w:pPr>
                    <w:adjustRightInd w:val="0"/>
                    <w:snapToGrid w:val="0"/>
                    <w:jc w:val="center"/>
                    <w:rPr>
                      <w:rFonts w:ascii="Times New Roman" w:hAnsi="Times New Roman" w:eastAsia="宋体" w:cs="Times New Roman"/>
                      <w:color w:val="auto"/>
                      <w:kern w:val="2"/>
                      <w:sz w:val="21"/>
                      <w:szCs w:val="21"/>
                      <w:lang w:val="en-US" w:eastAsia="zh-CN" w:bidi="ar-SA"/>
                    </w:rPr>
                  </w:pPr>
                  <w:r>
                    <w:rPr>
                      <w:rFonts w:eastAsiaTheme="minorEastAsia"/>
                      <w:bCs/>
                      <w:color w:val="auto"/>
                      <w:kern w:val="0"/>
                      <w:szCs w:val="21"/>
                      <w:lang w:bidi="en-US"/>
                    </w:rPr>
                    <w:t>900-039-49</w:t>
                  </w:r>
                </w:p>
              </w:tc>
              <w:tc>
                <w:tcPr>
                  <w:tcW w:w="394" w:type="pct"/>
                  <w:vMerge w:val="restart"/>
                  <w:tcBorders>
                    <w:tl2br w:val="nil"/>
                    <w:tr2bl w:val="nil"/>
                  </w:tcBorders>
                  <w:vAlign w:val="center"/>
                </w:tcPr>
                <w:p w14:paraId="006EA629">
                  <w:pPr>
                    <w:widowControl/>
                    <w:wordWrap w:val="0"/>
                    <w:jc w:val="center"/>
                    <w:textAlignment w:val="center"/>
                    <w:rPr>
                      <w:color w:val="auto"/>
                      <w:szCs w:val="21"/>
                    </w:rPr>
                  </w:pPr>
                  <w:r>
                    <w:rPr>
                      <w:rFonts w:hint="eastAsia"/>
                      <w:color w:val="auto"/>
                      <w:szCs w:val="21"/>
                    </w:rPr>
                    <w:t>不超过3个月，委托资质单位定期清运</w:t>
                  </w:r>
                </w:p>
              </w:tc>
            </w:tr>
            <w:tr w14:paraId="777077B0">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14:paraId="262D690C">
                  <w:pPr>
                    <w:wordWrap w:val="0"/>
                    <w:jc w:val="center"/>
                    <w:rPr>
                      <w:bCs/>
                      <w:color w:val="auto"/>
                      <w:szCs w:val="21"/>
                    </w:rPr>
                  </w:pPr>
                </w:p>
              </w:tc>
              <w:tc>
                <w:tcPr>
                  <w:tcW w:w="821" w:type="pct"/>
                  <w:tcBorders>
                    <w:tl2br w:val="nil"/>
                    <w:tr2bl w:val="nil"/>
                  </w:tcBorders>
                  <w:vAlign w:val="center"/>
                </w:tcPr>
                <w:p w14:paraId="375206BA">
                  <w:pPr>
                    <w:jc w:val="center"/>
                    <w:rPr>
                      <w:rFonts w:ascii="Times New Roman" w:hAnsi="Times New Roman" w:eastAsia="宋体" w:cs="Times New Roman"/>
                      <w:color w:val="auto"/>
                      <w:kern w:val="2"/>
                      <w:sz w:val="21"/>
                      <w:szCs w:val="21"/>
                      <w:lang w:val="en-US" w:eastAsia="zh-CN" w:bidi="ar-SA"/>
                    </w:rPr>
                  </w:pPr>
                  <w:r>
                    <w:rPr>
                      <w:rFonts w:hint="eastAsia" w:eastAsiaTheme="minorEastAsia"/>
                      <w:color w:val="auto"/>
                      <w:szCs w:val="21"/>
                    </w:rPr>
                    <w:t>废油桶</w:t>
                  </w:r>
                </w:p>
              </w:tc>
              <w:tc>
                <w:tcPr>
                  <w:tcW w:w="455" w:type="pct"/>
                  <w:tcBorders>
                    <w:tl2br w:val="nil"/>
                    <w:tr2bl w:val="nil"/>
                  </w:tcBorders>
                  <w:vAlign w:val="center"/>
                </w:tcPr>
                <w:p w14:paraId="16585EBF">
                  <w:pPr>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Cs w:val="21"/>
                    </w:rPr>
                    <w:t>2</w:t>
                  </w:r>
                </w:p>
              </w:tc>
              <w:tc>
                <w:tcPr>
                  <w:tcW w:w="633" w:type="pct"/>
                  <w:vMerge w:val="continue"/>
                  <w:tcBorders>
                    <w:tl2br w:val="nil"/>
                    <w:tr2bl w:val="nil"/>
                  </w:tcBorders>
                  <w:vAlign w:val="center"/>
                </w:tcPr>
                <w:p w14:paraId="08C4415B">
                  <w:pPr>
                    <w:widowControl/>
                    <w:wordWrap w:val="0"/>
                    <w:jc w:val="center"/>
                    <w:textAlignment w:val="center"/>
                    <w:rPr>
                      <w:color w:val="auto"/>
                      <w:szCs w:val="21"/>
                    </w:rPr>
                  </w:pPr>
                </w:p>
              </w:tc>
              <w:tc>
                <w:tcPr>
                  <w:tcW w:w="471" w:type="pct"/>
                  <w:tcBorders>
                    <w:tl2br w:val="nil"/>
                    <w:tr2bl w:val="nil"/>
                  </w:tcBorders>
                  <w:vAlign w:val="center"/>
                </w:tcPr>
                <w:p w14:paraId="1C0F0CB1">
                  <w:pPr>
                    <w:adjustRightInd w:val="0"/>
                    <w:snapToGrid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rPr>
                    <w:t>0.</w:t>
                  </w:r>
                  <w:r>
                    <w:rPr>
                      <w:rFonts w:hint="eastAsia" w:eastAsiaTheme="minorEastAsia"/>
                      <w:color w:val="auto"/>
                      <w:szCs w:val="21"/>
                      <w:lang w:val="en-US" w:eastAsia="zh-CN"/>
                    </w:rPr>
                    <w:t>006</w:t>
                  </w:r>
                </w:p>
              </w:tc>
              <w:tc>
                <w:tcPr>
                  <w:tcW w:w="449" w:type="pct"/>
                  <w:tcBorders>
                    <w:tl2br w:val="nil"/>
                    <w:tr2bl w:val="nil"/>
                  </w:tcBorders>
                  <w:vAlign w:val="center"/>
                </w:tcPr>
                <w:p w14:paraId="030E5160">
                  <w:pPr>
                    <w:jc w:val="center"/>
                    <w:rPr>
                      <w:rFonts w:ascii="Times New Roman" w:hAnsi="Times New Roman" w:eastAsia="宋体" w:cs="Times New Roman"/>
                      <w:color w:val="auto"/>
                      <w:kern w:val="2"/>
                      <w:sz w:val="21"/>
                      <w:szCs w:val="21"/>
                      <w:lang w:val="en-US" w:eastAsia="zh-CN" w:bidi="ar-SA"/>
                    </w:rPr>
                  </w:pPr>
                  <w:r>
                    <w:rPr>
                      <w:color w:val="auto"/>
                      <w:szCs w:val="21"/>
                    </w:rPr>
                    <w:t>T</w:t>
                  </w:r>
                  <w:r>
                    <w:rPr>
                      <w:rFonts w:hint="eastAsia"/>
                      <w:color w:val="auto"/>
                      <w:szCs w:val="21"/>
                    </w:rPr>
                    <w:t>，</w:t>
                  </w:r>
                  <w:r>
                    <w:rPr>
                      <w:color w:val="auto"/>
                      <w:szCs w:val="21"/>
                    </w:rPr>
                    <w:t>I</w:t>
                  </w:r>
                </w:p>
              </w:tc>
              <w:tc>
                <w:tcPr>
                  <w:tcW w:w="485" w:type="pct"/>
                  <w:tcBorders>
                    <w:tl2br w:val="nil"/>
                    <w:tr2bl w:val="nil"/>
                  </w:tcBorders>
                  <w:vAlign w:val="center"/>
                </w:tcPr>
                <w:p w14:paraId="6D24DB21">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HW08</w:t>
                  </w:r>
                </w:p>
              </w:tc>
              <w:tc>
                <w:tcPr>
                  <w:tcW w:w="877" w:type="pct"/>
                  <w:tcBorders>
                    <w:tl2br w:val="nil"/>
                    <w:tr2bl w:val="nil"/>
                  </w:tcBorders>
                  <w:vAlign w:val="center"/>
                </w:tcPr>
                <w:p w14:paraId="2DED3086">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900-249-08</w:t>
                  </w:r>
                </w:p>
              </w:tc>
              <w:tc>
                <w:tcPr>
                  <w:tcW w:w="394" w:type="pct"/>
                  <w:vMerge w:val="continue"/>
                  <w:tcBorders>
                    <w:tl2br w:val="nil"/>
                    <w:tr2bl w:val="nil"/>
                  </w:tcBorders>
                  <w:vAlign w:val="center"/>
                </w:tcPr>
                <w:p w14:paraId="1385A72F">
                  <w:pPr>
                    <w:widowControl/>
                    <w:wordWrap w:val="0"/>
                    <w:jc w:val="center"/>
                    <w:textAlignment w:val="center"/>
                    <w:rPr>
                      <w:color w:val="auto"/>
                      <w:szCs w:val="21"/>
                    </w:rPr>
                  </w:pPr>
                </w:p>
              </w:tc>
            </w:tr>
            <w:tr w14:paraId="67116A8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14:paraId="2F374AF2">
                  <w:pPr>
                    <w:widowControl/>
                    <w:wordWrap w:val="0"/>
                    <w:jc w:val="center"/>
                    <w:textAlignment w:val="center"/>
                    <w:rPr>
                      <w:color w:val="auto"/>
                      <w:kern w:val="0"/>
                      <w:szCs w:val="21"/>
                      <w:lang w:bidi="ar"/>
                    </w:rPr>
                  </w:pPr>
                </w:p>
              </w:tc>
              <w:tc>
                <w:tcPr>
                  <w:tcW w:w="821" w:type="pct"/>
                  <w:tcBorders>
                    <w:tl2br w:val="nil"/>
                    <w:tr2bl w:val="nil"/>
                  </w:tcBorders>
                  <w:vAlign w:val="center"/>
                </w:tcPr>
                <w:p w14:paraId="28773470">
                  <w:pPr>
                    <w:jc w:val="center"/>
                    <w:rPr>
                      <w:rFonts w:ascii="Times New Roman" w:hAnsi="Times New Roman" w:eastAsia="宋体" w:cs="Times New Roman"/>
                      <w:color w:val="auto"/>
                      <w:kern w:val="2"/>
                      <w:sz w:val="21"/>
                      <w:szCs w:val="21"/>
                      <w:lang w:val="en-US" w:eastAsia="zh-CN" w:bidi="ar-SA"/>
                    </w:rPr>
                  </w:pPr>
                  <w:r>
                    <w:rPr>
                      <w:rFonts w:hint="eastAsia" w:eastAsiaTheme="minorEastAsia"/>
                      <w:color w:val="auto"/>
                      <w:szCs w:val="21"/>
                    </w:rPr>
                    <w:t>废胶桶</w:t>
                  </w:r>
                </w:p>
              </w:tc>
              <w:tc>
                <w:tcPr>
                  <w:tcW w:w="455" w:type="pct"/>
                  <w:tcBorders>
                    <w:tl2br w:val="nil"/>
                    <w:tr2bl w:val="nil"/>
                  </w:tcBorders>
                  <w:vAlign w:val="center"/>
                </w:tcPr>
                <w:p w14:paraId="4C07769A">
                  <w:pPr>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rFonts w:hint="eastAsia"/>
                      <w:color w:val="auto"/>
                      <w:szCs w:val="21"/>
                    </w:rPr>
                    <w:t>2</w:t>
                  </w:r>
                </w:p>
              </w:tc>
              <w:tc>
                <w:tcPr>
                  <w:tcW w:w="633" w:type="pct"/>
                  <w:vMerge w:val="continue"/>
                  <w:tcBorders>
                    <w:tl2br w:val="nil"/>
                    <w:tr2bl w:val="nil"/>
                  </w:tcBorders>
                  <w:vAlign w:val="center"/>
                </w:tcPr>
                <w:p w14:paraId="0425B473">
                  <w:pPr>
                    <w:widowControl/>
                    <w:wordWrap w:val="0"/>
                    <w:jc w:val="center"/>
                    <w:textAlignment w:val="center"/>
                    <w:rPr>
                      <w:color w:val="auto"/>
                      <w:szCs w:val="21"/>
                    </w:rPr>
                  </w:pPr>
                </w:p>
              </w:tc>
              <w:tc>
                <w:tcPr>
                  <w:tcW w:w="471" w:type="pct"/>
                  <w:tcBorders>
                    <w:tl2br w:val="nil"/>
                    <w:tr2bl w:val="nil"/>
                  </w:tcBorders>
                  <w:vAlign w:val="center"/>
                </w:tcPr>
                <w:p w14:paraId="624AFE3E">
                  <w:pPr>
                    <w:adjustRightInd w:val="0"/>
                    <w:snapToGrid w:val="0"/>
                    <w:jc w:val="center"/>
                    <w:textAlignment w:val="center"/>
                    <w:rPr>
                      <w:rFonts w:ascii="Times New Roman" w:hAnsi="Times New Roman" w:eastAsia="宋体" w:cs="Times New Roman"/>
                      <w:color w:val="auto"/>
                      <w:kern w:val="2"/>
                      <w:sz w:val="21"/>
                      <w:szCs w:val="21"/>
                      <w:lang w:val="en-US" w:eastAsia="zh-CN" w:bidi="ar-SA"/>
                    </w:rPr>
                  </w:pPr>
                  <w:r>
                    <w:rPr>
                      <w:rFonts w:hint="eastAsia" w:eastAsiaTheme="minorEastAsia"/>
                      <w:color w:val="auto"/>
                      <w:szCs w:val="21"/>
                    </w:rPr>
                    <w:t>0.15</w:t>
                  </w:r>
                </w:p>
              </w:tc>
              <w:tc>
                <w:tcPr>
                  <w:tcW w:w="449" w:type="pct"/>
                  <w:tcBorders>
                    <w:tl2br w:val="nil"/>
                    <w:tr2bl w:val="nil"/>
                  </w:tcBorders>
                  <w:vAlign w:val="center"/>
                </w:tcPr>
                <w:p w14:paraId="497EB01D">
                  <w:pPr>
                    <w:jc w:val="center"/>
                    <w:rPr>
                      <w:rFonts w:ascii="Times New Roman" w:hAnsi="Times New Roman" w:eastAsia="宋体" w:cs="Times New Roman"/>
                      <w:color w:val="auto"/>
                      <w:kern w:val="0"/>
                      <w:sz w:val="21"/>
                      <w:szCs w:val="21"/>
                      <w:lang w:val="en-US" w:eastAsia="zh-CN" w:bidi="ar"/>
                    </w:rPr>
                  </w:pPr>
                  <w:r>
                    <w:rPr>
                      <w:color w:val="auto"/>
                      <w:szCs w:val="21"/>
                    </w:rPr>
                    <w:t>T，I</w:t>
                  </w:r>
                </w:p>
              </w:tc>
              <w:tc>
                <w:tcPr>
                  <w:tcW w:w="485" w:type="pct"/>
                  <w:tcBorders>
                    <w:tl2br w:val="nil"/>
                    <w:tr2bl w:val="nil"/>
                  </w:tcBorders>
                  <w:vAlign w:val="center"/>
                </w:tcPr>
                <w:p w14:paraId="711BB6B6">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szCs w:val="21"/>
                    </w:rPr>
                    <w:t>HW</w:t>
                  </w:r>
                  <w:r>
                    <w:rPr>
                      <w:rFonts w:hint="eastAsia"/>
                      <w:color w:val="auto"/>
                      <w:szCs w:val="21"/>
                    </w:rPr>
                    <w:t>49</w:t>
                  </w:r>
                </w:p>
              </w:tc>
              <w:tc>
                <w:tcPr>
                  <w:tcW w:w="877" w:type="pct"/>
                  <w:tcBorders>
                    <w:tl2br w:val="nil"/>
                    <w:tr2bl w:val="nil"/>
                  </w:tcBorders>
                  <w:vAlign w:val="center"/>
                </w:tcPr>
                <w:p w14:paraId="4F923097">
                  <w:pPr>
                    <w:adjustRightInd w:val="0"/>
                    <w:snapToGrid w:val="0"/>
                    <w:jc w:val="center"/>
                    <w:rPr>
                      <w:rFonts w:ascii="Times New Roman" w:hAnsi="Times New Roman" w:eastAsia="宋体" w:cs="Times New Roman"/>
                      <w:snapToGrid w:val="0"/>
                      <w:color w:val="auto"/>
                      <w:spacing w:val="-1"/>
                      <w:kern w:val="0"/>
                      <w:sz w:val="21"/>
                      <w:szCs w:val="21"/>
                      <w:lang w:val="en-US" w:eastAsia="zh-CN" w:bidi="ar-SA"/>
                    </w:rPr>
                  </w:pPr>
                  <w:r>
                    <w:rPr>
                      <w:color w:val="auto"/>
                      <w:szCs w:val="21"/>
                    </w:rPr>
                    <w:t>900-041-49</w:t>
                  </w:r>
                </w:p>
              </w:tc>
              <w:tc>
                <w:tcPr>
                  <w:tcW w:w="394" w:type="pct"/>
                  <w:vMerge w:val="continue"/>
                  <w:tcBorders>
                    <w:tl2br w:val="nil"/>
                    <w:tr2bl w:val="nil"/>
                  </w:tcBorders>
                  <w:vAlign w:val="center"/>
                </w:tcPr>
                <w:p w14:paraId="7A83A278">
                  <w:pPr>
                    <w:widowControl/>
                    <w:wordWrap w:val="0"/>
                    <w:jc w:val="center"/>
                    <w:textAlignment w:val="center"/>
                    <w:rPr>
                      <w:color w:val="auto"/>
                      <w:szCs w:val="21"/>
                    </w:rPr>
                  </w:pPr>
                </w:p>
              </w:tc>
            </w:tr>
            <w:tr w14:paraId="7A618B1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14:paraId="7A97D2E2">
                  <w:pPr>
                    <w:widowControl/>
                    <w:wordWrap w:val="0"/>
                    <w:jc w:val="center"/>
                    <w:textAlignment w:val="center"/>
                    <w:rPr>
                      <w:color w:val="auto"/>
                      <w:kern w:val="0"/>
                      <w:szCs w:val="21"/>
                      <w:lang w:bidi="ar"/>
                    </w:rPr>
                  </w:pPr>
                </w:p>
              </w:tc>
              <w:tc>
                <w:tcPr>
                  <w:tcW w:w="821" w:type="pct"/>
                  <w:tcBorders>
                    <w:tl2br w:val="nil"/>
                    <w:tr2bl w:val="nil"/>
                  </w:tcBorders>
                  <w:vAlign w:val="center"/>
                </w:tcPr>
                <w:p w14:paraId="070F1533">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含油抹布和手套</w:t>
                  </w:r>
                </w:p>
              </w:tc>
              <w:tc>
                <w:tcPr>
                  <w:tcW w:w="455" w:type="pct"/>
                  <w:tcBorders>
                    <w:tl2br w:val="nil"/>
                    <w:tr2bl w:val="nil"/>
                  </w:tcBorders>
                  <w:vAlign w:val="center"/>
                </w:tcPr>
                <w:p w14:paraId="1ABDB40C">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0.5</w:t>
                  </w:r>
                </w:p>
              </w:tc>
              <w:tc>
                <w:tcPr>
                  <w:tcW w:w="633" w:type="pct"/>
                  <w:vMerge w:val="continue"/>
                  <w:tcBorders>
                    <w:tl2br w:val="nil"/>
                    <w:tr2bl w:val="nil"/>
                  </w:tcBorders>
                  <w:vAlign w:val="center"/>
                </w:tcPr>
                <w:p w14:paraId="46AF7DE4">
                  <w:pPr>
                    <w:widowControl/>
                    <w:wordWrap w:val="0"/>
                    <w:jc w:val="center"/>
                    <w:textAlignment w:val="center"/>
                    <w:rPr>
                      <w:color w:val="auto"/>
                      <w:szCs w:val="21"/>
                    </w:rPr>
                  </w:pPr>
                </w:p>
              </w:tc>
              <w:tc>
                <w:tcPr>
                  <w:tcW w:w="471" w:type="pct"/>
                  <w:tcBorders>
                    <w:tl2br w:val="nil"/>
                    <w:tr2bl w:val="nil"/>
                  </w:tcBorders>
                  <w:vAlign w:val="center"/>
                </w:tcPr>
                <w:p w14:paraId="54FB9895">
                  <w:pPr>
                    <w:jc w:val="center"/>
                    <w:rPr>
                      <w:rFonts w:ascii="Times New Roman" w:hAnsi="Times New Roman" w:eastAsia="宋体" w:cs="Times New Roman"/>
                      <w:color w:val="auto"/>
                      <w:kern w:val="2"/>
                      <w:sz w:val="21"/>
                      <w:szCs w:val="21"/>
                      <w:lang w:val="en-US" w:eastAsia="zh-CN" w:bidi="ar-SA"/>
                    </w:rPr>
                  </w:pPr>
                  <w:r>
                    <w:rPr>
                      <w:rFonts w:hint="eastAsia" w:eastAsiaTheme="minorEastAsia"/>
                      <w:color w:val="auto"/>
                      <w:szCs w:val="21"/>
                    </w:rPr>
                    <w:t>0.002</w:t>
                  </w:r>
                </w:p>
              </w:tc>
              <w:tc>
                <w:tcPr>
                  <w:tcW w:w="449" w:type="pct"/>
                  <w:tcBorders>
                    <w:tl2br w:val="nil"/>
                    <w:tr2bl w:val="nil"/>
                  </w:tcBorders>
                  <w:vAlign w:val="center"/>
                </w:tcPr>
                <w:p w14:paraId="468D0CCE">
                  <w:pPr>
                    <w:adjustRightInd w:val="0"/>
                    <w:snapToGrid w:val="0"/>
                    <w:jc w:val="center"/>
                    <w:rPr>
                      <w:rFonts w:ascii="Times New Roman" w:hAnsi="Times New Roman" w:eastAsia="宋体" w:cs="Times New Roman"/>
                      <w:color w:val="auto"/>
                      <w:kern w:val="0"/>
                      <w:sz w:val="21"/>
                      <w:szCs w:val="21"/>
                      <w:lang w:val="en-US" w:eastAsia="zh-CN" w:bidi="ar"/>
                    </w:rPr>
                  </w:pPr>
                  <w:r>
                    <w:rPr>
                      <w:color w:val="auto"/>
                      <w:szCs w:val="21"/>
                    </w:rPr>
                    <w:t>T/In</w:t>
                  </w:r>
                </w:p>
              </w:tc>
              <w:tc>
                <w:tcPr>
                  <w:tcW w:w="485" w:type="pct"/>
                  <w:tcBorders>
                    <w:tl2br w:val="nil"/>
                    <w:tr2bl w:val="nil"/>
                  </w:tcBorders>
                  <w:vAlign w:val="center"/>
                </w:tcPr>
                <w:p w14:paraId="7D6363EF">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szCs w:val="21"/>
                    </w:rPr>
                    <w:t>HW</w:t>
                  </w:r>
                  <w:r>
                    <w:rPr>
                      <w:rFonts w:hint="eastAsia"/>
                      <w:color w:val="auto"/>
                      <w:szCs w:val="21"/>
                    </w:rPr>
                    <w:t>4</w:t>
                  </w:r>
                  <w:r>
                    <w:rPr>
                      <w:color w:val="auto"/>
                      <w:szCs w:val="21"/>
                    </w:rPr>
                    <w:t>9</w:t>
                  </w:r>
                </w:p>
              </w:tc>
              <w:tc>
                <w:tcPr>
                  <w:tcW w:w="877" w:type="pct"/>
                  <w:tcBorders>
                    <w:tl2br w:val="nil"/>
                    <w:tr2bl w:val="nil"/>
                  </w:tcBorders>
                  <w:vAlign w:val="center"/>
                </w:tcPr>
                <w:p w14:paraId="4836961B">
                  <w:pPr>
                    <w:adjustRightInd w:val="0"/>
                    <w:snapToGrid w:val="0"/>
                    <w:jc w:val="center"/>
                    <w:rPr>
                      <w:rFonts w:ascii="Times New Roman" w:hAnsi="Times New Roman" w:eastAsia="宋体" w:cs="Times New Roman"/>
                      <w:snapToGrid w:val="0"/>
                      <w:color w:val="auto"/>
                      <w:spacing w:val="-1"/>
                      <w:kern w:val="0"/>
                      <w:sz w:val="21"/>
                      <w:szCs w:val="21"/>
                      <w:lang w:val="en-US" w:eastAsia="zh-CN" w:bidi="ar-SA"/>
                    </w:rPr>
                  </w:pPr>
                  <w:r>
                    <w:rPr>
                      <w:color w:val="auto"/>
                      <w:szCs w:val="21"/>
                    </w:rPr>
                    <w:t>900-041-49</w:t>
                  </w:r>
                </w:p>
              </w:tc>
              <w:tc>
                <w:tcPr>
                  <w:tcW w:w="394" w:type="pct"/>
                  <w:vMerge w:val="continue"/>
                  <w:tcBorders>
                    <w:tl2br w:val="nil"/>
                    <w:tr2bl w:val="nil"/>
                  </w:tcBorders>
                  <w:vAlign w:val="center"/>
                </w:tcPr>
                <w:p w14:paraId="4C4796FF">
                  <w:pPr>
                    <w:widowControl/>
                    <w:wordWrap w:val="0"/>
                    <w:jc w:val="center"/>
                    <w:textAlignment w:val="center"/>
                    <w:rPr>
                      <w:color w:val="auto"/>
                      <w:szCs w:val="21"/>
                    </w:rPr>
                  </w:pPr>
                </w:p>
              </w:tc>
            </w:tr>
            <w:tr w14:paraId="013508B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14:paraId="1D73CA41">
                  <w:pPr>
                    <w:widowControl/>
                    <w:wordWrap w:val="0"/>
                    <w:jc w:val="center"/>
                    <w:textAlignment w:val="center"/>
                    <w:rPr>
                      <w:color w:val="auto"/>
                      <w:kern w:val="0"/>
                      <w:szCs w:val="21"/>
                      <w:lang w:bidi="ar"/>
                    </w:rPr>
                  </w:pPr>
                </w:p>
              </w:tc>
              <w:tc>
                <w:tcPr>
                  <w:tcW w:w="821" w:type="pct"/>
                  <w:tcBorders>
                    <w:tl2br w:val="nil"/>
                    <w:tr2bl w:val="nil"/>
                  </w:tcBorders>
                  <w:vAlign w:val="center"/>
                </w:tcPr>
                <w:p w14:paraId="7C012DC2">
                  <w:pPr>
                    <w:adjustRightInd w:val="0"/>
                    <w:snapToGrid w:val="0"/>
                    <w:jc w:val="center"/>
                    <w:rPr>
                      <w:rFonts w:hint="eastAsia" w:eastAsia="宋体"/>
                      <w:color w:val="auto"/>
                      <w:szCs w:val="21"/>
                      <w:lang w:eastAsia="zh-CN"/>
                    </w:rPr>
                  </w:pPr>
                  <w:r>
                    <w:rPr>
                      <w:rFonts w:hint="eastAsia"/>
                      <w:color w:val="auto"/>
                      <w:szCs w:val="21"/>
                      <w:lang w:eastAsia="zh-CN"/>
                    </w:rPr>
                    <w:t>清洗废液</w:t>
                  </w:r>
                </w:p>
              </w:tc>
              <w:tc>
                <w:tcPr>
                  <w:tcW w:w="455" w:type="pct"/>
                  <w:tcBorders>
                    <w:tl2br w:val="nil"/>
                    <w:tr2bl w:val="nil"/>
                  </w:tcBorders>
                  <w:vAlign w:val="center"/>
                </w:tcPr>
                <w:p w14:paraId="46D2A936">
                  <w:pPr>
                    <w:jc w:val="center"/>
                    <w:rPr>
                      <w:rFonts w:hint="eastAsia" w:eastAsia="宋体"/>
                      <w:color w:val="auto"/>
                      <w:szCs w:val="21"/>
                      <w:lang w:val="en-US" w:eastAsia="zh-CN"/>
                    </w:rPr>
                  </w:pPr>
                  <w:r>
                    <w:rPr>
                      <w:rFonts w:hint="eastAsia"/>
                      <w:color w:val="auto"/>
                      <w:szCs w:val="21"/>
                      <w:lang w:val="en-US" w:eastAsia="zh-CN"/>
                    </w:rPr>
                    <w:t>3</w:t>
                  </w:r>
                </w:p>
              </w:tc>
              <w:tc>
                <w:tcPr>
                  <w:tcW w:w="633" w:type="pct"/>
                  <w:vMerge w:val="continue"/>
                  <w:tcBorders>
                    <w:tl2br w:val="nil"/>
                    <w:tr2bl w:val="nil"/>
                  </w:tcBorders>
                  <w:vAlign w:val="center"/>
                </w:tcPr>
                <w:p w14:paraId="753C0D15">
                  <w:pPr>
                    <w:widowControl/>
                    <w:wordWrap w:val="0"/>
                    <w:jc w:val="center"/>
                    <w:textAlignment w:val="center"/>
                    <w:rPr>
                      <w:color w:val="auto"/>
                      <w:szCs w:val="21"/>
                    </w:rPr>
                  </w:pPr>
                </w:p>
              </w:tc>
              <w:tc>
                <w:tcPr>
                  <w:tcW w:w="471" w:type="pct"/>
                  <w:tcBorders>
                    <w:tl2br w:val="nil"/>
                    <w:tr2bl w:val="nil"/>
                  </w:tcBorders>
                  <w:vAlign w:val="center"/>
                </w:tcPr>
                <w:p w14:paraId="17B6F7D2">
                  <w:pPr>
                    <w:jc w:val="center"/>
                    <w:rPr>
                      <w:rFonts w:hint="default" w:eastAsiaTheme="minorEastAsia"/>
                      <w:color w:val="auto"/>
                      <w:szCs w:val="21"/>
                      <w:lang w:val="en-US" w:eastAsia="zh-CN"/>
                    </w:rPr>
                  </w:pPr>
                  <w:r>
                    <w:rPr>
                      <w:rFonts w:hint="eastAsia" w:eastAsiaTheme="minorEastAsia"/>
                      <w:color w:val="auto"/>
                      <w:szCs w:val="21"/>
                      <w:lang w:val="en-US" w:eastAsia="zh-CN"/>
                    </w:rPr>
                    <w:t>3</w:t>
                  </w:r>
                </w:p>
              </w:tc>
              <w:tc>
                <w:tcPr>
                  <w:tcW w:w="449" w:type="pct"/>
                  <w:tcBorders>
                    <w:tl2br w:val="nil"/>
                    <w:tr2bl w:val="nil"/>
                  </w:tcBorders>
                  <w:vAlign w:val="center"/>
                </w:tcPr>
                <w:p w14:paraId="4C256518">
                  <w:pPr>
                    <w:adjustRightInd w:val="0"/>
                    <w:snapToGrid w:val="0"/>
                    <w:jc w:val="center"/>
                    <w:rPr>
                      <w:rFonts w:ascii="Times New Roman" w:hAnsi="Times New Roman" w:eastAsia="宋体" w:cs="Times New Roman"/>
                      <w:color w:val="auto"/>
                      <w:kern w:val="0"/>
                      <w:sz w:val="21"/>
                      <w:szCs w:val="21"/>
                      <w:lang w:val="en-US" w:eastAsia="zh-CN" w:bidi="ar"/>
                    </w:rPr>
                  </w:pPr>
                  <w:r>
                    <w:rPr>
                      <w:color w:val="auto"/>
                      <w:szCs w:val="21"/>
                    </w:rPr>
                    <w:t>T/In</w:t>
                  </w:r>
                </w:p>
              </w:tc>
              <w:tc>
                <w:tcPr>
                  <w:tcW w:w="485" w:type="pct"/>
                  <w:tcBorders>
                    <w:tl2br w:val="nil"/>
                    <w:tr2bl w:val="nil"/>
                  </w:tcBorders>
                  <w:vAlign w:val="center"/>
                </w:tcPr>
                <w:p w14:paraId="6B5D2D43">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szCs w:val="21"/>
                    </w:rPr>
                    <w:t>HW</w:t>
                  </w:r>
                  <w:r>
                    <w:rPr>
                      <w:rFonts w:hint="eastAsia"/>
                      <w:color w:val="auto"/>
                      <w:szCs w:val="21"/>
                    </w:rPr>
                    <w:t>4</w:t>
                  </w:r>
                  <w:r>
                    <w:rPr>
                      <w:color w:val="auto"/>
                      <w:szCs w:val="21"/>
                    </w:rPr>
                    <w:t>9</w:t>
                  </w:r>
                </w:p>
              </w:tc>
              <w:tc>
                <w:tcPr>
                  <w:tcW w:w="877" w:type="pct"/>
                  <w:tcBorders>
                    <w:tl2br w:val="nil"/>
                    <w:tr2bl w:val="nil"/>
                  </w:tcBorders>
                  <w:vAlign w:val="center"/>
                </w:tcPr>
                <w:p w14:paraId="4AAB7AC4">
                  <w:pPr>
                    <w:adjustRightInd w:val="0"/>
                    <w:snapToGrid w:val="0"/>
                    <w:jc w:val="center"/>
                    <w:rPr>
                      <w:color w:val="auto"/>
                      <w:szCs w:val="21"/>
                    </w:rPr>
                  </w:pPr>
                  <w:r>
                    <w:rPr>
                      <w:rFonts w:hint="eastAsia"/>
                      <w:color w:val="auto"/>
                      <w:szCs w:val="21"/>
                      <w:lang w:val="en-US" w:eastAsia="zh-CN"/>
                    </w:rPr>
                    <w:t>900-047-49</w:t>
                  </w:r>
                </w:p>
              </w:tc>
              <w:tc>
                <w:tcPr>
                  <w:tcW w:w="394" w:type="pct"/>
                  <w:vMerge w:val="continue"/>
                  <w:tcBorders>
                    <w:tl2br w:val="nil"/>
                    <w:tr2bl w:val="nil"/>
                  </w:tcBorders>
                  <w:vAlign w:val="center"/>
                </w:tcPr>
                <w:p w14:paraId="761E6D14">
                  <w:pPr>
                    <w:widowControl/>
                    <w:wordWrap w:val="0"/>
                    <w:jc w:val="center"/>
                    <w:textAlignment w:val="center"/>
                    <w:rPr>
                      <w:color w:val="auto"/>
                      <w:szCs w:val="21"/>
                    </w:rPr>
                  </w:pPr>
                </w:p>
              </w:tc>
            </w:tr>
            <w:tr w14:paraId="330A6D6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14:paraId="75088FC5">
                  <w:pPr>
                    <w:widowControl/>
                    <w:wordWrap w:val="0"/>
                    <w:jc w:val="center"/>
                    <w:textAlignment w:val="center"/>
                    <w:rPr>
                      <w:color w:val="auto"/>
                      <w:kern w:val="0"/>
                      <w:szCs w:val="21"/>
                      <w:lang w:bidi="ar"/>
                    </w:rPr>
                  </w:pPr>
                </w:p>
              </w:tc>
              <w:tc>
                <w:tcPr>
                  <w:tcW w:w="821" w:type="pct"/>
                  <w:tcBorders>
                    <w:tl2br w:val="nil"/>
                    <w:tr2bl w:val="nil"/>
                  </w:tcBorders>
                  <w:vAlign w:val="center"/>
                </w:tcPr>
                <w:p w14:paraId="53F7A925">
                  <w:pPr>
                    <w:adjustRightInd w:val="0"/>
                    <w:snapToGrid w:val="0"/>
                    <w:jc w:val="center"/>
                    <w:rPr>
                      <w:rFonts w:hint="eastAsia"/>
                      <w:color w:val="auto"/>
                      <w:szCs w:val="21"/>
                      <w:lang w:eastAsia="zh-CN"/>
                    </w:rPr>
                  </w:pPr>
                  <w:r>
                    <w:rPr>
                      <w:rFonts w:hint="eastAsia"/>
                      <w:color w:val="auto"/>
                      <w:szCs w:val="21"/>
                      <w:lang w:eastAsia="zh-CN"/>
                    </w:rPr>
                    <w:t>水喷淋废水</w:t>
                  </w:r>
                </w:p>
              </w:tc>
              <w:tc>
                <w:tcPr>
                  <w:tcW w:w="455" w:type="pct"/>
                  <w:tcBorders>
                    <w:tl2br w:val="nil"/>
                    <w:tr2bl w:val="nil"/>
                  </w:tcBorders>
                  <w:vAlign w:val="center"/>
                </w:tcPr>
                <w:p w14:paraId="3E25E523">
                  <w:pPr>
                    <w:jc w:val="center"/>
                    <w:rPr>
                      <w:rFonts w:hint="default"/>
                      <w:color w:val="auto"/>
                      <w:szCs w:val="21"/>
                      <w:lang w:val="en-US" w:eastAsia="zh-CN"/>
                    </w:rPr>
                  </w:pPr>
                  <w:r>
                    <w:rPr>
                      <w:rFonts w:hint="eastAsia"/>
                      <w:color w:val="auto"/>
                      <w:szCs w:val="21"/>
                      <w:lang w:val="en-US" w:eastAsia="zh-CN"/>
                    </w:rPr>
                    <w:t>5</w:t>
                  </w:r>
                </w:p>
              </w:tc>
              <w:tc>
                <w:tcPr>
                  <w:tcW w:w="633" w:type="pct"/>
                  <w:vMerge w:val="continue"/>
                  <w:tcBorders>
                    <w:tl2br w:val="nil"/>
                    <w:tr2bl w:val="nil"/>
                  </w:tcBorders>
                  <w:vAlign w:val="center"/>
                </w:tcPr>
                <w:p w14:paraId="6DC35EDE">
                  <w:pPr>
                    <w:widowControl/>
                    <w:wordWrap w:val="0"/>
                    <w:jc w:val="center"/>
                    <w:textAlignment w:val="center"/>
                    <w:rPr>
                      <w:color w:val="auto"/>
                      <w:szCs w:val="21"/>
                    </w:rPr>
                  </w:pPr>
                </w:p>
              </w:tc>
              <w:tc>
                <w:tcPr>
                  <w:tcW w:w="471" w:type="pct"/>
                  <w:tcBorders>
                    <w:tl2br w:val="nil"/>
                    <w:tr2bl w:val="nil"/>
                  </w:tcBorders>
                  <w:vAlign w:val="center"/>
                </w:tcPr>
                <w:p w14:paraId="57D6CD60">
                  <w:pPr>
                    <w:jc w:val="center"/>
                    <w:rPr>
                      <w:rFonts w:hint="default" w:eastAsiaTheme="minorEastAsia"/>
                      <w:color w:val="auto"/>
                      <w:szCs w:val="21"/>
                      <w:lang w:val="en-US" w:eastAsia="zh-CN"/>
                    </w:rPr>
                  </w:pPr>
                  <w:r>
                    <w:rPr>
                      <w:rFonts w:hint="eastAsia" w:eastAsiaTheme="minorEastAsia"/>
                      <w:color w:val="auto"/>
                      <w:szCs w:val="21"/>
                      <w:lang w:val="en-US" w:eastAsia="zh-CN"/>
                    </w:rPr>
                    <w:t>5</w:t>
                  </w:r>
                </w:p>
              </w:tc>
              <w:tc>
                <w:tcPr>
                  <w:tcW w:w="449" w:type="pct"/>
                  <w:tcBorders>
                    <w:tl2br w:val="nil"/>
                    <w:tr2bl w:val="nil"/>
                  </w:tcBorders>
                  <w:vAlign w:val="center"/>
                </w:tcPr>
                <w:p w14:paraId="6D5917C0">
                  <w:pPr>
                    <w:adjustRightInd w:val="0"/>
                    <w:snapToGrid w:val="0"/>
                    <w:jc w:val="center"/>
                    <w:rPr>
                      <w:rFonts w:ascii="Times New Roman" w:hAnsi="Times New Roman" w:eastAsia="宋体" w:cs="Times New Roman"/>
                      <w:color w:val="auto"/>
                      <w:kern w:val="0"/>
                      <w:sz w:val="21"/>
                      <w:szCs w:val="21"/>
                      <w:lang w:val="en-US" w:eastAsia="zh-CN" w:bidi="ar"/>
                    </w:rPr>
                  </w:pPr>
                  <w:r>
                    <w:rPr>
                      <w:color w:val="auto"/>
                      <w:szCs w:val="21"/>
                    </w:rPr>
                    <w:t>T/In</w:t>
                  </w:r>
                </w:p>
              </w:tc>
              <w:tc>
                <w:tcPr>
                  <w:tcW w:w="485" w:type="pct"/>
                  <w:tcBorders>
                    <w:tl2br w:val="nil"/>
                    <w:tr2bl w:val="nil"/>
                  </w:tcBorders>
                  <w:vAlign w:val="center"/>
                </w:tcPr>
                <w:p w14:paraId="75E290C1">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szCs w:val="21"/>
                    </w:rPr>
                    <w:t>HW</w:t>
                  </w:r>
                  <w:r>
                    <w:rPr>
                      <w:rFonts w:hint="eastAsia"/>
                      <w:color w:val="auto"/>
                      <w:szCs w:val="21"/>
                    </w:rPr>
                    <w:t>4</w:t>
                  </w:r>
                  <w:r>
                    <w:rPr>
                      <w:color w:val="auto"/>
                      <w:szCs w:val="21"/>
                    </w:rPr>
                    <w:t>9</w:t>
                  </w:r>
                </w:p>
              </w:tc>
              <w:tc>
                <w:tcPr>
                  <w:tcW w:w="877" w:type="pct"/>
                  <w:tcBorders>
                    <w:tl2br w:val="nil"/>
                    <w:tr2bl w:val="nil"/>
                  </w:tcBorders>
                  <w:vAlign w:val="center"/>
                </w:tcPr>
                <w:p w14:paraId="40D6D007">
                  <w:pPr>
                    <w:adjustRightInd w:val="0"/>
                    <w:snapToGrid w:val="0"/>
                    <w:jc w:val="center"/>
                    <w:rPr>
                      <w:rFonts w:hint="default"/>
                      <w:color w:val="auto"/>
                      <w:szCs w:val="21"/>
                      <w:lang w:val="en-US" w:eastAsia="zh-CN"/>
                    </w:rPr>
                  </w:pPr>
                  <w:r>
                    <w:rPr>
                      <w:rFonts w:hint="eastAsia"/>
                      <w:color w:val="auto"/>
                      <w:szCs w:val="21"/>
                      <w:lang w:val="en-US" w:eastAsia="zh-CN"/>
                    </w:rPr>
                    <w:t>772-006-49</w:t>
                  </w:r>
                </w:p>
              </w:tc>
              <w:tc>
                <w:tcPr>
                  <w:tcW w:w="394" w:type="pct"/>
                  <w:vMerge w:val="continue"/>
                  <w:tcBorders>
                    <w:tl2br w:val="nil"/>
                    <w:tr2bl w:val="nil"/>
                  </w:tcBorders>
                  <w:vAlign w:val="center"/>
                </w:tcPr>
                <w:p w14:paraId="005551EF">
                  <w:pPr>
                    <w:widowControl/>
                    <w:wordWrap w:val="0"/>
                    <w:jc w:val="center"/>
                    <w:textAlignment w:val="center"/>
                    <w:rPr>
                      <w:color w:val="auto"/>
                      <w:szCs w:val="21"/>
                    </w:rPr>
                  </w:pPr>
                </w:p>
              </w:tc>
            </w:tr>
          </w:tbl>
          <w:p w14:paraId="0219BAC4">
            <w:pPr>
              <w:wordWrap w:val="0"/>
              <w:spacing w:line="360" w:lineRule="auto"/>
              <w:ind w:firstLine="482" w:firstLineChars="200"/>
              <w:rPr>
                <w:b/>
                <w:bCs/>
                <w:color w:val="auto"/>
                <w:sz w:val="24"/>
              </w:rPr>
            </w:pPr>
            <w:r>
              <w:rPr>
                <w:b/>
                <w:bCs/>
                <w:color w:val="auto"/>
                <w:sz w:val="24"/>
              </w:rPr>
              <w:t>（2）暂存影响分析</w:t>
            </w:r>
          </w:p>
          <w:p w14:paraId="2683321A">
            <w:pPr>
              <w:wordWrap w:val="0"/>
              <w:spacing w:line="360" w:lineRule="auto"/>
              <w:ind w:firstLine="482" w:firstLineChars="200"/>
              <w:rPr>
                <w:b/>
                <w:bCs/>
                <w:color w:val="auto"/>
                <w:sz w:val="24"/>
              </w:rPr>
            </w:pPr>
            <w:r>
              <w:rPr>
                <w:b/>
                <w:bCs/>
                <w:color w:val="auto"/>
                <w:sz w:val="24"/>
              </w:rPr>
              <w:t>1）一般固体废物暂存库建设要求</w:t>
            </w:r>
          </w:p>
          <w:p w14:paraId="5AD50E33">
            <w:pPr>
              <w:wordWrap w:val="0"/>
              <w:spacing w:line="360" w:lineRule="auto"/>
              <w:ind w:firstLine="480" w:firstLineChars="200"/>
              <w:rPr>
                <w:color w:val="auto"/>
                <w:sz w:val="24"/>
              </w:rPr>
            </w:pPr>
            <w:r>
              <w:rPr>
                <w:color w:val="auto"/>
                <w:sz w:val="24"/>
              </w:rPr>
              <w:t>一般固体废物暂存库应按照《一般工业固体废物贮存和填埋污染控制标准》（GB18599-2020）要求建设：</w:t>
            </w:r>
          </w:p>
          <w:p w14:paraId="0811614D">
            <w:pPr>
              <w:wordWrap w:val="0"/>
              <w:spacing w:line="360" w:lineRule="auto"/>
              <w:ind w:firstLine="480" w:firstLineChars="200"/>
              <w:rPr>
                <w:color w:val="auto"/>
                <w:sz w:val="24"/>
                <w:lang w:val="zh-CN"/>
              </w:rPr>
            </w:pPr>
            <w:r>
              <w:rPr>
                <w:color w:val="auto"/>
                <w:sz w:val="24"/>
              </w:rPr>
              <w:t>①暂存库</w:t>
            </w:r>
            <w:r>
              <w:rPr>
                <w:color w:val="auto"/>
                <w:sz w:val="24"/>
                <w:lang w:val="zh-CN"/>
              </w:rPr>
              <w:t>的选址应符合环境保护法律法规及相关法定规划要求。</w:t>
            </w:r>
          </w:p>
          <w:p w14:paraId="241A0140">
            <w:pPr>
              <w:wordWrap w:val="0"/>
              <w:spacing w:line="360" w:lineRule="auto"/>
              <w:ind w:firstLine="480" w:firstLineChars="200"/>
              <w:rPr>
                <w:color w:val="auto"/>
                <w:sz w:val="24"/>
              </w:rPr>
            </w:pPr>
            <w:r>
              <w:rPr>
                <w:color w:val="auto"/>
                <w:sz w:val="24"/>
              </w:rPr>
              <w:t>②暂存库</w:t>
            </w:r>
            <w:r>
              <w:rPr>
                <w:color w:val="auto"/>
                <w:sz w:val="24"/>
                <w:lang w:val="zh-CN"/>
              </w:rPr>
              <w:t>的位置与周围居民区的距离应依据环境影响评价文件及审批意见确定。</w:t>
            </w:r>
          </w:p>
          <w:p w14:paraId="464F93A8">
            <w:pPr>
              <w:wordWrap w:val="0"/>
              <w:spacing w:line="360" w:lineRule="auto"/>
              <w:ind w:firstLine="480" w:firstLineChars="200"/>
              <w:rPr>
                <w:color w:val="auto"/>
                <w:sz w:val="24"/>
              </w:rPr>
            </w:pPr>
            <w:r>
              <w:rPr>
                <w:color w:val="auto"/>
                <w:sz w:val="24"/>
              </w:rPr>
              <w:t>③暂存库</w:t>
            </w:r>
            <w:r>
              <w:rPr>
                <w:color w:val="auto"/>
                <w:sz w:val="24"/>
                <w:lang w:val="zh-CN"/>
              </w:rPr>
              <w:t>不得选在生态保护红线区域、永久基本农田集中区域和其他需要特别保护的区域内。</w:t>
            </w:r>
          </w:p>
          <w:p w14:paraId="1FC2D8C3">
            <w:pPr>
              <w:wordWrap w:val="0"/>
              <w:spacing w:line="360" w:lineRule="auto"/>
              <w:ind w:firstLine="480" w:firstLineChars="200"/>
              <w:rPr>
                <w:color w:val="auto"/>
                <w:sz w:val="24"/>
              </w:rPr>
            </w:pPr>
            <w:r>
              <w:rPr>
                <w:color w:val="auto"/>
                <w:sz w:val="24"/>
              </w:rPr>
              <w:t>④暂存库</w:t>
            </w:r>
            <w:r>
              <w:rPr>
                <w:color w:val="auto"/>
                <w:sz w:val="24"/>
                <w:lang w:val="zh-CN"/>
              </w:rPr>
              <w:t>应避开活动断层、溶洞区、天然滑坡或泥石流影响区以及湿地等区域。</w:t>
            </w:r>
          </w:p>
          <w:p w14:paraId="2929FC4F">
            <w:pPr>
              <w:wordWrap w:val="0"/>
              <w:spacing w:line="360" w:lineRule="auto"/>
              <w:ind w:firstLine="480" w:firstLineChars="200"/>
              <w:rPr>
                <w:color w:val="auto"/>
                <w:sz w:val="24"/>
              </w:rPr>
            </w:pPr>
            <w:r>
              <w:rPr>
                <w:color w:val="auto"/>
                <w:sz w:val="24"/>
              </w:rPr>
              <w:t>⑤暂存库</w:t>
            </w:r>
            <w:r>
              <w:rPr>
                <w:color w:val="auto"/>
                <w:sz w:val="24"/>
                <w:lang w:val="zh-CN"/>
              </w:rPr>
              <w:t>不得选在江河、湖泊、运河、渠道、水库最高水位线以下的滩地和岸坡，以及国家和地方长远规划中的水库等人工蓄水设施的淹没区和保护区之内。</w:t>
            </w:r>
          </w:p>
          <w:p w14:paraId="71FE0F4D">
            <w:pPr>
              <w:wordWrap w:val="0"/>
              <w:spacing w:line="360" w:lineRule="auto"/>
              <w:ind w:firstLine="482" w:firstLineChars="200"/>
              <w:rPr>
                <w:b/>
                <w:bCs/>
                <w:color w:val="auto"/>
                <w:sz w:val="24"/>
              </w:rPr>
            </w:pPr>
            <w:r>
              <w:rPr>
                <w:b/>
                <w:bCs/>
                <w:color w:val="auto"/>
                <w:sz w:val="24"/>
              </w:rPr>
              <w:t>2）危险废物</w:t>
            </w:r>
            <w:r>
              <w:rPr>
                <w:rFonts w:hint="eastAsia"/>
                <w:b/>
                <w:bCs/>
                <w:color w:val="auto"/>
                <w:sz w:val="24"/>
                <w:lang w:eastAsia="zh-CN"/>
              </w:rPr>
              <w:t>废料</w:t>
            </w:r>
            <w:r>
              <w:rPr>
                <w:b/>
                <w:bCs/>
                <w:color w:val="auto"/>
                <w:sz w:val="24"/>
              </w:rPr>
              <w:t>暂存库建设要求</w:t>
            </w:r>
          </w:p>
          <w:p w14:paraId="16CF373A">
            <w:pPr>
              <w:wordWrap w:val="0"/>
              <w:spacing w:line="360" w:lineRule="auto"/>
              <w:ind w:firstLine="480" w:firstLineChars="200"/>
              <w:rPr>
                <w:color w:val="auto"/>
                <w:sz w:val="24"/>
                <w:szCs w:val="22"/>
              </w:rPr>
            </w:pPr>
            <w:r>
              <w:rPr>
                <w:color w:val="auto"/>
                <w:sz w:val="24"/>
              </w:rPr>
              <w:t>危险废物废暂存库应按照《危险废物贮存污染物控制标准》（GB18597</w:t>
            </w:r>
            <w:r>
              <w:rPr>
                <w:rFonts w:hint="eastAsia"/>
                <w:color w:val="auto"/>
                <w:sz w:val="24"/>
              </w:rPr>
              <w:t>-</w:t>
            </w:r>
            <w:r>
              <w:rPr>
                <w:color w:val="auto"/>
                <w:sz w:val="24"/>
              </w:rPr>
              <w:t>2023）中危险废物贮存</w:t>
            </w:r>
            <w:r>
              <w:rPr>
                <w:color w:val="auto"/>
                <w:sz w:val="24"/>
                <w:szCs w:val="22"/>
              </w:rPr>
              <w:t>设施（仓库式）的设计原则要求建设：</w:t>
            </w:r>
          </w:p>
          <w:p w14:paraId="1C60EAA4">
            <w:pPr>
              <w:wordWrap w:val="0"/>
              <w:spacing w:line="360" w:lineRule="auto"/>
              <w:ind w:firstLine="480" w:firstLineChars="200"/>
              <w:rPr>
                <w:color w:val="auto"/>
                <w:sz w:val="24"/>
                <w:szCs w:val="22"/>
              </w:rPr>
            </w:pPr>
            <w:r>
              <w:rPr>
                <w:color w:val="auto"/>
                <w:sz w:val="24"/>
              </w:rPr>
              <w:t>①</w:t>
            </w:r>
            <w:r>
              <w:rPr>
                <w:color w:val="auto"/>
                <w:sz w:val="24"/>
                <w:szCs w:val="22"/>
              </w:rPr>
              <w:t>危废暂存库的地面与裙脚已用坚固、防渗的材料建造，墙角四周开截留沟槽，设置集水井，并刷环氧漆。</w:t>
            </w:r>
          </w:p>
          <w:p w14:paraId="315AD270">
            <w:pPr>
              <w:wordWrap w:val="0"/>
              <w:spacing w:line="360" w:lineRule="auto"/>
              <w:ind w:firstLine="480" w:firstLineChars="200"/>
              <w:rPr>
                <w:color w:val="auto"/>
                <w:sz w:val="24"/>
                <w:szCs w:val="22"/>
              </w:rPr>
            </w:pPr>
            <w:r>
              <w:rPr>
                <w:color w:val="auto"/>
                <w:sz w:val="24"/>
              </w:rPr>
              <w:t>②</w:t>
            </w:r>
            <w:r>
              <w:rPr>
                <w:color w:val="auto"/>
                <w:sz w:val="24"/>
                <w:szCs w:val="22"/>
              </w:rPr>
              <w:t>库内有泄漏液体收集装置、气体导出口；并设有安全照明设施（防爆灯）和观察窗口；用防渗托盘存放装载液体、半固体的危险废物。</w:t>
            </w:r>
          </w:p>
          <w:p w14:paraId="746C952F">
            <w:pPr>
              <w:wordWrap w:val="0"/>
              <w:spacing w:line="360" w:lineRule="auto"/>
              <w:ind w:firstLine="480" w:firstLineChars="200"/>
              <w:rPr>
                <w:color w:val="auto"/>
                <w:sz w:val="24"/>
                <w:szCs w:val="22"/>
              </w:rPr>
            </w:pPr>
            <w:r>
              <w:rPr>
                <w:color w:val="auto"/>
                <w:sz w:val="24"/>
              </w:rPr>
              <w:t>③</w:t>
            </w:r>
            <w:r>
              <w:rPr>
                <w:color w:val="auto"/>
                <w:sz w:val="24"/>
                <w:szCs w:val="22"/>
              </w:rPr>
              <w:t>不相容的危险废物已分开存放，并设有隔离</w:t>
            </w:r>
            <w:r>
              <w:rPr>
                <w:rFonts w:hint="eastAsia"/>
                <w:color w:val="auto"/>
                <w:sz w:val="24"/>
                <w:szCs w:val="22"/>
                <w:lang w:eastAsia="zh-CN"/>
              </w:rPr>
              <w:t>间隔</w:t>
            </w:r>
            <w:r>
              <w:rPr>
                <w:color w:val="auto"/>
                <w:sz w:val="24"/>
                <w:szCs w:val="22"/>
              </w:rPr>
              <w:t>。</w:t>
            </w:r>
          </w:p>
          <w:p w14:paraId="36D6A857">
            <w:pPr>
              <w:wordWrap w:val="0"/>
              <w:spacing w:line="360" w:lineRule="auto"/>
              <w:ind w:firstLine="480" w:firstLineChars="200"/>
              <w:rPr>
                <w:color w:val="auto"/>
                <w:sz w:val="24"/>
                <w:szCs w:val="22"/>
              </w:rPr>
            </w:pPr>
            <w:r>
              <w:rPr>
                <w:color w:val="auto"/>
                <w:sz w:val="24"/>
              </w:rPr>
              <w:t>④</w:t>
            </w:r>
            <w:r>
              <w:rPr>
                <w:color w:val="auto"/>
                <w:sz w:val="24"/>
                <w:szCs w:val="22"/>
              </w:rPr>
              <w:t>对于会有挥发性气体产生的固废，建议装在有内衬的吨袋里，密封存贮，并定期处置；危废暂存库全年运行。</w:t>
            </w:r>
          </w:p>
          <w:p w14:paraId="611350F0">
            <w:pPr>
              <w:wordWrap w:val="0"/>
              <w:spacing w:line="360" w:lineRule="auto"/>
              <w:ind w:firstLine="480" w:firstLineChars="200"/>
              <w:rPr>
                <w:color w:val="auto"/>
                <w:sz w:val="24"/>
              </w:rPr>
            </w:pPr>
            <w:r>
              <w:rPr>
                <w:color w:val="auto"/>
                <w:sz w:val="24"/>
              </w:rPr>
              <w:t>与此同时，企业应按照</w:t>
            </w:r>
            <w:r>
              <w:rPr>
                <w:rFonts w:hint="eastAsia"/>
                <w:color w:val="auto"/>
                <w:sz w:val="24"/>
              </w:rPr>
              <w:t>《江苏省固体废物全过程环境监管工作意见》的通知(苏环办</w:t>
            </w:r>
            <w:r>
              <w:rPr>
                <w:rFonts w:hint="eastAsia"/>
                <w:color w:val="auto"/>
                <w:sz w:val="24"/>
                <w:lang w:eastAsia="zh-CN"/>
              </w:rPr>
              <w:t>〔2024〕16号</w:t>
            </w:r>
            <w:r>
              <w:rPr>
                <w:rFonts w:hint="eastAsia"/>
                <w:color w:val="auto"/>
                <w:sz w:val="24"/>
              </w:rPr>
              <w:t>)</w:t>
            </w:r>
            <w:r>
              <w:rPr>
                <w:color w:val="auto"/>
                <w:sz w:val="24"/>
              </w:rPr>
              <w:t>、</w:t>
            </w:r>
            <w:r>
              <w:rPr>
                <w:bCs/>
                <w:color w:val="auto"/>
                <w:sz w:val="24"/>
                <w:lang w:val="zh-CN"/>
              </w:rPr>
              <w:t>《省生态环境厅关于做好江苏省危险废物全生命周期监控系统上线运行工作的通知》（苏环办</w:t>
            </w:r>
            <w:r>
              <w:rPr>
                <w:bCs/>
                <w:color w:val="auto"/>
                <w:sz w:val="24"/>
              </w:rPr>
              <w:t>〔</w:t>
            </w:r>
            <w:r>
              <w:rPr>
                <w:bCs/>
                <w:color w:val="auto"/>
                <w:sz w:val="24"/>
                <w:lang w:val="zh-CN"/>
              </w:rPr>
              <w:t>2020</w:t>
            </w:r>
            <w:r>
              <w:rPr>
                <w:bCs/>
                <w:color w:val="auto"/>
                <w:sz w:val="24"/>
              </w:rPr>
              <w:t>〕</w:t>
            </w:r>
            <w:r>
              <w:rPr>
                <w:bCs/>
                <w:color w:val="auto"/>
                <w:sz w:val="24"/>
                <w:lang w:val="zh-CN"/>
              </w:rPr>
              <w:t>401号）</w:t>
            </w:r>
            <w:r>
              <w:rPr>
                <w:color w:val="auto"/>
                <w:sz w:val="24"/>
              </w:rPr>
              <w:t>的相关要求，建立“三牌一签制度”，</w:t>
            </w:r>
            <w:r>
              <w:rPr>
                <w:rFonts w:hint="eastAsia"/>
                <w:color w:val="auto"/>
                <w:sz w:val="24"/>
                <w:lang w:eastAsia="zh-CN"/>
              </w:rPr>
              <w:t>配备</w:t>
            </w:r>
            <w:r>
              <w:rPr>
                <w:color w:val="auto"/>
                <w:sz w:val="24"/>
              </w:rPr>
              <w:t>灭火器设施。项目危险固废及时处置，存储期不超过一年，危废进出库都有</w:t>
            </w:r>
            <w:r>
              <w:rPr>
                <w:rFonts w:hint="eastAsia"/>
                <w:color w:val="auto"/>
                <w:sz w:val="24"/>
                <w:lang w:eastAsia="zh-CN"/>
              </w:rPr>
              <w:t>台账记录</w:t>
            </w:r>
            <w:r>
              <w:rPr>
                <w:color w:val="auto"/>
                <w:sz w:val="24"/>
              </w:rPr>
              <w:t>，各类固体废物均得到有效处置，实现零排放，不会造成二次污染。</w:t>
            </w:r>
          </w:p>
          <w:p w14:paraId="0E7F2A9C">
            <w:pPr>
              <w:wordWrap w:val="0"/>
              <w:spacing w:line="360" w:lineRule="auto"/>
              <w:ind w:firstLine="480" w:firstLineChars="200"/>
              <w:rPr>
                <w:color w:val="auto"/>
                <w:sz w:val="24"/>
              </w:rPr>
            </w:pPr>
            <w:r>
              <w:rPr>
                <w:color w:val="auto"/>
                <w:sz w:val="24"/>
              </w:rPr>
              <w:t>综上，建议企业今后严格按照《危险废物贮存污染物控制标准》（GB18597</w:t>
            </w:r>
            <w:r>
              <w:rPr>
                <w:rFonts w:hint="eastAsia"/>
                <w:color w:val="auto"/>
                <w:sz w:val="24"/>
              </w:rPr>
              <w:t>-</w:t>
            </w:r>
            <w:r>
              <w:rPr>
                <w:color w:val="auto"/>
                <w:sz w:val="24"/>
              </w:rPr>
              <w:t>2023）、</w:t>
            </w:r>
            <w:r>
              <w:rPr>
                <w:rFonts w:hint="eastAsia"/>
                <w:color w:val="auto"/>
                <w:sz w:val="24"/>
              </w:rPr>
              <w:t>《江苏省固体废物全过程环境监管工作意见》的通知(苏环办</w:t>
            </w:r>
            <w:r>
              <w:rPr>
                <w:rFonts w:hint="eastAsia"/>
                <w:color w:val="auto"/>
                <w:sz w:val="24"/>
                <w:lang w:eastAsia="zh-CN"/>
              </w:rPr>
              <w:t>〔2024〕16号</w:t>
            </w:r>
            <w:r>
              <w:rPr>
                <w:rFonts w:hint="eastAsia"/>
                <w:color w:val="auto"/>
                <w:sz w:val="24"/>
              </w:rPr>
              <w:t>)</w:t>
            </w:r>
            <w:r>
              <w:rPr>
                <w:color w:val="auto"/>
                <w:sz w:val="24"/>
              </w:rPr>
              <w:t>以及</w:t>
            </w:r>
            <w:r>
              <w:rPr>
                <w:bCs/>
                <w:color w:val="auto"/>
                <w:sz w:val="24"/>
                <w:lang w:val="zh-CN"/>
              </w:rPr>
              <w:t>《省生态环境厅关于做好江苏省危险废物全生命周期监控系统上线运行工作的通知》（苏环办</w:t>
            </w:r>
            <w:r>
              <w:rPr>
                <w:bCs/>
                <w:color w:val="auto"/>
                <w:sz w:val="24"/>
              </w:rPr>
              <w:t>〔</w:t>
            </w:r>
            <w:r>
              <w:rPr>
                <w:bCs/>
                <w:color w:val="auto"/>
                <w:sz w:val="24"/>
                <w:lang w:val="zh-CN"/>
              </w:rPr>
              <w:t>2020</w:t>
            </w:r>
            <w:r>
              <w:rPr>
                <w:bCs/>
                <w:color w:val="auto"/>
                <w:sz w:val="24"/>
              </w:rPr>
              <w:t>〕</w:t>
            </w:r>
            <w:r>
              <w:rPr>
                <w:bCs/>
                <w:color w:val="auto"/>
                <w:sz w:val="24"/>
                <w:lang w:val="zh-CN"/>
              </w:rPr>
              <w:t>401号）</w:t>
            </w:r>
            <w:r>
              <w:rPr>
                <w:color w:val="auto"/>
                <w:sz w:val="24"/>
              </w:rPr>
              <w:t>的相关要求，规范的危废的存储与处置，每年按要求登录江苏省危险废物动态管理系统，如实申报并制定危废管理计划；日常危废的进出库记录好</w:t>
            </w:r>
            <w:r>
              <w:rPr>
                <w:rFonts w:hint="eastAsia"/>
                <w:color w:val="auto"/>
                <w:sz w:val="24"/>
                <w:lang w:eastAsia="zh-CN"/>
              </w:rPr>
              <w:t>台账</w:t>
            </w:r>
            <w:r>
              <w:rPr>
                <w:color w:val="auto"/>
                <w:sz w:val="24"/>
              </w:rPr>
              <w:t>（注明危险废物的名称、来源、数量、特性和包装容器的类别、入库日期、存放库位、废物出库日期及接收单位名称）。</w:t>
            </w:r>
          </w:p>
          <w:p w14:paraId="5140FC94">
            <w:pPr>
              <w:tabs>
                <w:tab w:val="left" w:pos="360"/>
              </w:tabs>
              <w:wordWrap w:val="0"/>
              <w:autoSpaceDE w:val="0"/>
              <w:autoSpaceDN w:val="0"/>
              <w:adjustRightInd w:val="0"/>
              <w:spacing w:line="360" w:lineRule="auto"/>
              <w:ind w:firstLine="482" w:firstLineChars="200"/>
              <w:rPr>
                <w:b/>
                <w:bCs/>
                <w:color w:val="auto"/>
                <w:sz w:val="24"/>
              </w:rPr>
            </w:pPr>
            <w:r>
              <w:rPr>
                <w:b/>
                <w:bCs/>
                <w:color w:val="auto"/>
                <w:sz w:val="24"/>
              </w:rPr>
              <w:t>3）危险废物暂存场所贮存及管理要求</w:t>
            </w:r>
          </w:p>
          <w:p w14:paraId="2628471C">
            <w:pPr>
              <w:tabs>
                <w:tab w:val="left" w:pos="360"/>
              </w:tabs>
              <w:wordWrap w:val="0"/>
              <w:autoSpaceDE w:val="0"/>
              <w:autoSpaceDN w:val="0"/>
              <w:adjustRightInd w:val="0"/>
              <w:spacing w:line="360" w:lineRule="auto"/>
              <w:ind w:firstLine="480" w:firstLineChars="200"/>
              <w:rPr>
                <w:color w:val="auto"/>
                <w:sz w:val="24"/>
              </w:rPr>
            </w:pPr>
            <w:r>
              <w:rPr>
                <w:color w:val="auto"/>
                <w:sz w:val="24"/>
              </w:rPr>
              <w:t>本项目危险废物贮存及管理的一般要求为：</w:t>
            </w:r>
          </w:p>
          <w:p w14:paraId="4405D487">
            <w:pPr>
              <w:tabs>
                <w:tab w:val="left" w:pos="360"/>
              </w:tabs>
              <w:wordWrap w:val="0"/>
              <w:autoSpaceDE w:val="0"/>
              <w:autoSpaceDN w:val="0"/>
              <w:adjustRightInd w:val="0"/>
              <w:spacing w:line="360" w:lineRule="auto"/>
              <w:ind w:firstLine="480" w:firstLineChars="200"/>
              <w:rPr>
                <w:color w:val="auto"/>
                <w:sz w:val="24"/>
              </w:rPr>
            </w:pPr>
            <w:r>
              <w:rPr>
                <w:color w:val="auto"/>
                <w:sz w:val="24"/>
              </w:rPr>
              <w:t>①盛装在容器内的同类危险废物可以堆叠存放。</w:t>
            </w:r>
          </w:p>
          <w:p w14:paraId="4C3A2E9D">
            <w:pPr>
              <w:tabs>
                <w:tab w:val="left" w:pos="360"/>
              </w:tabs>
              <w:wordWrap w:val="0"/>
              <w:autoSpaceDE w:val="0"/>
              <w:autoSpaceDN w:val="0"/>
              <w:adjustRightInd w:val="0"/>
              <w:spacing w:line="360" w:lineRule="auto"/>
              <w:ind w:firstLine="480" w:firstLineChars="200"/>
              <w:rPr>
                <w:color w:val="auto"/>
                <w:sz w:val="24"/>
              </w:rPr>
            </w:pPr>
            <w:r>
              <w:rPr>
                <w:color w:val="auto"/>
                <w:sz w:val="24"/>
              </w:rPr>
              <w:t>②每个堆间应留有搬运通道。</w:t>
            </w:r>
          </w:p>
          <w:p w14:paraId="114EE186">
            <w:pPr>
              <w:tabs>
                <w:tab w:val="left" w:pos="360"/>
              </w:tabs>
              <w:wordWrap w:val="0"/>
              <w:autoSpaceDE w:val="0"/>
              <w:autoSpaceDN w:val="0"/>
              <w:adjustRightInd w:val="0"/>
              <w:spacing w:line="360" w:lineRule="auto"/>
              <w:ind w:firstLine="480" w:firstLineChars="200"/>
              <w:rPr>
                <w:color w:val="auto"/>
                <w:sz w:val="24"/>
              </w:rPr>
            </w:pPr>
            <w:r>
              <w:rPr>
                <w:color w:val="auto"/>
                <w:sz w:val="24"/>
              </w:rPr>
              <w:t>③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w:t>
            </w:r>
          </w:p>
          <w:p w14:paraId="5141383A">
            <w:pPr>
              <w:tabs>
                <w:tab w:val="left" w:pos="360"/>
              </w:tabs>
              <w:wordWrap w:val="0"/>
              <w:autoSpaceDE w:val="0"/>
              <w:autoSpaceDN w:val="0"/>
              <w:adjustRightInd w:val="0"/>
              <w:spacing w:line="360" w:lineRule="auto"/>
              <w:ind w:firstLine="480" w:firstLineChars="200"/>
              <w:rPr>
                <w:color w:val="auto"/>
                <w:sz w:val="24"/>
              </w:rPr>
            </w:pPr>
            <w:r>
              <w:rPr>
                <w:color w:val="auto"/>
                <w:sz w:val="24"/>
              </w:rPr>
              <w:t>④必须定期对所贮存的危险废物包装容器及贮存设施进行检查，发现破损，应及时采取措施清理更换。</w:t>
            </w:r>
          </w:p>
          <w:p w14:paraId="3E78F6EE">
            <w:pPr>
              <w:tabs>
                <w:tab w:val="left" w:pos="360"/>
              </w:tabs>
              <w:wordWrap w:val="0"/>
              <w:autoSpaceDE w:val="0"/>
              <w:autoSpaceDN w:val="0"/>
              <w:adjustRightInd w:val="0"/>
              <w:spacing w:line="360" w:lineRule="auto"/>
              <w:ind w:firstLine="480" w:firstLineChars="200"/>
              <w:rPr>
                <w:color w:val="auto"/>
                <w:sz w:val="24"/>
              </w:rPr>
            </w:pPr>
            <w:r>
              <w:rPr>
                <w:color w:val="auto"/>
                <w:sz w:val="24"/>
              </w:rPr>
              <w:t>⑤不得将不相容的废物混合或合并存放。</w:t>
            </w:r>
          </w:p>
          <w:p w14:paraId="148EE433">
            <w:pPr>
              <w:tabs>
                <w:tab w:val="left" w:pos="360"/>
              </w:tabs>
              <w:wordWrap w:val="0"/>
              <w:autoSpaceDE w:val="0"/>
              <w:autoSpaceDN w:val="0"/>
              <w:adjustRightInd w:val="0"/>
              <w:spacing w:line="360" w:lineRule="auto"/>
              <w:ind w:firstLine="480" w:firstLineChars="200"/>
              <w:rPr>
                <w:color w:val="auto"/>
                <w:sz w:val="24"/>
              </w:rPr>
            </w:pPr>
            <w:r>
              <w:rPr>
                <w:color w:val="auto"/>
                <w:sz w:val="24"/>
              </w:rPr>
              <w:t>⑥危险废物贮存设施都必须按GB15562.2的规定设置警示标志。</w:t>
            </w:r>
          </w:p>
          <w:p w14:paraId="5F9EF70B">
            <w:pPr>
              <w:tabs>
                <w:tab w:val="left" w:pos="360"/>
              </w:tabs>
              <w:wordWrap w:val="0"/>
              <w:autoSpaceDE w:val="0"/>
              <w:autoSpaceDN w:val="0"/>
              <w:adjustRightInd w:val="0"/>
              <w:spacing w:line="360" w:lineRule="auto"/>
              <w:ind w:firstLine="480" w:firstLineChars="200"/>
              <w:rPr>
                <w:color w:val="auto"/>
                <w:sz w:val="24"/>
              </w:rPr>
            </w:pPr>
            <w:r>
              <w:rPr>
                <w:color w:val="auto"/>
                <w:sz w:val="24"/>
              </w:rPr>
              <w:t>⑦危险废物贮存设施周围应设置围墙或其他防护栅栏。</w:t>
            </w:r>
          </w:p>
          <w:p w14:paraId="24BFD894">
            <w:pPr>
              <w:tabs>
                <w:tab w:val="left" w:pos="360"/>
              </w:tabs>
              <w:wordWrap w:val="0"/>
              <w:autoSpaceDE w:val="0"/>
              <w:autoSpaceDN w:val="0"/>
              <w:adjustRightInd w:val="0"/>
              <w:spacing w:line="360" w:lineRule="auto"/>
              <w:ind w:firstLine="480" w:firstLineChars="200"/>
              <w:rPr>
                <w:color w:val="auto"/>
                <w:sz w:val="24"/>
              </w:rPr>
            </w:pPr>
            <w:r>
              <w:rPr>
                <w:color w:val="auto"/>
                <w:sz w:val="24"/>
              </w:rPr>
              <w:t>⑧危险废物贮存设施应配备通讯设备、照明设施、安全防护服装及工具，并设有应急防护设施；</w:t>
            </w:r>
          </w:p>
          <w:p w14:paraId="73DD28B0">
            <w:pPr>
              <w:tabs>
                <w:tab w:val="left" w:pos="360"/>
              </w:tabs>
              <w:wordWrap w:val="0"/>
              <w:autoSpaceDE w:val="0"/>
              <w:autoSpaceDN w:val="0"/>
              <w:adjustRightInd w:val="0"/>
              <w:spacing w:line="360" w:lineRule="auto"/>
              <w:ind w:firstLine="480" w:firstLineChars="200"/>
              <w:rPr>
                <w:color w:val="auto"/>
                <w:sz w:val="24"/>
              </w:rPr>
            </w:pPr>
            <w:r>
              <w:rPr>
                <w:color w:val="auto"/>
                <w:sz w:val="24"/>
              </w:rPr>
              <w:t>⑨危险废物贮存设施内清理出来的泄漏物，一律按危险废物处理。</w:t>
            </w:r>
          </w:p>
          <w:p w14:paraId="605C90DE">
            <w:pPr>
              <w:tabs>
                <w:tab w:val="left" w:pos="360"/>
              </w:tabs>
              <w:wordWrap w:val="0"/>
              <w:autoSpaceDE w:val="0"/>
              <w:autoSpaceDN w:val="0"/>
              <w:adjustRightInd w:val="0"/>
              <w:spacing w:line="360" w:lineRule="auto"/>
              <w:ind w:firstLine="482" w:firstLineChars="200"/>
              <w:rPr>
                <w:b/>
                <w:bCs/>
                <w:color w:val="auto"/>
                <w:sz w:val="24"/>
              </w:rPr>
            </w:pPr>
            <w:r>
              <w:rPr>
                <w:b/>
                <w:bCs/>
                <w:color w:val="auto"/>
                <w:sz w:val="24"/>
              </w:rPr>
              <w:t>4）规范化管理要求</w:t>
            </w:r>
          </w:p>
          <w:p w14:paraId="436488BF">
            <w:pPr>
              <w:wordWrap w:val="0"/>
              <w:spacing w:line="360" w:lineRule="auto"/>
              <w:ind w:firstLine="480" w:firstLineChars="200"/>
              <w:rPr>
                <w:color w:val="auto"/>
                <w:sz w:val="24"/>
              </w:rPr>
            </w:pPr>
            <w:r>
              <w:rPr>
                <w:rFonts w:hint="eastAsia"/>
                <w:color w:val="auto"/>
                <w:sz w:val="24"/>
                <w:lang w:val="en-US" w:eastAsia="zh-CN"/>
              </w:rPr>
              <w:t>建设项目设有专用的贮存库房用于贮存固体废物，并在醒目处设置标志牌。固体废物贮存场所要有防火、防扬散、防流失、防渗漏、防雨措施；固体废物贮存（处置）场图形符号分别为提示图形符号和警告图形符号两种，图形符号的设置按《环境保护图形标志固体废物贮存（处置）场》（</w:t>
            </w:r>
            <w:r>
              <w:rPr>
                <w:rFonts w:hint="default"/>
                <w:color w:val="auto"/>
                <w:sz w:val="24"/>
                <w:lang w:val="en-US" w:eastAsia="zh-CN"/>
              </w:rPr>
              <w:t>GB15562.2-1995</w:t>
            </w:r>
            <w:r>
              <w:rPr>
                <w:rFonts w:hint="eastAsia"/>
                <w:color w:val="auto"/>
                <w:sz w:val="24"/>
                <w:lang w:val="en-US" w:eastAsia="zh-CN"/>
              </w:rPr>
              <w:t>）及修改单、《省生态环境厅关于印发〈江苏省固体废物全过程环境监管工作意见〉的通知》（苏环办</w:t>
            </w:r>
            <w:r>
              <w:rPr>
                <w:rFonts w:hint="default"/>
                <w:color w:val="auto"/>
                <w:sz w:val="24"/>
                <w:lang w:val="en-US" w:eastAsia="zh-CN"/>
              </w:rPr>
              <w:t xml:space="preserve">[2024]16 </w:t>
            </w:r>
            <w:r>
              <w:rPr>
                <w:rFonts w:hint="eastAsia"/>
                <w:color w:val="auto"/>
                <w:sz w:val="24"/>
                <w:lang w:val="en-US" w:eastAsia="zh-CN"/>
              </w:rPr>
              <w:t>号）执行。</w:t>
            </w:r>
          </w:p>
          <w:p w14:paraId="577471A4">
            <w:pPr>
              <w:wordWrap w:val="0"/>
              <w:spacing w:line="360" w:lineRule="auto"/>
              <w:ind w:firstLine="480" w:firstLineChars="200"/>
              <w:rPr>
                <w:color w:val="auto"/>
                <w:sz w:val="24"/>
              </w:rPr>
            </w:pPr>
            <w:r>
              <w:rPr>
                <w:color w:val="auto"/>
                <w:sz w:val="24"/>
              </w:rPr>
              <w:t>①产生工业固体废物的单位应当建立、健全污染环境防治责任制度，采取防治工业固体废物污染环境的措施；</w:t>
            </w:r>
          </w:p>
          <w:p w14:paraId="1D8AE220">
            <w:pPr>
              <w:wordWrap w:val="0"/>
              <w:spacing w:line="360" w:lineRule="auto"/>
              <w:ind w:firstLine="480" w:firstLineChars="200"/>
              <w:rPr>
                <w:color w:val="auto"/>
                <w:sz w:val="24"/>
              </w:rPr>
            </w:pPr>
            <w:r>
              <w:rPr>
                <w:color w:val="auto"/>
                <w:sz w:val="24"/>
              </w:rPr>
              <w:t>②危险废物的容器和包装物必须设置危险废物识别标志；</w:t>
            </w:r>
          </w:p>
          <w:p w14:paraId="62207066">
            <w:pPr>
              <w:wordWrap w:val="0"/>
              <w:spacing w:line="360" w:lineRule="auto"/>
              <w:ind w:firstLine="480" w:firstLineChars="200"/>
              <w:rPr>
                <w:color w:val="auto"/>
                <w:sz w:val="24"/>
              </w:rPr>
            </w:pPr>
            <w:r>
              <w:rPr>
                <w:color w:val="auto"/>
                <w:sz w:val="24"/>
              </w:rPr>
              <w:t>③收集、贮存、运输、利用、处置危险废物的设施、场所，必须设置危险废物识别标志；</w:t>
            </w:r>
          </w:p>
          <w:p w14:paraId="5041E087">
            <w:pPr>
              <w:wordWrap w:val="0"/>
              <w:spacing w:line="360" w:lineRule="auto"/>
              <w:ind w:firstLine="480" w:firstLineChars="200"/>
              <w:rPr>
                <w:color w:val="auto"/>
                <w:sz w:val="24"/>
              </w:rPr>
            </w:pPr>
            <w:r>
              <w:rPr>
                <w:color w:val="auto"/>
                <w:sz w:val="24"/>
              </w:rPr>
              <w:t>④如实地向所在地县级以上地方人民政府环境保护行政主管部门申报危险废物的种类、产生量、流向、贮存、处置等有关资料；</w:t>
            </w:r>
          </w:p>
          <w:p w14:paraId="3B862F7E">
            <w:pPr>
              <w:wordWrap w:val="0"/>
              <w:spacing w:line="360" w:lineRule="auto"/>
              <w:ind w:firstLine="480" w:firstLineChars="200"/>
              <w:rPr>
                <w:color w:val="auto"/>
                <w:sz w:val="24"/>
              </w:rPr>
            </w:pPr>
            <w:r>
              <w:rPr>
                <w:color w:val="auto"/>
                <w:sz w:val="24"/>
              </w:rPr>
              <w:t>⑤按照危险废物特性分类进行收集、贮存；</w:t>
            </w:r>
          </w:p>
          <w:p w14:paraId="607C18DD">
            <w:pPr>
              <w:wordWrap w:val="0"/>
              <w:spacing w:line="360" w:lineRule="auto"/>
              <w:ind w:firstLine="480" w:firstLineChars="200"/>
              <w:rPr>
                <w:color w:val="auto"/>
                <w:sz w:val="24"/>
              </w:rPr>
            </w:pPr>
            <w:r>
              <w:rPr>
                <w:color w:val="auto"/>
                <w:sz w:val="24"/>
              </w:rPr>
              <w:t>⑥在转移危险废物前，向环保部门报批危险废物转移计划，并得到批准；</w:t>
            </w:r>
          </w:p>
          <w:p w14:paraId="7840AA00">
            <w:pPr>
              <w:wordWrap w:val="0"/>
              <w:spacing w:line="360" w:lineRule="auto"/>
              <w:ind w:firstLine="480" w:firstLineChars="200"/>
              <w:rPr>
                <w:color w:val="auto"/>
                <w:sz w:val="24"/>
              </w:rPr>
            </w:pPr>
            <w:r>
              <w:rPr>
                <w:color w:val="auto"/>
                <w:sz w:val="24"/>
              </w:rPr>
              <w:t>⑦转移危险废物的，按照《危险废物转移管理办法》（部令第23号）有关规定，如实填写转移联单中产生单位栏目，并加盖公章，转移联单保存齐全；</w:t>
            </w:r>
          </w:p>
          <w:p w14:paraId="1B4CBF70">
            <w:pPr>
              <w:wordWrap w:val="0"/>
              <w:spacing w:line="360" w:lineRule="auto"/>
              <w:ind w:firstLine="480" w:firstLineChars="200"/>
              <w:rPr>
                <w:color w:val="auto"/>
                <w:sz w:val="24"/>
              </w:rPr>
            </w:pPr>
            <w:r>
              <w:rPr>
                <w:color w:val="auto"/>
                <w:sz w:val="24"/>
              </w:rPr>
              <w:t>⑧转移的危险废物，全部提供或委托给持危险废物经营许可证的单位从事收集、贮存、利用、处置的活动；</w:t>
            </w:r>
          </w:p>
          <w:p w14:paraId="3A6B8BDB">
            <w:pPr>
              <w:wordWrap w:val="0"/>
              <w:spacing w:line="360" w:lineRule="auto"/>
              <w:ind w:firstLine="480" w:firstLineChars="200"/>
              <w:rPr>
                <w:color w:val="auto"/>
                <w:sz w:val="24"/>
              </w:rPr>
            </w:pPr>
            <w:r>
              <w:rPr>
                <w:color w:val="auto"/>
                <w:sz w:val="24"/>
              </w:rPr>
              <w:t>⑨贮存期限不超过一年，延长贮存期限的，报经环保部门批准。</w:t>
            </w:r>
          </w:p>
          <w:p w14:paraId="525047AF">
            <w:pPr>
              <w:tabs>
                <w:tab w:val="left" w:pos="360"/>
              </w:tabs>
              <w:wordWrap w:val="0"/>
              <w:autoSpaceDE w:val="0"/>
              <w:autoSpaceDN w:val="0"/>
              <w:adjustRightInd w:val="0"/>
              <w:spacing w:line="360" w:lineRule="auto"/>
              <w:ind w:firstLine="482" w:firstLineChars="200"/>
              <w:rPr>
                <w:b/>
                <w:bCs/>
                <w:color w:val="auto"/>
                <w:sz w:val="24"/>
              </w:rPr>
            </w:pPr>
            <w:r>
              <w:rPr>
                <w:b/>
                <w:bCs/>
                <w:color w:val="auto"/>
                <w:sz w:val="24"/>
              </w:rPr>
              <w:t>（3）危险废物贮存场所贮存能力分析</w:t>
            </w:r>
          </w:p>
          <w:p w14:paraId="7BBF4C65">
            <w:pPr>
              <w:pStyle w:val="18"/>
              <w:kinsoku w:val="0"/>
              <w:wordWrap w:val="0"/>
              <w:overflowPunct w:val="0"/>
              <w:spacing w:before="0" w:after="0" w:line="360" w:lineRule="auto"/>
              <w:ind w:right="0" w:firstLine="480" w:firstLineChars="200"/>
              <w:rPr>
                <w:color w:val="auto"/>
                <w:sz w:val="24"/>
              </w:rPr>
            </w:pPr>
            <w:r>
              <w:rPr>
                <w:color w:val="auto"/>
                <w:sz w:val="24"/>
              </w:rPr>
              <w:t>根据现场踏勘、查阅企业相关环境保护管理文件、资料，根据《危险废物贮存污染控制标准》（GB18597</w:t>
            </w:r>
            <w:r>
              <w:rPr>
                <w:rFonts w:hint="eastAsia"/>
                <w:color w:val="auto"/>
                <w:sz w:val="24"/>
              </w:rPr>
              <w:t>-</w:t>
            </w:r>
            <w:r>
              <w:rPr>
                <w:color w:val="auto"/>
                <w:sz w:val="24"/>
              </w:rPr>
              <w:t>2023）、《危险废物收集贮存运输技术规范》（HJ2025-2012）、《危险废物规范化管理指标体系》等文件要求，对企业危废暂存库管理情况及贮存能力进行了核查。</w:t>
            </w:r>
          </w:p>
          <w:p w14:paraId="7B34891E">
            <w:pPr>
              <w:pStyle w:val="18"/>
              <w:kinsoku w:val="0"/>
              <w:wordWrap w:val="0"/>
              <w:overflowPunct w:val="0"/>
              <w:spacing w:before="0" w:after="0" w:line="360" w:lineRule="auto"/>
              <w:ind w:right="0" w:firstLine="480" w:firstLineChars="200"/>
              <w:rPr>
                <w:color w:val="auto"/>
                <w:sz w:val="24"/>
              </w:rPr>
            </w:pPr>
            <w:r>
              <w:rPr>
                <w:color w:val="auto"/>
                <w:sz w:val="24"/>
                <w:szCs w:val="22"/>
              </w:rPr>
              <w:t>根据《工业危险废物产生单位规范化管理实施指南》（苏环办〔2014〕232号）文件要求，贮存场所面积至少应满足正常</w:t>
            </w:r>
            <w:r>
              <w:rPr>
                <w:color w:val="auto"/>
                <w:sz w:val="24"/>
              </w:rPr>
              <w:t>生产15日产生的各类危废贮存要求。</w:t>
            </w:r>
          </w:p>
          <w:p w14:paraId="0C4C60FF">
            <w:pPr>
              <w:pStyle w:val="18"/>
              <w:kinsoku w:val="0"/>
              <w:wordWrap w:val="0"/>
              <w:overflowPunct w:val="0"/>
              <w:spacing w:before="0" w:after="0" w:line="360" w:lineRule="auto"/>
              <w:ind w:right="0" w:firstLine="480" w:firstLineChars="200"/>
              <w:rPr>
                <w:color w:val="auto"/>
                <w:sz w:val="24"/>
              </w:rPr>
            </w:pPr>
            <w:r>
              <w:rPr>
                <w:rFonts w:hint="eastAsia"/>
                <w:color w:val="auto"/>
                <w:sz w:val="24"/>
                <w:szCs w:val="22"/>
                <w:lang w:val="en-US" w:eastAsia="zh-CN"/>
              </w:rPr>
              <w:t>建设项目拟在厂区西南角新建</w:t>
            </w:r>
            <w:r>
              <w:rPr>
                <w:rFonts w:hint="default"/>
                <w:color w:val="auto"/>
                <w:sz w:val="24"/>
                <w:szCs w:val="22"/>
                <w:lang w:val="en-US" w:eastAsia="zh-CN"/>
              </w:rPr>
              <w:t>20m</w:t>
            </w:r>
            <w:r>
              <w:rPr>
                <w:rFonts w:hint="default"/>
                <w:color w:val="auto"/>
                <w:sz w:val="24"/>
                <w:szCs w:val="22"/>
                <w:vertAlign w:val="superscript"/>
                <w:lang w:val="en-US" w:eastAsia="zh-CN"/>
              </w:rPr>
              <w:t>2</w:t>
            </w:r>
            <w:r>
              <w:rPr>
                <w:rFonts w:hint="eastAsia"/>
                <w:color w:val="auto"/>
                <w:sz w:val="24"/>
                <w:szCs w:val="22"/>
                <w:lang w:val="en-US" w:eastAsia="zh-CN"/>
              </w:rPr>
              <w:t>危险废物暂存场所，所有的危险废物根据产废周期进行转运，危险废物三个月转运一次，产生后即安排转运，最大贮存量约为9.928</w:t>
            </w:r>
            <w:r>
              <w:rPr>
                <w:rFonts w:hint="default"/>
                <w:color w:val="auto"/>
                <w:sz w:val="24"/>
                <w:szCs w:val="22"/>
                <w:lang w:val="en-US" w:eastAsia="zh-CN"/>
              </w:rPr>
              <w:t>t</w:t>
            </w:r>
            <w:r>
              <w:rPr>
                <w:rFonts w:hint="eastAsia"/>
                <w:color w:val="auto"/>
                <w:sz w:val="24"/>
                <w:szCs w:val="22"/>
                <w:lang w:val="en-US" w:eastAsia="zh-CN"/>
              </w:rPr>
              <w:t>，根据各类危险废物包装方式，预估占地面积约14.5</w:t>
            </w:r>
            <w:r>
              <w:rPr>
                <w:rFonts w:hint="default"/>
                <w:color w:val="auto"/>
                <w:sz w:val="24"/>
                <w:szCs w:val="22"/>
                <w:lang w:val="en-US" w:eastAsia="zh-CN"/>
              </w:rPr>
              <w:t>m</w:t>
            </w:r>
            <w:r>
              <w:rPr>
                <w:rFonts w:hint="default"/>
                <w:color w:val="auto"/>
                <w:sz w:val="24"/>
                <w:szCs w:val="22"/>
                <w:vertAlign w:val="superscript"/>
                <w:lang w:val="en-US" w:eastAsia="zh-CN"/>
              </w:rPr>
              <w:t>2</w:t>
            </w:r>
            <w:r>
              <w:rPr>
                <w:rFonts w:hint="eastAsia"/>
                <w:color w:val="auto"/>
                <w:sz w:val="24"/>
                <w:szCs w:val="22"/>
                <w:lang w:val="en-US" w:eastAsia="zh-CN"/>
              </w:rPr>
              <w:t>，故企业拟建20</w:t>
            </w:r>
            <w:r>
              <w:rPr>
                <w:rFonts w:hint="default"/>
                <w:color w:val="auto"/>
                <w:sz w:val="24"/>
                <w:szCs w:val="22"/>
                <w:lang w:val="en-US" w:eastAsia="zh-CN"/>
              </w:rPr>
              <w:t>m</w:t>
            </w:r>
            <w:r>
              <w:rPr>
                <w:rFonts w:hint="default"/>
                <w:color w:val="auto"/>
                <w:sz w:val="24"/>
                <w:szCs w:val="22"/>
                <w:vertAlign w:val="superscript"/>
                <w:lang w:val="en-US" w:eastAsia="zh-CN"/>
              </w:rPr>
              <w:t>2</w:t>
            </w:r>
            <w:r>
              <w:rPr>
                <w:rFonts w:hint="eastAsia"/>
                <w:color w:val="auto"/>
                <w:sz w:val="24"/>
                <w:szCs w:val="22"/>
                <w:lang w:val="en-US" w:eastAsia="zh-CN"/>
              </w:rPr>
              <w:t>危险废物暂存场所完全可以满足危险废物贮存的要求</w:t>
            </w:r>
            <w:r>
              <w:rPr>
                <w:color w:val="auto"/>
                <w:sz w:val="24"/>
              </w:rPr>
              <w:t>。</w:t>
            </w:r>
          </w:p>
          <w:p w14:paraId="2F079062">
            <w:pPr>
              <w:wordWrap w:val="0"/>
              <w:spacing w:line="360" w:lineRule="auto"/>
              <w:ind w:firstLine="482" w:firstLineChars="200"/>
              <w:rPr>
                <w:b/>
                <w:bCs/>
                <w:color w:val="auto"/>
                <w:sz w:val="24"/>
              </w:rPr>
            </w:pPr>
            <w:r>
              <w:rPr>
                <w:b/>
                <w:bCs/>
                <w:color w:val="auto"/>
                <w:sz w:val="24"/>
              </w:rPr>
              <w:t>（4）贮存过程中对环境要素的影响分析</w:t>
            </w:r>
          </w:p>
          <w:p w14:paraId="37F6C572">
            <w:pPr>
              <w:pStyle w:val="18"/>
              <w:kinsoku w:val="0"/>
              <w:wordWrap w:val="0"/>
              <w:overflowPunct w:val="0"/>
              <w:spacing w:before="0" w:after="0" w:line="360" w:lineRule="auto"/>
              <w:ind w:right="0" w:firstLine="480" w:firstLineChars="200"/>
              <w:rPr>
                <w:color w:val="auto"/>
                <w:sz w:val="24"/>
                <w:szCs w:val="22"/>
              </w:rPr>
            </w:pPr>
            <w:r>
              <w:rPr>
                <w:color w:val="auto"/>
                <w:sz w:val="24"/>
                <w:szCs w:val="22"/>
              </w:rPr>
              <w:t>大气环境影响分析：本项目在固体废物贮存场的建设均采用封闭结构，避免在堆存过程中产生扬尘，造成环境空气的污染；产生的固废需采用密闭塑桶或吨包袋（含防水尼龙内胆），对外运的危废要求使用有资质的专用车辆进行运输，同时运输过程中注意遮盖，避免物料遗撒，防止运输途中产生扬尘，污染道路沿线的大气环境。</w:t>
            </w:r>
          </w:p>
          <w:p w14:paraId="6ED394EE">
            <w:pPr>
              <w:pStyle w:val="18"/>
              <w:kinsoku w:val="0"/>
              <w:wordWrap w:val="0"/>
              <w:overflowPunct w:val="0"/>
              <w:spacing w:before="0" w:after="0" w:line="360" w:lineRule="auto"/>
              <w:ind w:right="0" w:firstLine="480" w:firstLineChars="200"/>
              <w:rPr>
                <w:color w:val="auto"/>
                <w:sz w:val="24"/>
                <w:szCs w:val="22"/>
              </w:rPr>
            </w:pPr>
            <w:r>
              <w:rPr>
                <w:color w:val="auto"/>
                <w:sz w:val="24"/>
                <w:szCs w:val="22"/>
              </w:rPr>
              <w:t>水环境影响分析：为避免对水环境产生影响，本次评价要求建设单位针对固体废物临时堆场设置防</w:t>
            </w:r>
            <w:r>
              <w:rPr>
                <w:rFonts w:hint="eastAsia"/>
                <w:color w:val="auto"/>
                <w:sz w:val="24"/>
                <w:szCs w:val="22"/>
                <w:lang w:eastAsia="zh-CN"/>
              </w:rPr>
              <w:t>雨棚</w:t>
            </w:r>
            <w:r>
              <w:rPr>
                <w:color w:val="auto"/>
                <w:sz w:val="24"/>
                <w:szCs w:val="22"/>
              </w:rPr>
              <w:t>、围墙、导流沟、多孔排水管、防渗地面等设施，并严格按照危险废物贮存污染控制标准（GB18597</w:t>
            </w:r>
            <w:r>
              <w:rPr>
                <w:rFonts w:hint="eastAsia"/>
                <w:color w:val="auto"/>
                <w:sz w:val="24"/>
                <w:szCs w:val="22"/>
              </w:rPr>
              <w:t>-</w:t>
            </w:r>
            <w:r>
              <w:rPr>
                <w:color w:val="auto"/>
                <w:sz w:val="24"/>
                <w:szCs w:val="22"/>
              </w:rPr>
              <w:t>2023）要求进行建造，同时严格按照相关要求进行管理，保证了雨水不进入、废水不外排、废渣不流失，从而最大限度地减轻工业固体废物对水环境的影响。</w:t>
            </w:r>
          </w:p>
          <w:p w14:paraId="52EF498F">
            <w:pPr>
              <w:wordWrap w:val="0"/>
              <w:spacing w:line="360" w:lineRule="auto"/>
              <w:ind w:firstLine="482"/>
              <w:rPr>
                <w:color w:val="auto"/>
                <w:sz w:val="24"/>
                <w:szCs w:val="22"/>
                <w:lang w:val="zh-CN"/>
              </w:rPr>
            </w:pPr>
            <w:r>
              <w:rPr>
                <w:color w:val="auto"/>
                <w:sz w:val="24"/>
                <w:szCs w:val="22"/>
              </w:rPr>
              <w:t>土壤环境影响分析：根据固体废物防治的有关规定要求，各类固体废物均修建专门库房或堆场存放。库房或堆场按照《危险废物贮存污染控制标准》（GB18597</w:t>
            </w:r>
            <w:r>
              <w:rPr>
                <w:rFonts w:hint="eastAsia"/>
                <w:color w:val="auto"/>
                <w:sz w:val="24"/>
                <w:szCs w:val="22"/>
              </w:rPr>
              <w:t>-</w:t>
            </w:r>
            <w:r>
              <w:rPr>
                <w:color w:val="auto"/>
                <w:sz w:val="24"/>
                <w:szCs w:val="22"/>
              </w:rPr>
              <w:t>2023）进行防渗处理，设计采用地面硬化及环氧树脂等防渗结构，并设置导流沟和液体收集装置等。经采取以上防治措施后，</w:t>
            </w:r>
            <w:r>
              <w:rPr>
                <w:color w:val="auto"/>
                <w:sz w:val="24"/>
                <w:szCs w:val="22"/>
                <w:lang w:val="zh-CN"/>
              </w:rPr>
              <w:t>可以有效防止固体废物污染土壤环境。</w:t>
            </w:r>
          </w:p>
          <w:p w14:paraId="1F4EE58A">
            <w:pPr>
              <w:wordWrap w:val="0"/>
              <w:spacing w:line="360" w:lineRule="auto"/>
              <w:ind w:firstLine="482"/>
              <w:rPr>
                <w:b/>
                <w:bCs/>
                <w:color w:val="auto"/>
                <w:sz w:val="24"/>
                <w:szCs w:val="22"/>
                <w:lang w:val="zh-CN"/>
              </w:rPr>
            </w:pPr>
            <w:r>
              <w:rPr>
                <w:b/>
                <w:bCs/>
                <w:color w:val="auto"/>
                <w:sz w:val="24"/>
                <w:szCs w:val="22"/>
                <w:lang w:val="zh-CN"/>
              </w:rPr>
              <w:t>（5）运输过程环境影响分析</w:t>
            </w:r>
          </w:p>
          <w:p w14:paraId="3E0D3BA0">
            <w:pPr>
              <w:wordWrap w:val="0"/>
              <w:spacing w:line="360" w:lineRule="auto"/>
              <w:ind w:firstLine="482"/>
              <w:rPr>
                <w:color w:val="auto"/>
                <w:sz w:val="24"/>
              </w:rPr>
            </w:pPr>
            <w:r>
              <w:rPr>
                <w:color w:val="auto"/>
                <w:sz w:val="24"/>
                <w:szCs w:val="22"/>
                <w:lang w:val="zh-CN"/>
              </w:rPr>
              <w:t>危险废物的收集</w:t>
            </w:r>
            <w:r>
              <w:rPr>
                <w:color w:val="auto"/>
                <w:sz w:val="24"/>
              </w:rPr>
              <w:t>、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运送危险废物的专用车辆不得运送其他物品。在危险废物的运输中执行《危险废物转移管理办法》（部令 第23号）中有关的规定和要求。</w:t>
            </w:r>
          </w:p>
          <w:p w14:paraId="0AE80B07">
            <w:pPr>
              <w:wordWrap w:val="0"/>
              <w:spacing w:line="360" w:lineRule="auto"/>
              <w:ind w:firstLine="480" w:firstLineChars="200"/>
              <w:rPr>
                <w:color w:val="auto"/>
                <w:sz w:val="24"/>
              </w:rPr>
            </w:pPr>
            <w:r>
              <w:rPr>
                <w:color w:val="auto"/>
                <w:sz w:val="24"/>
              </w:rPr>
              <w:t>采取以上措施后，运输过程中对环境影响较小。</w:t>
            </w:r>
          </w:p>
          <w:p w14:paraId="077FE12E">
            <w:pPr>
              <w:wordWrap w:val="0"/>
              <w:spacing w:line="360" w:lineRule="auto"/>
              <w:ind w:firstLine="480" w:firstLineChars="200"/>
              <w:rPr>
                <w:color w:val="auto"/>
                <w:sz w:val="24"/>
              </w:rPr>
            </w:pPr>
            <w:r>
              <w:rPr>
                <w:color w:val="auto"/>
                <w:sz w:val="24"/>
              </w:rPr>
              <w:t>建设单位须针对此对员工进行培训，加强安全生产及防止污染的意识，培训通过后方可上岗，对于固体废物的收集、运输要实施专人专职管理制度并建立好</w:t>
            </w:r>
            <w:r>
              <w:rPr>
                <w:rFonts w:hint="eastAsia"/>
                <w:color w:val="auto"/>
                <w:sz w:val="24"/>
                <w:lang w:eastAsia="zh-CN"/>
              </w:rPr>
              <w:t>台账</w:t>
            </w:r>
            <w:r>
              <w:rPr>
                <w:color w:val="auto"/>
                <w:sz w:val="24"/>
              </w:rPr>
              <w:t>。</w:t>
            </w:r>
          </w:p>
          <w:p w14:paraId="1C25E49F">
            <w:pPr>
              <w:wordWrap w:val="0"/>
              <w:spacing w:line="360" w:lineRule="auto"/>
              <w:ind w:firstLine="482" w:firstLineChars="200"/>
              <w:rPr>
                <w:b/>
                <w:bCs/>
                <w:color w:val="auto"/>
                <w:sz w:val="24"/>
              </w:rPr>
            </w:pPr>
            <w:r>
              <w:rPr>
                <w:b/>
                <w:bCs/>
                <w:color w:val="auto"/>
                <w:sz w:val="24"/>
              </w:rPr>
              <w:t>（6）委托利用或处置可行性分析</w:t>
            </w:r>
          </w:p>
          <w:p w14:paraId="3FFA0318">
            <w:pPr>
              <w:wordWrap w:val="0"/>
              <w:spacing w:line="360" w:lineRule="auto"/>
              <w:ind w:firstLine="480" w:firstLineChars="200"/>
              <w:rPr>
                <w:color w:val="auto"/>
                <w:sz w:val="24"/>
              </w:rPr>
            </w:pPr>
            <w:r>
              <w:rPr>
                <w:color w:val="auto"/>
                <w:sz w:val="24"/>
              </w:rPr>
              <w:t>本项目产生的危废，待正式投产后，与处置资质的单位签订危废处置协议，并委托其处置。</w:t>
            </w:r>
          </w:p>
          <w:p w14:paraId="2956F219">
            <w:pPr>
              <w:spacing w:line="360" w:lineRule="auto"/>
              <w:ind w:firstLine="480" w:firstLineChars="200"/>
              <w:contextualSpacing/>
              <w:rPr>
                <w:color w:val="auto"/>
                <w:sz w:val="24"/>
              </w:rPr>
            </w:pPr>
            <w:r>
              <w:rPr>
                <w:color w:val="auto"/>
                <w:sz w:val="24"/>
              </w:rPr>
              <w:t>综上所述，本项目产生的固体废物均得到合理处置，不会产生二次污染，对周围环境影响较小</w:t>
            </w:r>
            <w:r>
              <w:rPr>
                <w:rFonts w:hint="eastAsia"/>
                <w:color w:val="auto"/>
                <w:sz w:val="24"/>
              </w:rPr>
              <w:t>。</w:t>
            </w:r>
          </w:p>
          <w:p w14:paraId="48B56364">
            <w:pPr>
              <w:spacing w:line="360" w:lineRule="auto"/>
              <w:ind w:firstLine="482" w:firstLineChars="200"/>
              <w:contextualSpacing/>
              <w:rPr>
                <w:b/>
                <w:bCs/>
                <w:color w:val="auto"/>
                <w:sz w:val="24"/>
              </w:rPr>
            </w:pPr>
            <w:r>
              <w:rPr>
                <w:b/>
                <w:bCs/>
                <w:color w:val="auto"/>
                <w:sz w:val="24"/>
              </w:rPr>
              <w:t>5、地下水、土壤环境影响分析</w:t>
            </w:r>
          </w:p>
          <w:p w14:paraId="30D89E76">
            <w:pPr>
              <w:wordWrap w:val="0"/>
              <w:spacing w:line="360" w:lineRule="auto"/>
              <w:ind w:firstLine="480" w:firstLineChars="200"/>
              <w:rPr>
                <w:rFonts w:hint="default" w:ascii="Times New Roman" w:hAnsi="Times New Roman" w:eastAsia="宋体" w:cs="Times New Roman"/>
                <w:b/>
                <w:snapToGrid w:val="0"/>
                <w:color w:val="auto"/>
                <w:kern w:val="0"/>
                <w:sz w:val="24"/>
                <w:highlight w:val="none"/>
                <w:lang w:val="zh-CN"/>
              </w:rPr>
            </w:pPr>
            <w:r>
              <w:rPr>
                <w:rFonts w:hint="eastAsia"/>
                <w:color w:val="auto"/>
                <w:kern w:val="0"/>
                <w:sz w:val="24"/>
              </w:rPr>
              <w:t>建设项目位于高沟镇工业园区内，排放的废气污染物主要为NMHC、甲醛、颗粒物，不涉及重金属以及持久性挥发性有机物，无生产废水产生及排放，项目生产车间、危废仓库设置源头防控、分区防渗等措施，不涉及大气沉降和垂直入渗，无污染土壤及地下水环境的途径</w:t>
            </w:r>
            <w:r>
              <w:rPr>
                <w:rFonts w:hint="eastAsia"/>
                <w:color w:val="auto"/>
                <w:kern w:val="0"/>
                <w:sz w:val="24"/>
                <w:lang w:val="zh-CN"/>
              </w:rPr>
              <w:t>，</w:t>
            </w:r>
            <w:r>
              <w:rPr>
                <w:rFonts w:hint="eastAsia"/>
                <w:color w:val="auto"/>
                <w:kern w:val="0"/>
                <w:sz w:val="24"/>
              </w:rPr>
              <w:t>项目对周边土壤敏感保护目标农田的影响较小。</w:t>
            </w:r>
            <w:r>
              <w:rPr>
                <w:rFonts w:hint="default" w:ascii="Times New Roman" w:hAnsi="Times New Roman" w:eastAsia="宋体" w:cs="Times New Roman"/>
                <w:color w:val="auto"/>
                <w:sz w:val="24"/>
                <w:highlight w:val="none"/>
              </w:rPr>
              <w:t>本项目地下水、土壤环境影响源及影响途径见下表</w:t>
            </w:r>
            <w:r>
              <w:rPr>
                <w:rFonts w:hint="eastAsia" w:ascii="Times New Roman" w:hAnsi="Times New Roman" w:eastAsia="宋体" w:cs="Times New Roman"/>
                <w:color w:val="auto"/>
                <w:sz w:val="24"/>
                <w:highlight w:val="none"/>
                <w:lang w:val="en-US" w:eastAsia="zh-CN"/>
              </w:rPr>
              <w:t>4.5-1</w:t>
            </w:r>
            <w:r>
              <w:rPr>
                <w:rFonts w:hint="default" w:ascii="Times New Roman" w:hAnsi="Times New Roman" w:eastAsia="宋体" w:cs="Times New Roman"/>
                <w:color w:val="auto"/>
                <w:sz w:val="24"/>
                <w:highlight w:val="none"/>
              </w:rPr>
              <w:t>。</w:t>
            </w:r>
          </w:p>
          <w:p w14:paraId="1A21684E">
            <w:pPr>
              <w:wordWrap w:val="0"/>
              <w:adjustRightInd w:val="0"/>
              <w:snapToGrid w:val="0"/>
              <w:spacing w:line="360" w:lineRule="auto"/>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表</w:t>
            </w:r>
            <w:r>
              <w:rPr>
                <w:rFonts w:hint="eastAsia" w:ascii="Times New Roman" w:hAnsi="Times New Roman" w:eastAsia="宋体" w:cs="Times New Roman"/>
                <w:b/>
                <w:snapToGrid w:val="0"/>
                <w:color w:val="auto"/>
                <w:kern w:val="0"/>
                <w:szCs w:val="21"/>
                <w:highlight w:val="none"/>
                <w:lang w:val="en-US" w:eastAsia="zh-CN"/>
              </w:rPr>
              <w:t>4.5-1</w:t>
            </w:r>
            <w:r>
              <w:rPr>
                <w:rFonts w:hint="default" w:ascii="Times New Roman" w:hAnsi="Times New Roman" w:eastAsia="宋体" w:cs="Times New Roman"/>
                <w:b/>
                <w:snapToGrid w:val="0"/>
                <w:color w:val="auto"/>
                <w:kern w:val="0"/>
                <w:szCs w:val="21"/>
                <w:highlight w:val="none"/>
              </w:rPr>
              <w:t xml:space="preserve"> </w:t>
            </w:r>
            <w:r>
              <w:rPr>
                <w:rFonts w:hint="default" w:ascii="Times New Roman" w:hAnsi="Times New Roman" w:eastAsia="宋体" w:cs="Times New Roman"/>
                <w:b/>
                <w:snapToGrid w:val="0"/>
                <w:color w:val="auto"/>
                <w:kern w:val="0"/>
                <w:szCs w:val="21"/>
                <w:highlight w:val="none"/>
                <w:lang w:val="zh-CN"/>
              </w:rPr>
              <w:t>建设项目土壤环境影响源及影响因子识别</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160"/>
              <w:gridCol w:w="1440"/>
              <w:gridCol w:w="2154"/>
              <w:gridCol w:w="1061"/>
              <w:gridCol w:w="1296"/>
            </w:tblGrid>
            <w:tr w14:paraId="200E3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14:paraId="44CAFA2F">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污染源</w:t>
                  </w:r>
                </w:p>
              </w:tc>
              <w:tc>
                <w:tcPr>
                  <w:tcW w:w="691" w:type="pct"/>
                  <w:noWrap w:val="0"/>
                  <w:vAlign w:val="center"/>
                </w:tcPr>
                <w:p w14:paraId="00A1E9CC">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污染工序</w:t>
                  </w:r>
                </w:p>
              </w:tc>
              <w:tc>
                <w:tcPr>
                  <w:tcW w:w="858" w:type="pct"/>
                  <w:noWrap w:val="0"/>
                  <w:vAlign w:val="center"/>
                </w:tcPr>
                <w:p w14:paraId="1F18797E">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污染物类型</w:t>
                  </w:r>
                </w:p>
              </w:tc>
              <w:tc>
                <w:tcPr>
                  <w:tcW w:w="1283" w:type="pct"/>
                  <w:noWrap w:val="0"/>
                  <w:vAlign w:val="center"/>
                </w:tcPr>
                <w:p w14:paraId="09C059F8">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污染物名称</w:t>
                  </w:r>
                </w:p>
              </w:tc>
              <w:tc>
                <w:tcPr>
                  <w:tcW w:w="632" w:type="pct"/>
                  <w:noWrap w:val="0"/>
                  <w:vAlign w:val="center"/>
                </w:tcPr>
                <w:p w14:paraId="71854E05">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污染途径</w:t>
                  </w:r>
                </w:p>
              </w:tc>
              <w:tc>
                <w:tcPr>
                  <w:tcW w:w="772" w:type="pct"/>
                  <w:noWrap w:val="0"/>
                  <w:vAlign w:val="center"/>
                </w:tcPr>
                <w:p w14:paraId="67956389">
                  <w:pPr>
                    <w:wordWrap w:val="0"/>
                    <w:adjustRightInd w:val="0"/>
                    <w:snapToGrid w:val="0"/>
                    <w:jc w:val="center"/>
                    <w:rPr>
                      <w:rFonts w:hint="default" w:ascii="Times New Roman" w:hAnsi="Times New Roman" w:eastAsia="宋体" w:cs="Times New Roman"/>
                      <w:b/>
                      <w:snapToGrid w:val="0"/>
                      <w:color w:val="auto"/>
                      <w:kern w:val="0"/>
                      <w:szCs w:val="21"/>
                      <w:highlight w:val="none"/>
                      <w:lang w:val="zh-CN"/>
                    </w:rPr>
                  </w:pPr>
                  <w:r>
                    <w:rPr>
                      <w:rFonts w:hint="default" w:ascii="Times New Roman" w:hAnsi="Times New Roman" w:eastAsia="宋体" w:cs="Times New Roman"/>
                      <w:b/>
                      <w:snapToGrid w:val="0"/>
                      <w:color w:val="auto"/>
                      <w:kern w:val="0"/>
                      <w:szCs w:val="21"/>
                      <w:highlight w:val="none"/>
                      <w:lang w:val="zh-CN"/>
                    </w:rPr>
                    <w:t>备注</w:t>
                  </w:r>
                </w:p>
              </w:tc>
            </w:tr>
            <w:tr w14:paraId="64753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14:paraId="23110A9E">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原辅料</w:t>
                  </w:r>
                  <w:r>
                    <w:rPr>
                      <w:rFonts w:hint="default" w:ascii="Times New Roman" w:hAnsi="Times New Roman" w:eastAsia="宋体" w:cs="Times New Roman"/>
                      <w:snapToGrid w:val="0"/>
                      <w:color w:val="auto"/>
                      <w:kern w:val="0"/>
                      <w:szCs w:val="21"/>
                      <w:highlight w:val="none"/>
                    </w:rPr>
                    <w:t>仓库</w:t>
                  </w:r>
                </w:p>
              </w:tc>
              <w:tc>
                <w:tcPr>
                  <w:tcW w:w="691" w:type="pct"/>
                  <w:noWrap w:val="0"/>
                  <w:vAlign w:val="center"/>
                </w:tcPr>
                <w:p w14:paraId="5CAB6344">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原辅料</w:t>
                  </w:r>
                </w:p>
              </w:tc>
              <w:tc>
                <w:tcPr>
                  <w:tcW w:w="858" w:type="pct"/>
                  <w:noWrap w:val="0"/>
                  <w:vAlign w:val="center"/>
                </w:tcPr>
                <w:p w14:paraId="38207598">
                  <w:pPr>
                    <w:wordWrap w:val="0"/>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物料泄漏</w:t>
                  </w:r>
                </w:p>
              </w:tc>
              <w:tc>
                <w:tcPr>
                  <w:tcW w:w="1283" w:type="pct"/>
                  <w:noWrap w:val="0"/>
                  <w:vAlign w:val="center"/>
                </w:tcPr>
                <w:p w14:paraId="390435EF">
                  <w:pPr>
                    <w:wordWrap w:val="0"/>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0"/>
                      <w:szCs w:val="21"/>
                      <w:highlight w:val="none"/>
                      <w:lang w:val="en-US" w:eastAsia="zh-CN"/>
                    </w:rPr>
                    <w:t>脲醛胶</w:t>
                  </w:r>
                </w:p>
              </w:tc>
              <w:tc>
                <w:tcPr>
                  <w:tcW w:w="632" w:type="pct"/>
                  <w:noWrap w:val="0"/>
                  <w:vAlign w:val="center"/>
                </w:tcPr>
                <w:p w14:paraId="4C31CA3F">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垂直入渗</w:t>
                  </w:r>
                </w:p>
              </w:tc>
              <w:tc>
                <w:tcPr>
                  <w:tcW w:w="772" w:type="pct"/>
                  <w:noWrap w:val="0"/>
                  <w:vAlign w:val="center"/>
                </w:tcPr>
                <w:p w14:paraId="2313DF8C">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地下水、</w:t>
                  </w:r>
                  <w:r>
                    <w:rPr>
                      <w:rFonts w:hint="default" w:ascii="Times New Roman" w:hAnsi="Times New Roman" w:eastAsia="宋体" w:cs="Times New Roman"/>
                      <w:bCs/>
                      <w:snapToGrid w:val="0"/>
                      <w:color w:val="auto"/>
                      <w:kern w:val="0"/>
                      <w:szCs w:val="21"/>
                      <w:highlight w:val="none"/>
                      <w:lang w:val="zh-CN"/>
                    </w:rPr>
                    <w:t>土壤</w:t>
                  </w:r>
                </w:p>
              </w:tc>
            </w:tr>
            <w:tr w14:paraId="42DF3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14:paraId="00058D05">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车间</w:t>
                  </w:r>
                </w:p>
              </w:tc>
              <w:tc>
                <w:tcPr>
                  <w:tcW w:w="691" w:type="pct"/>
                  <w:noWrap w:val="0"/>
                  <w:vAlign w:val="center"/>
                </w:tcPr>
                <w:p w14:paraId="6CD911F3">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调胶、涂胶、热压、旋切、砂光、打磨</w:t>
                  </w:r>
                </w:p>
              </w:tc>
              <w:tc>
                <w:tcPr>
                  <w:tcW w:w="858" w:type="pct"/>
                  <w:noWrap w:val="0"/>
                  <w:vAlign w:val="center"/>
                </w:tcPr>
                <w:p w14:paraId="541C6C9D">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eastAsia" w:ascii="Times New Roman" w:hAnsi="Times New Roman" w:eastAsia="宋体" w:cs="Times New Roman"/>
                      <w:snapToGrid w:val="0"/>
                      <w:color w:val="auto"/>
                      <w:kern w:val="0"/>
                      <w:szCs w:val="21"/>
                      <w:highlight w:val="none"/>
                      <w:lang w:val="en-US" w:eastAsia="zh-CN"/>
                    </w:rPr>
                    <w:t>调胶废气、涂胶废气、热压废气、旋切废气、砂光废气、打磨废气</w:t>
                  </w:r>
                </w:p>
              </w:tc>
              <w:tc>
                <w:tcPr>
                  <w:tcW w:w="1283" w:type="pct"/>
                  <w:noWrap w:val="0"/>
                  <w:vAlign w:val="center"/>
                </w:tcPr>
                <w:p w14:paraId="1242CCFD">
                  <w:pPr>
                    <w:wordWrap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非甲烷总烃</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颗粒物</w:t>
                  </w:r>
                </w:p>
              </w:tc>
              <w:tc>
                <w:tcPr>
                  <w:tcW w:w="632" w:type="pct"/>
                  <w:noWrap w:val="0"/>
                  <w:vAlign w:val="center"/>
                </w:tcPr>
                <w:p w14:paraId="77EBCEC9">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大气沉降</w:t>
                  </w:r>
                </w:p>
              </w:tc>
              <w:tc>
                <w:tcPr>
                  <w:tcW w:w="772" w:type="pct"/>
                  <w:noWrap w:val="0"/>
                  <w:vAlign w:val="center"/>
                </w:tcPr>
                <w:p w14:paraId="4B17AD57">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土壤</w:t>
                  </w:r>
                </w:p>
              </w:tc>
            </w:tr>
            <w:tr w14:paraId="616B0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14:paraId="51AF9D7A">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废气处理</w:t>
                  </w:r>
                </w:p>
                <w:p w14:paraId="5331A9C5">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设施</w:t>
                  </w:r>
                </w:p>
              </w:tc>
              <w:tc>
                <w:tcPr>
                  <w:tcW w:w="691" w:type="pct"/>
                  <w:noWrap w:val="0"/>
                  <w:vAlign w:val="center"/>
                </w:tcPr>
                <w:p w14:paraId="09C70C23">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废气处理</w:t>
                  </w:r>
                </w:p>
              </w:tc>
              <w:tc>
                <w:tcPr>
                  <w:tcW w:w="858" w:type="pct"/>
                  <w:noWrap w:val="0"/>
                  <w:vAlign w:val="center"/>
                </w:tcPr>
                <w:p w14:paraId="36D3475A">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eastAsia" w:ascii="Times New Roman" w:hAnsi="Times New Roman" w:eastAsia="宋体" w:cs="Times New Roman"/>
                      <w:snapToGrid w:val="0"/>
                      <w:color w:val="auto"/>
                      <w:kern w:val="0"/>
                      <w:szCs w:val="21"/>
                      <w:highlight w:val="none"/>
                      <w:lang w:val="en-US" w:eastAsia="zh-CN"/>
                    </w:rPr>
                    <w:t>调胶废气、涂胶废气、热压废气、旋切废气、砂光废气、打磨废</w:t>
                  </w:r>
                  <w:r>
                    <w:rPr>
                      <w:rFonts w:hint="default" w:ascii="Times New Roman" w:hAnsi="Times New Roman" w:eastAsia="宋体" w:cs="Times New Roman"/>
                      <w:snapToGrid w:val="0"/>
                      <w:color w:val="auto"/>
                      <w:kern w:val="0"/>
                      <w:szCs w:val="21"/>
                      <w:highlight w:val="none"/>
                      <w:lang w:val="zh-CN"/>
                    </w:rPr>
                    <w:t>气</w:t>
                  </w:r>
                </w:p>
              </w:tc>
              <w:tc>
                <w:tcPr>
                  <w:tcW w:w="1283" w:type="pct"/>
                  <w:noWrap w:val="0"/>
                  <w:vAlign w:val="center"/>
                </w:tcPr>
                <w:p w14:paraId="4930CBC2">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color w:val="auto"/>
                      <w:highlight w:val="none"/>
                    </w:rPr>
                    <w:t>非甲烷总烃</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颗粒物</w:t>
                  </w:r>
                </w:p>
              </w:tc>
              <w:tc>
                <w:tcPr>
                  <w:tcW w:w="632" w:type="pct"/>
                  <w:noWrap w:val="0"/>
                  <w:vAlign w:val="center"/>
                </w:tcPr>
                <w:p w14:paraId="2A47252B">
                  <w:pPr>
                    <w:wordWrap w:val="0"/>
                    <w:adjustRightInd w:val="0"/>
                    <w:snapToGrid w:val="0"/>
                    <w:jc w:val="center"/>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snapToGrid w:val="0"/>
                      <w:color w:val="auto"/>
                      <w:kern w:val="0"/>
                      <w:szCs w:val="21"/>
                      <w:highlight w:val="none"/>
                      <w:lang w:val="zh-CN"/>
                    </w:rPr>
                    <w:t>大气沉降</w:t>
                  </w:r>
                </w:p>
              </w:tc>
              <w:tc>
                <w:tcPr>
                  <w:tcW w:w="772" w:type="pct"/>
                  <w:noWrap w:val="0"/>
                  <w:vAlign w:val="center"/>
                </w:tcPr>
                <w:p w14:paraId="0B97A915">
                  <w:pPr>
                    <w:wordWrap w:val="0"/>
                    <w:adjustRightInd w:val="0"/>
                    <w:snapToGrid w:val="0"/>
                    <w:jc w:val="center"/>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snapToGrid w:val="0"/>
                      <w:color w:val="auto"/>
                      <w:kern w:val="0"/>
                      <w:szCs w:val="21"/>
                      <w:highlight w:val="none"/>
                      <w:lang w:val="zh-CN"/>
                    </w:rPr>
                    <w:t>土壤</w:t>
                  </w:r>
                </w:p>
              </w:tc>
            </w:tr>
            <w:tr w14:paraId="72FB2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noWrap w:val="0"/>
                  <w:vAlign w:val="center"/>
                </w:tcPr>
                <w:p w14:paraId="39DD4E10">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危废暂存库</w:t>
                  </w:r>
                </w:p>
              </w:tc>
              <w:tc>
                <w:tcPr>
                  <w:tcW w:w="691" w:type="pct"/>
                  <w:noWrap w:val="0"/>
                  <w:vAlign w:val="center"/>
                </w:tcPr>
                <w:p w14:paraId="3E408FC7">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危废暂存</w:t>
                  </w:r>
                </w:p>
              </w:tc>
              <w:tc>
                <w:tcPr>
                  <w:tcW w:w="858" w:type="pct"/>
                  <w:noWrap w:val="0"/>
                  <w:vAlign w:val="center"/>
                </w:tcPr>
                <w:p w14:paraId="5C550514">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rPr>
                    <w:t>危险废物</w:t>
                  </w:r>
                </w:p>
              </w:tc>
              <w:tc>
                <w:tcPr>
                  <w:tcW w:w="1283" w:type="pct"/>
                  <w:noWrap w:val="0"/>
                  <w:vAlign w:val="center"/>
                </w:tcPr>
                <w:p w14:paraId="1DB482D4">
                  <w:pPr>
                    <w:wordWrap w:val="0"/>
                    <w:adjustRightInd w:val="0"/>
                    <w:snapToGrid w:val="0"/>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zh-CN"/>
                    </w:rPr>
                    <w:t>废活性炭、废油桶、废酸桶、含油抹布、清洗废水、水喷淋废水</w:t>
                  </w:r>
                </w:p>
              </w:tc>
              <w:tc>
                <w:tcPr>
                  <w:tcW w:w="632" w:type="pct"/>
                  <w:noWrap w:val="0"/>
                  <w:vAlign w:val="center"/>
                </w:tcPr>
                <w:p w14:paraId="3BF25167">
                  <w:pPr>
                    <w:wordWrap w:val="0"/>
                    <w:adjustRightInd w:val="0"/>
                    <w:snapToGrid w:val="0"/>
                    <w:jc w:val="center"/>
                    <w:rPr>
                      <w:rFonts w:hint="default" w:ascii="Times New Roman" w:hAnsi="Times New Roman" w:eastAsia="宋体" w:cs="Times New Roman"/>
                      <w:snapToGrid w:val="0"/>
                      <w:color w:val="auto"/>
                      <w:kern w:val="0"/>
                      <w:szCs w:val="21"/>
                      <w:highlight w:val="none"/>
                      <w:lang w:val="zh-CN"/>
                    </w:rPr>
                  </w:pPr>
                  <w:r>
                    <w:rPr>
                      <w:rFonts w:hint="default" w:ascii="Times New Roman" w:hAnsi="Times New Roman" w:eastAsia="宋体" w:cs="Times New Roman"/>
                      <w:snapToGrid w:val="0"/>
                      <w:color w:val="auto"/>
                      <w:kern w:val="0"/>
                      <w:szCs w:val="21"/>
                      <w:highlight w:val="none"/>
                      <w:lang w:val="zh-CN"/>
                    </w:rPr>
                    <w:t>垂直入渗</w:t>
                  </w:r>
                </w:p>
              </w:tc>
              <w:tc>
                <w:tcPr>
                  <w:tcW w:w="772" w:type="pct"/>
                  <w:noWrap w:val="0"/>
                  <w:vAlign w:val="center"/>
                </w:tcPr>
                <w:p w14:paraId="50281112">
                  <w:pPr>
                    <w:wordWrap w:val="0"/>
                    <w:adjustRightInd w:val="0"/>
                    <w:snapToGrid w:val="0"/>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地下水、土壤</w:t>
                  </w:r>
                </w:p>
              </w:tc>
            </w:tr>
          </w:tbl>
          <w:p w14:paraId="30450562">
            <w:pPr>
              <w:wordWrap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（2）污染防控措施</w:t>
            </w:r>
          </w:p>
          <w:p w14:paraId="6BC8EB87">
            <w:pPr>
              <w:wordWrap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针对企业危险废物暂存过程，采取合理有效的工程措施可防止污染物对地下水、土壤的污染。</w:t>
            </w:r>
            <w:r>
              <w:rPr>
                <w:rFonts w:hint="default" w:ascii="Times New Roman" w:hAnsi="Times New Roman" w:eastAsia="宋体" w:cs="Times New Roman"/>
                <w:color w:val="auto"/>
                <w:sz w:val="24"/>
                <w:highlight w:val="none"/>
                <w:lang w:eastAsia="zh-CN"/>
              </w:rPr>
              <w:t>为更好地保护</w:t>
            </w:r>
            <w:r>
              <w:rPr>
                <w:rFonts w:hint="default" w:ascii="Times New Roman" w:hAnsi="Times New Roman" w:eastAsia="宋体" w:cs="Times New Roman"/>
                <w:color w:val="auto"/>
                <w:sz w:val="24"/>
                <w:highlight w:val="none"/>
              </w:rPr>
              <w:t>地下水和土壤资源，将项目对环境的影响降至最低限度，建议采取相关措施，具体如下：</w:t>
            </w:r>
          </w:p>
          <w:p w14:paraId="578F4617">
            <w:pPr>
              <w:wordWrap w:val="0"/>
              <w:snapToGrid w:val="0"/>
              <w:spacing w:line="360" w:lineRule="auto"/>
              <w:ind w:left="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源头控制</w:t>
            </w:r>
          </w:p>
          <w:p w14:paraId="581BFB7B">
            <w:pPr>
              <w:wordWrap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区采取雨污分流、清污分流，加强企业管理，定期对废气及废水处理设施等进行维护，避免非正常工况排放。排水管道等须采取防渗措施，杜绝各类废水下渗的通道。应严格废水的管理，强调节约用水，杜绝废水“跑、冒、滴、漏”现象的发生，确保污水处理系统的正常运行。</w:t>
            </w:r>
          </w:p>
          <w:p w14:paraId="38EF4D9B">
            <w:pPr>
              <w:wordWrap w:val="0"/>
              <w:snapToGrid w:val="0"/>
              <w:spacing w:line="360" w:lineRule="auto"/>
              <w:ind w:left="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分区防渗</w:t>
            </w:r>
          </w:p>
          <w:p w14:paraId="72BB7F41">
            <w:pPr>
              <w:pStyle w:val="20"/>
              <w:adjustRightInd w:val="0"/>
              <w:snapToGrid w:val="0"/>
              <w:spacing w:after="0" w:line="360" w:lineRule="auto"/>
              <w:ind w:left="0" w:leftChars="0" w:firstLine="480" w:firstLineChars="200"/>
              <w:rPr>
                <w:color w:val="auto"/>
                <w:szCs w:val="24"/>
              </w:rPr>
            </w:pPr>
            <w:r>
              <w:rPr>
                <w:rFonts w:hint="default" w:ascii="Times New Roman" w:hAnsi="Times New Roman" w:eastAsia="宋体" w:cs="Times New Roman"/>
                <w:color w:val="auto"/>
                <w:sz w:val="24"/>
                <w:highlight w:val="none"/>
              </w:rPr>
              <w:t>结合本项目各生产设备、一般固废暂存库、危废暂存库等因素，根据场地天然包气带防污性能、污染控制难易程度和污染物特性对全厂进行分区防渗。本次评价要求建设单位采取分区防渗的措施，详见下表</w:t>
            </w:r>
            <w:r>
              <w:rPr>
                <w:rFonts w:hint="eastAsia" w:ascii="Times New Roman" w:hAnsi="Times New Roman" w:eastAsia="宋体" w:cs="Times New Roman"/>
                <w:color w:val="auto"/>
                <w:sz w:val="24"/>
                <w:highlight w:val="none"/>
                <w:lang w:val="en-US" w:eastAsia="zh-CN"/>
              </w:rPr>
              <w:t>4.5-2</w:t>
            </w:r>
            <w:r>
              <w:rPr>
                <w:rFonts w:hint="default" w:ascii="Times New Roman" w:hAnsi="Times New Roman" w:eastAsia="宋体" w:cs="Times New Roman"/>
                <w:color w:val="auto"/>
                <w:sz w:val="24"/>
                <w:highlight w:val="none"/>
              </w:rPr>
              <w:t>。</w:t>
            </w:r>
          </w:p>
          <w:p w14:paraId="5EF13E2A">
            <w:pPr>
              <w:spacing w:line="360" w:lineRule="auto"/>
              <w:ind w:firstLine="482" w:firstLineChars="200"/>
              <w:rPr>
                <w:b/>
                <w:bCs/>
                <w:color w:val="auto"/>
                <w:sz w:val="24"/>
              </w:rPr>
            </w:pPr>
            <w:r>
              <w:rPr>
                <w:rFonts w:hint="eastAsia"/>
                <w:b/>
                <w:bCs/>
                <w:color w:val="auto"/>
                <w:sz w:val="24"/>
                <w:lang w:val="en-US" w:eastAsia="zh-CN"/>
              </w:rPr>
              <w:t>5.3</w:t>
            </w:r>
            <w:r>
              <w:rPr>
                <w:b/>
                <w:bCs/>
                <w:color w:val="auto"/>
                <w:sz w:val="24"/>
              </w:rPr>
              <w:t>分区防控措施</w:t>
            </w:r>
          </w:p>
          <w:p w14:paraId="3FB300FA">
            <w:pPr>
              <w:ind w:firstLine="522"/>
              <w:jc w:val="center"/>
              <w:rPr>
                <w:b/>
                <w:bCs/>
                <w:color w:val="auto"/>
                <w:sz w:val="24"/>
              </w:rPr>
            </w:pPr>
            <w:r>
              <w:rPr>
                <w:b/>
                <w:bCs/>
                <w:color w:val="auto"/>
                <w:sz w:val="24"/>
              </w:rPr>
              <w:t>表</w:t>
            </w:r>
            <w:r>
              <w:rPr>
                <w:rFonts w:hint="eastAsia"/>
                <w:b/>
                <w:bCs/>
                <w:color w:val="auto"/>
                <w:sz w:val="24"/>
                <w:lang w:val="en-US" w:eastAsia="zh-CN"/>
              </w:rPr>
              <w:t>4.5-2</w:t>
            </w:r>
            <w:r>
              <w:rPr>
                <w:b/>
                <w:bCs/>
                <w:color w:val="auto"/>
                <w:sz w:val="24"/>
              </w:rPr>
              <w:t xml:space="preserve">  项目分区防渗一览表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7"/>
              <w:gridCol w:w="1483"/>
              <w:gridCol w:w="869"/>
              <w:gridCol w:w="813"/>
              <w:gridCol w:w="866"/>
              <w:gridCol w:w="641"/>
              <w:gridCol w:w="2922"/>
            </w:tblGrid>
            <w:tr w14:paraId="25B683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3" w:hRule="atLeast"/>
                <w:tblHeader/>
                <w:jc w:val="center"/>
              </w:trPr>
              <w:tc>
                <w:tcPr>
                  <w:tcW w:w="477" w:type="dxa"/>
                  <w:vAlign w:val="center"/>
                </w:tcPr>
                <w:p w14:paraId="35AAA98F">
                  <w:pPr>
                    <w:pStyle w:val="23"/>
                    <w:adjustRightInd/>
                    <w:spacing w:before="0" w:line="240" w:lineRule="auto"/>
                    <w:jc w:val="center"/>
                    <w:rPr>
                      <w:rFonts w:ascii="Times New Roman" w:hAnsi="Times New Roman"/>
                      <w:b/>
                      <w:color w:val="auto"/>
                      <w:szCs w:val="21"/>
                    </w:rPr>
                  </w:pPr>
                  <w:r>
                    <w:rPr>
                      <w:rFonts w:ascii="Times New Roman" w:hAnsi="Times New Roman"/>
                      <w:b/>
                      <w:color w:val="auto"/>
                      <w:szCs w:val="21"/>
                    </w:rPr>
                    <w:t>序号</w:t>
                  </w:r>
                </w:p>
              </w:tc>
              <w:tc>
                <w:tcPr>
                  <w:tcW w:w="1483" w:type="dxa"/>
                  <w:vAlign w:val="center"/>
                </w:tcPr>
                <w:p w14:paraId="28852FA5">
                  <w:pPr>
                    <w:pStyle w:val="23"/>
                    <w:adjustRightInd/>
                    <w:spacing w:before="0" w:line="240" w:lineRule="auto"/>
                    <w:jc w:val="center"/>
                    <w:rPr>
                      <w:rFonts w:ascii="Times New Roman" w:hAnsi="Times New Roman"/>
                      <w:b/>
                      <w:color w:val="auto"/>
                      <w:szCs w:val="21"/>
                    </w:rPr>
                  </w:pPr>
                  <w:r>
                    <w:rPr>
                      <w:rFonts w:ascii="Times New Roman" w:hAnsi="Times New Roman"/>
                      <w:b/>
                      <w:color w:val="auto"/>
                      <w:szCs w:val="21"/>
                    </w:rPr>
                    <w:t>建（构</w:t>
                  </w:r>
                  <w:r>
                    <w:rPr>
                      <w:rFonts w:hint="eastAsia" w:ascii="Times New Roman" w:hAnsi="Times New Roman"/>
                      <w:b/>
                      <w:color w:val="auto"/>
                      <w:szCs w:val="21"/>
                      <w:lang w:eastAsia="zh-CN"/>
                    </w:rPr>
                    <w:t>）建</w:t>
                  </w:r>
                  <w:r>
                    <w:rPr>
                      <w:rFonts w:ascii="Times New Roman" w:hAnsi="Times New Roman"/>
                      <w:b/>
                      <w:color w:val="auto"/>
                      <w:szCs w:val="21"/>
                    </w:rPr>
                    <w:t>筑物名称</w:t>
                  </w:r>
                </w:p>
              </w:tc>
              <w:tc>
                <w:tcPr>
                  <w:tcW w:w="869" w:type="dxa"/>
                  <w:vAlign w:val="center"/>
                </w:tcPr>
                <w:p w14:paraId="29939883">
                  <w:pPr>
                    <w:jc w:val="center"/>
                    <w:rPr>
                      <w:b/>
                      <w:color w:val="auto"/>
                      <w:szCs w:val="21"/>
                    </w:rPr>
                  </w:pPr>
                  <w:r>
                    <w:rPr>
                      <w:b/>
                      <w:color w:val="auto"/>
                      <w:szCs w:val="21"/>
                    </w:rPr>
                    <w:t>天然包气带防污性能</w:t>
                  </w:r>
                </w:p>
              </w:tc>
              <w:tc>
                <w:tcPr>
                  <w:tcW w:w="813" w:type="dxa"/>
                  <w:vAlign w:val="center"/>
                </w:tcPr>
                <w:p w14:paraId="6A3909DB">
                  <w:pPr>
                    <w:jc w:val="center"/>
                    <w:rPr>
                      <w:b/>
                      <w:color w:val="auto"/>
                      <w:szCs w:val="21"/>
                    </w:rPr>
                  </w:pPr>
                  <w:r>
                    <w:rPr>
                      <w:b/>
                      <w:color w:val="auto"/>
                      <w:szCs w:val="21"/>
                    </w:rPr>
                    <w:t>污染控制难易程度</w:t>
                  </w:r>
                </w:p>
              </w:tc>
              <w:tc>
                <w:tcPr>
                  <w:tcW w:w="866" w:type="dxa"/>
                  <w:vAlign w:val="center"/>
                </w:tcPr>
                <w:p w14:paraId="5218E350">
                  <w:pPr>
                    <w:jc w:val="center"/>
                    <w:rPr>
                      <w:b/>
                      <w:color w:val="auto"/>
                      <w:szCs w:val="21"/>
                    </w:rPr>
                  </w:pPr>
                  <w:r>
                    <w:rPr>
                      <w:b/>
                      <w:color w:val="auto"/>
                      <w:szCs w:val="21"/>
                    </w:rPr>
                    <w:t>污染物类型</w:t>
                  </w:r>
                </w:p>
              </w:tc>
              <w:tc>
                <w:tcPr>
                  <w:tcW w:w="641" w:type="dxa"/>
                  <w:vAlign w:val="center"/>
                </w:tcPr>
                <w:p w14:paraId="6E450153">
                  <w:pPr>
                    <w:jc w:val="center"/>
                    <w:rPr>
                      <w:b/>
                      <w:color w:val="auto"/>
                      <w:szCs w:val="21"/>
                    </w:rPr>
                  </w:pPr>
                  <w:r>
                    <w:rPr>
                      <w:b/>
                      <w:color w:val="auto"/>
                      <w:szCs w:val="21"/>
                    </w:rPr>
                    <w:t>防治分区</w:t>
                  </w:r>
                </w:p>
              </w:tc>
              <w:tc>
                <w:tcPr>
                  <w:tcW w:w="2922" w:type="dxa"/>
                  <w:vAlign w:val="center"/>
                </w:tcPr>
                <w:p w14:paraId="29611EE9">
                  <w:pPr>
                    <w:jc w:val="center"/>
                    <w:rPr>
                      <w:b/>
                      <w:color w:val="auto"/>
                      <w:szCs w:val="21"/>
                    </w:rPr>
                  </w:pPr>
                  <w:r>
                    <w:rPr>
                      <w:b/>
                      <w:color w:val="auto"/>
                      <w:szCs w:val="21"/>
                    </w:rPr>
                    <w:t>防渗技术要求</w:t>
                  </w:r>
                </w:p>
              </w:tc>
            </w:tr>
            <w:tr w14:paraId="74028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477" w:type="dxa"/>
                  <w:vAlign w:val="center"/>
                </w:tcPr>
                <w:p w14:paraId="45854D14">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1</w:t>
                  </w:r>
                </w:p>
              </w:tc>
              <w:tc>
                <w:tcPr>
                  <w:tcW w:w="1483" w:type="dxa"/>
                  <w:vAlign w:val="center"/>
                </w:tcPr>
                <w:p w14:paraId="244DBC32">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危废仓库</w:t>
                  </w:r>
                  <w:r>
                    <w:rPr>
                      <w:rFonts w:hint="eastAsia" w:ascii="Times New Roman" w:hAnsi="Times New Roman"/>
                      <w:color w:val="auto"/>
                      <w:szCs w:val="21"/>
                      <w:lang w:eastAsia="zh-CN"/>
                    </w:rPr>
                    <w:t>、</w:t>
                  </w:r>
                  <w:r>
                    <w:rPr>
                      <w:rFonts w:ascii="Times New Roman" w:hAnsi="Times New Roman"/>
                      <w:color w:val="auto"/>
                      <w:szCs w:val="21"/>
                    </w:rPr>
                    <w:t>脲醛胶贮存区</w:t>
                  </w:r>
                </w:p>
              </w:tc>
              <w:tc>
                <w:tcPr>
                  <w:tcW w:w="869" w:type="dxa"/>
                  <w:vAlign w:val="center"/>
                </w:tcPr>
                <w:p w14:paraId="2954CC13">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强</w:t>
                  </w:r>
                </w:p>
              </w:tc>
              <w:tc>
                <w:tcPr>
                  <w:tcW w:w="813" w:type="dxa"/>
                  <w:vAlign w:val="center"/>
                </w:tcPr>
                <w:p w14:paraId="0F31113D">
                  <w:pPr>
                    <w:jc w:val="center"/>
                    <w:rPr>
                      <w:color w:val="auto"/>
                      <w:spacing w:val="-2"/>
                      <w:szCs w:val="21"/>
                    </w:rPr>
                  </w:pPr>
                  <w:r>
                    <w:rPr>
                      <w:color w:val="auto"/>
                      <w:spacing w:val="-2"/>
                      <w:szCs w:val="21"/>
                    </w:rPr>
                    <w:t>难</w:t>
                  </w:r>
                </w:p>
              </w:tc>
              <w:tc>
                <w:tcPr>
                  <w:tcW w:w="866" w:type="dxa"/>
                  <w:vAlign w:val="center"/>
                </w:tcPr>
                <w:p w14:paraId="5F29C453">
                  <w:pPr>
                    <w:jc w:val="center"/>
                    <w:rPr>
                      <w:color w:val="auto"/>
                      <w:szCs w:val="21"/>
                    </w:rPr>
                  </w:pPr>
                  <w:r>
                    <w:rPr>
                      <w:color w:val="auto"/>
                    </w:rPr>
                    <w:t>VOCs</w:t>
                  </w:r>
                </w:p>
              </w:tc>
              <w:tc>
                <w:tcPr>
                  <w:tcW w:w="641" w:type="dxa"/>
                  <w:vAlign w:val="center"/>
                </w:tcPr>
                <w:p w14:paraId="09DB0D5C">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重点防渗区</w:t>
                  </w:r>
                </w:p>
              </w:tc>
              <w:tc>
                <w:tcPr>
                  <w:tcW w:w="2922" w:type="dxa"/>
                  <w:vAlign w:val="center"/>
                </w:tcPr>
                <w:p w14:paraId="5B44A760">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等效黏土防渗层 Mb≥6.0m，K≤1×10</w:t>
                  </w:r>
                  <w:r>
                    <w:rPr>
                      <w:rFonts w:hint="eastAsia" w:ascii="Times New Roman" w:hAnsi="Times New Roman"/>
                      <w:color w:val="auto"/>
                      <w:szCs w:val="21"/>
                      <w:lang w:eastAsia="zh-CN"/>
                    </w:rPr>
                    <w:t>—</w:t>
                  </w:r>
                  <w:r>
                    <w:rPr>
                      <w:rFonts w:ascii="Times New Roman" w:hAnsi="Times New Roman"/>
                      <w:color w:val="auto"/>
                      <w:szCs w:val="21"/>
                      <w:vertAlign w:val="superscript"/>
                    </w:rPr>
                    <w:t>7</w:t>
                  </w:r>
                  <w:r>
                    <w:rPr>
                      <w:rFonts w:ascii="Times New Roman" w:hAnsi="Times New Roman"/>
                      <w:color w:val="auto"/>
                      <w:szCs w:val="21"/>
                    </w:rPr>
                    <w:t>cm/s</w:t>
                  </w:r>
                </w:p>
              </w:tc>
            </w:tr>
            <w:tr w14:paraId="318CB5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dxa"/>
                  <w:vAlign w:val="center"/>
                </w:tcPr>
                <w:p w14:paraId="7767C96C">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2</w:t>
                  </w:r>
                </w:p>
              </w:tc>
              <w:tc>
                <w:tcPr>
                  <w:tcW w:w="1483" w:type="dxa"/>
                  <w:vAlign w:val="center"/>
                </w:tcPr>
                <w:p w14:paraId="29B19A53">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生产车间</w:t>
                  </w:r>
                </w:p>
              </w:tc>
              <w:tc>
                <w:tcPr>
                  <w:tcW w:w="869" w:type="dxa"/>
                  <w:vAlign w:val="center"/>
                </w:tcPr>
                <w:p w14:paraId="0E27A5D2">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中-强</w:t>
                  </w:r>
                </w:p>
              </w:tc>
              <w:tc>
                <w:tcPr>
                  <w:tcW w:w="813" w:type="dxa"/>
                  <w:vAlign w:val="center"/>
                </w:tcPr>
                <w:p w14:paraId="04841280">
                  <w:pPr>
                    <w:jc w:val="center"/>
                    <w:rPr>
                      <w:color w:val="auto"/>
                      <w:spacing w:val="-2"/>
                      <w:szCs w:val="21"/>
                    </w:rPr>
                  </w:pPr>
                  <w:r>
                    <w:rPr>
                      <w:bCs/>
                      <w:snapToGrid w:val="0"/>
                      <w:color w:val="auto"/>
                      <w:kern w:val="20"/>
                      <w:szCs w:val="21"/>
                    </w:rPr>
                    <w:t>难</w:t>
                  </w:r>
                </w:p>
              </w:tc>
              <w:tc>
                <w:tcPr>
                  <w:tcW w:w="866" w:type="dxa"/>
                  <w:vAlign w:val="center"/>
                </w:tcPr>
                <w:p w14:paraId="618E07C3">
                  <w:pPr>
                    <w:jc w:val="center"/>
                    <w:rPr>
                      <w:color w:val="auto"/>
                      <w:szCs w:val="21"/>
                    </w:rPr>
                  </w:pPr>
                  <w:r>
                    <w:rPr>
                      <w:color w:val="auto"/>
                    </w:rPr>
                    <w:t>VOCs</w:t>
                  </w:r>
                </w:p>
              </w:tc>
              <w:tc>
                <w:tcPr>
                  <w:tcW w:w="641" w:type="dxa"/>
                  <w:vAlign w:val="center"/>
                </w:tcPr>
                <w:p w14:paraId="38606322">
                  <w:pPr>
                    <w:jc w:val="center"/>
                    <w:rPr>
                      <w:bCs/>
                      <w:snapToGrid w:val="0"/>
                      <w:color w:val="auto"/>
                      <w:kern w:val="20"/>
                      <w:szCs w:val="21"/>
                    </w:rPr>
                  </w:pPr>
                  <w:r>
                    <w:rPr>
                      <w:bCs/>
                      <w:snapToGrid w:val="0"/>
                      <w:color w:val="auto"/>
                      <w:kern w:val="20"/>
                      <w:szCs w:val="21"/>
                    </w:rPr>
                    <w:t>一般</w:t>
                  </w:r>
                </w:p>
                <w:p w14:paraId="3240CCA8">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防渗区</w:t>
                  </w:r>
                </w:p>
              </w:tc>
              <w:tc>
                <w:tcPr>
                  <w:tcW w:w="2922" w:type="dxa"/>
                  <w:vAlign w:val="center"/>
                </w:tcPr>
                <w:p w14:paraId="1C337C7F">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等效黏土防渗层Mb≥1.5，渗透系数K≤1×10</w:t>
                  </w:r>
                  <w:r>
                    <w:rPr>
                      <w:rFonts w:hint="eastAsia" w:ascii="Times New Roman" w:hAnsi="Times New Roman"/>
                      <w:bCs/>
                      <w:snapToGrid w:val="0"/>
                      <w:color w:val="auto"/>
                      <w:kern w:val="20"/>
                      <w:szCs w:val="21"/>
                      <w:lang w:eastAsia="zh-CN"/>
                    </w:rPr>
                    <w:t>—</w:t>
                  </w:r>
                  <w:r>
                    <w:rPr>
                      <w:rFonts w:ascii="Times New Roman" w:hAnsi="Times New Roman"/>
                      <w:bCs/>
                      <w:snapToGrid w:val="0"/>
                      <w:color w:val="auto"/>
                      <w:kern w:val="20"/>
                      <w:szCs w:val="21"/>
                      <w:vertAlign w:val="superscript"/>
                    </w:rPr>
                    <w:t>7</w:t>
                  </w:r>
                  <w:r>
                    <w:rPr>
                      <w:rFonts w:ascii="Times New Roman" w:hAnsi="Times New Roman"/>
                      <w:bCs/>
                      <w:snapToGrid w:val="0"/>
                      <w:color w:val="auto"/>
                      <w:kern w:val="20"/>
                      <w:szCs w:val="21"/>
                    </w:rPr>
                    <w:t>cm/s</w:t>
                  </w:r>
                </w:p>
              </w:tc>
            </w:tr>
            <w:tr w14:paraId="432488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477" w:type="dxa"/>
                  <w:vAlign w:val="center"/>
                </w:tcPr>
                <w:p w14:paraId="345F3F08">
                  <w:pPr>
                    <w:pStyle w:val="23"/>
                    <w:adjustRightInd/>
                    <w:spacing w:before="0" w:line="240" w:lineRule="auto"/>
                    <w:jc w:val="center"/>
                    <w:rPr>
                      <w:rFonts w:ascii="Times New Roman" w:hAnsi="Times New Roman"/>
                      <w:color w:val="auto"/>
                      <w:szCs w:val="21"/>
                    </w:rPr>
                  </w:pPr>
                  <w:r>
                    <w:rPr>
                      <w:rFonts w:ascii="Times New Roman" w:hAnsi="Times New Roman"/>
                      <w:color w:val="auto"/>
                      <w:szCs w:val="21"/>
                    </w:rPr>
                    <w:t>3</w:t>
                  </w:r>
                </w:p>
              </w:tc>
              <w:tc>
                <w:tcPr>
                  <w:tcW w:w="1483" w:type="dxa"/>
                  <w:vAlign w:val="center"/>
                </w:tcPr>
                <w:p w14:paraId="3CB1DDC4">
                  <w:pPr>
                    <w:pStyle w:val="23"/>
                    <w:adjustRightInd/>
                    <w:spacing w:before="0" w:line="240" w:lineRule="auto"/>
                    <w:jc w:val="center"/>
                    <w:rPr>
                      <w:rFonts w:ascii="Times New Roman" w:hAnsi="Times New Roman"/>
                      <w:color w:val="auto"/>
                      <w:szCs w:val="21"/>
                    </w:rPr>
                  </w:pPr>
                  <w:r>
                    <w:rPr>
                      <w:rFonts w:ascii="Times New Roman" w:hAnsi="Times New Roman"/>
                      <w:snapToGrid w:val="0"/>
                      <w:color w:val="auto"/>
                      <w:kern w:val="20"/>
                      <w:szCs w:val="21"/>
                    </w:rPr>
                    <w:t>其他区域</w:t>
                  </w:r>
                </w:p>
              </w:tc>
              <w:tc>
                <w:tcPr>
                  <w:tcW w:w="869" w:type="dxa"/>
                  <w:vAlign w:val="center"/>
                </w:tcPr>
                <w:p w14:paraId="795B9CE0">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中-强</w:t>
                  </w:r>
                </w:p>
              </w:tc>
              <w:tc>
                <w:tcPr>
                  <w:tcW w:w="813" w:type="dxa"/>
                  <w:vAlign w:val="center"/>
                </w:tcPr>
                <w:p w14:paraId="47AD060E">
                  <w:pPr>
                    <w:jc w:val="center"/>
                    <w:rPr>
                      <w:color w:val="auto"/>
                      <w:spacing w:val="-2"/>
                      <w:szCs w:val="21"/>
                    </w:rPr>
                  </w:pPr>
                  <w:r>
                    <w:rPr>
                      <w:bCs/>
                      <w:snapToGrid w:val="0"/>
                      <w:color w:val="auto"/>
                      <w:kern w:val="20"/>
                      <w:szCs w:val="21"/>
                    </w:rPr>
                    <w:t>易</w:t>
                  </w:r>
                </w:p>
              </w:tc>
              <w:tc>
                <w:tcPr>
                  <w:tcW w:w="866" w:type="dxa"/>
                  <w:vAlign w:val="center"/>
                </w:tcPr>
                <w:p w14:paraId="7EE506FC">
                  <w:pPr>
                    <w:jc w:val="center"/>
                    <w:rPr>
                      <w:color w:val="auto"/>
                      <w:szCs w:val="21"/>
                    </w:rPr>
                  </w:pPr>
                  <w:r>
                    <w:rPr>
                      <w:color w:val="auto"/>
                    </w:rPr>
                    <w:t>VOCs</w:t>
                  </w:r>
                </w:p>
              </w:tc>
              <w:tc>
                <w:tcPr>
                  <w:tcW w:w="641" w:type="dxa"/>
                  <w:vAlign w:val="center"/>
                </w:tcPr>
                <w:p w14:paraId="0E339017">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简单防渗区</w:t>
                  </w:r>
                </w:p>
              </w:tc>
              <w:tc>
                <w:tcPr>
                  <w:tcW w:w="2922" w:type="dxa"/>
                  <w:vAlign w:val="center"/>
                </w:tcPr>
                <w:p w14:paraId="48578762">
                  <w:pPr>
                    <w:pStyle w:val="23"/>
                    <w:adjustRightInd/>
                    <w:spacing w:before="0" w:line="240" w:lineRule="auto"/>
                    <w:jc w:val="center"/>
                    <w:rPr>
                      <w:rFonts w:ascii="Times New Roman" w:hAnsi="Times New Roman"/>
                      <w:color w:val="auto"/>
                      <w:szCs w:val="21"/>
                    </w:rPr>
                  </w:pPr>
                  <w:r>
                    <w:rPr>
                      <w:rFonts w:ascii="Times New Roman" w:hAnsi="Times New Roman"/>
                      <w:bCs/>
                      <w:snapToGrid w:val="0"/>
                      <w:color w:val="auto"/>
                      <w:kern w:val="20"/>
                      <w:szCs w:val="21"/>
                    </w:rPr>
                    <w:t>一般地面硬化</w:t>
                  </w:r>
                </w:p>
              </w:tc>
            </w:tr>
          </w:tbl>
          <w:p w14:paraId="34B1AAF7">
            <w:pPr>
              <w:spacing w:line="360" w:lineRule="auto"/>
              <w:ind w:firstLine="482" w:firstLineChars="200"/>
              <w:contextualSpacing/>
              <w:rPr>
                <w:b/>
                <w:bCs/>
                <w:color w:val="auto"/>
                <w:sz w:val="24"/>
              </w:rPr>
            </w:pPr>
            <w:r>
              <w:rPr>
                <w:b/>
                <w:bCs/>
                <w:color w:val="auto"/>
                <w:sz w:val="24"/>
              </w:rPr>
              <w:t>6、生态环境</w:t>
            </w:r>
          </w:p>
          <w:p w14:paraId="186CAE28">
            <w:pPr>
              <w:adjustRightInd w:val="0"/>
              <w:snapToGrid w:val="0"/>
              <w:spacing w:line="360" w:lineRule="auto"/>
              <w:ind w:firstLine="480" w:firstLineChars="200"/>
              <w:rPr>
                <w:color w:val="auto"/>
                <w:sz w:val="24"/>
              </w:rPr>
            </w:pPr>
            <w:r>
              <w:rPr>
                <w:color w:val="auto"/>
                <w:sz w:val="24"/>
              </w:rPr>
              <w:t>本项目建设位于</w:t>
            </w:r>
            <w:r>
              <w:rPr>
                <w:color w:val="auto"/>
                <w:sz w:val="24"/>
                <w:lang w:val="zh-CN"/>
              </w:rPr>
              <w:t>淮安市涟水县</w:t>
            </w:r>
            <w:r>
              <w:rPr>
                <w:rFonts w:hint="eastAsia"/>
                <w:color w:val="auto"/>
                <w:sz w:val="24"/>
                <w:lang w:val="zh-CN"/>
              </w:rPr>
              <w:t>高沟</w:t>
            </w:r>
            <w:r>
              <w:rPr>
                <w:color w:val="auto"/>
                <w:sz w:val="24"/>
                <w:lang w:val="zh-CN"/>
              </w:rPr>
              <w:t>镇</w:t>
            </w:r>
            <w:r>
              <w:rPr>
                <w:rFonts w:hint="eastAsia"/>
                <w:color w:val="auto"/>
                <w:sz w:val="24"/>
                <w:lang w:val="zh-CN"/>
              </w:rPr>
              <w:t>高秀</w:t>
            </w:r>
            <w:r>
              <w:rPr>
                <w:color w:val="auto"/>
                <w:sz w:val="24"/>
                <w:lang w:val="zh-CN"/>
              </w:rPr>
              <w:t>工业集中区</w:t>
            </w:r>
            <w:r>
              <w:rPr>
                <w:color w:val="auto"/>
                <w:sz w:val="24"/>
              </w:rPr>
              <w:t>内，不属于产业园区外。故本项目不需采取生态保护措施。</w:t>
            </w:r>
          </w:p>
          <w:p w14:paraId="244E5310">
            <w:pPr>
              <w:spacing w:line="360" w:lineRule="auto"/>
              <w:ind w:firstLine="482" w:firstLineChars="200"/>
              <w:contextualSpacing/>
              <w:rPr>
                <w:b/>
                <w:bCs/>
                <w:color w:val="auto"/>
                <w:sz w:val="24"/>
              </w:rPr>
            </w:pPr>
            <w:r>
              <w:rPr>
                <w:b/>
                <w:bCs/>
                <w:color w:val="auto"/>
                <w:sz w:val="24"/>
              </w:rPr>
              <w:t>7、环境风险</w:t>
            </w:r>
          </w:p>
          <w:p w14:paraId="72C237AC">
            <w:pPr>
              <w:widowControl/>
              <w:autoSpaceDE w:val="0"/>
              <w:autoSpaceDN w:val="0"/>
              <w:adjustRightInd w:val="0"/>
              <w:snapToGrid w:val="0"/>
              <w:spacing w:line="360" w:lineRule="auto"/>
              <w:ind w:firstLine="482" w:firstLineChars="200"/>
              <w:rPr>
                <w:rFonts w:eastAsiaTheme="minorEastAsia"/>
                <w:b/>
                <w:color w:val="auto"/>
                <w:kern w:val="0"/>
                <w:sz w:val="24"/>
              </w:rPr>
            </w:pPr>
            <w:r>
              <w:rPr>
                <w:rFonts w:eastAsiaTheme="minorEastAsia"/>
                <w:b/>
                <w:color w:val="auto"/>
                <w:kern w:val="0"/>
                <w:sz w:val="24"/>
              </w:rPr>
              <w:t>7.1风险源调查</w:t>
            </w:r>
          </w:p>
          <w:p w14:paraId="1F82EE09">
            <w:pPr>
              <w:widowControl/>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①</w:t>
            </w:r>
            <w:r>
              <w:rPr>
                <w:rFonts w:eastAsiaTheme="minorEastAsia"/>
                <w:color w:val="auto"/>
                <w:kern w:val="0"/>
                <w:sz w:val="24"/>
              </w:rPr>
              <w:t>危险物质数量及分布情况</w:t>
            </w:r>
          </w:p>
          <w:p w14:paraId="03902DC9">
            <w:pPr>
              <w:widowControl/>
              <w:autoSpaceDE w:val="0"/>
              <w:autoSpaceDN w:val="0"/>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建设</w:t>
            </w:r>
            <w:r>
              <w:rPr>
                <w:rFonts w:eastAsiaTheme="minorEastAsia"/>
                <w:color w:val="auto"/>
                <w:kern w:val="0"/>
                <w:sz w:val="24"/>
              </w:rPr>
              <w:t>项目</w:t>
            </w:r>
            <w:r>
              <w:rPr>
                <w:rFonts w:eastAsiaTheme="minorEastAsia"/>
                <w:bCs/>
                <w:color w:val="auto"/>
                <w:kern w:val="0"/>
                <w:sz w:val="24"/>
              </w:rPr>
              <w:t>危险物质数量及分布情况见表4.7-1。</w:t>
            </w:r>
          </w:p>
          <w:p w14:paraId="7AA6D36B">
            <w:pPr>
              <w:widowControl/>
              <w:adjustRightInd w:val="0"/>
              <w:snapToGrid w:val="0"/>
              <w:spacing w:line="240" w:lineRule="exact"/>
              <w:ind w:firstLine="482" w:firstLineChars="200"/>
              <w:jc w:val="center"/>
              <w:rPr>
                <w:rFonts w:eastAsiaTheme="minorEastAsia"/>
                <w:b/>
                <w:bCs/>
                <w:color w:val="auto"/>
                <w:kern w:val="0"/>
                <w:sz w:val="24"/>
              </w:rPr>
            </w:pPr>
            <w:r>
              <w:rPr>
                <w:rFonts w:eastAsiaTheme="minorEastAsia"/>
                <w:b/>
                <w:bCs/>
                <w:color w:val="auto"/>
                <w:kern w:val="0"/>
                <w:sz w:val="24"/>
              </w:rPr>
              <w:t>表</w:t>
            </w:r>
            <w:r>
              <w:rPr>
                <w:rFonts w:eastAsiaTheme="minorEastAsia"/>
                <w:b/>
                <w:bCs/>
                <w:color w:val="auto"/>
                <w:kern w:val="0"/>
                <w:sz w:val="24"/>
                <w:lang w:bidi="en-US"/>
              </w:rPr>
              <w:t xml:space="preserve">4.7-1  </w:t>
            </w:r>
            <w:r>
              <w:rPr>
                <w:rFonts w:hint="eastAsia" w:eastAsiaTheme="minorEastAsia"/>
                <w:b/>
                <w:bCs/>
                <w:color w:val="auto"/>
                <w:kern w:val="0"/>
                <w:sz w:val="24"/>
                <w:lang w:bidi="en-US"/>
              </w:rPr>
              <w:t>建设</w:t>
            </w:r>
            <w:r>
              <w:rPr>
                <w:rFonts w:eastAsiaTheme="minorEastAsia"/>
                <w:b/>
                <w:bCs/>
                <w:color w:val="auto"/>
                <w:kern w:val="0"/>
                <w:sz w:val="24"/>
              </w:rPr>
              <w:t>项目危险物质数量及分布情况一览表</w:t>
            </w:r>
          </w:p>
          <w:tbl>
            <w:tblPr>
              <w:tblStyle w:val="42"/>
              <w:tblW w:w="498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21"/>
              <w:gridCol w:w="2040"/>
              <w:gridCol w:w="2644"/>
              <w:gridCol w:w="1492"/>
              <w:gridCol w:w="761"/>
            </w:tblGrid>
            <w:tr w14:paraId="1CD63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50" w:type="pct"/>
                  <w:tcBorders>
                    <w:top w:val="single" w:color="auto" w:sz="12" w:space="0"/>
                    <w:left w:val="nil"/>
                    <w:bottom w:val="single" w:color="auto" w:sz="4" w:space="0"/>
                    <w:right w:val="single" w:color="auto" w:sz="4" w:space="0"/>
                  </w:tcBorders>
                  <w:vAlign w:val="center"/>
                </w:tcPr>
                <w:p w14:paraId="2CD29742">
                  <w:pPr>
                    <w:widowControl/>
                    <w:adjustRightInd w:val="0"/>
                    <w:snapToGrid w:val="0"/>
                    <w:jc w:val="center"/>
                    <w:rPr>
                      <w:rFonts w:eastAsiaTheme="minorEastAsia"/>
                      <w:b/>
                      <w:color w:val="auto"/>
                      <w:szCs w:val="21"/>
                    </w:rPr>
                  </w:pPr>
                  <w:r>
                    <w:rPr>
                      <w:rFonts w:eastAsiaTheme="minorEastAsia"/>
                      <w:b/>
                      <w:color w:val="auto"/>
                      <w:szCs w:val="21"/>
                    </w:rPr>
                    <w:t>名称</w:t>
                  </w:r>
                </w:p>
              </w:tc>
              <w:tc>
                <w:tcPr>
                  <w:tcW w:w="1220" w:type="pct"/>
                  <w:tcBorders>
                    <w:top w:val="single" w:color="auto" w:sz="12" w:space="0"/>
                    <w:left w:val="single" w:color="auto" w:sz="4" w:space="0"/>
                    <w:bottom w:val="single" w:color="auto" w:sz="4" w:space="0"/>
                    <w:right w:val="single" w:color="auto" w:sz="4" w:space="0"/>
                  </w:tcBorders>
                  <w:vAlign w:val="center"/>
                </w:tcPr>
                <w:p w14:paraId="4A06389B">
                  <w:pPr>
                    <w:widowControl/>
                    <w:adjustRightInd w:val="0"/>
                    <w:snapToGrid w:val="0"/>
                    <w:jc w:val="center"/>
                    <w:rPr>
                      <w:rFonts w:eastAsiaTheme="minorEastAsia"/>
                      <w:b/>
                      <w:color w:val="auto"/>
                      <w:szCs w:val="21"/>
                    </w:rPr>
                  </w:pPr>
                  <w:r>
                    <w:rPr>
                      <w:rFonts w:eastAsiaTheme="minorEastAsia"/>
                      <w:b/>
                      <w:color w:val="auto"/>
                      <w:szCs w:val="21"/>
                    </w:rPr>
                    <w:t>主要规格/型号</w:t>
                  </w:r>
                </w:p>
              </w:tc>
              <w:tc>
                <w:tcPr>
                  <w:tcW w:w="1581" w:type="pct"/>
                  <w:tcBorders>
                    <w:top w:val="single" w:color="auto" w:sz="12" w:space="0"/>
                    <w:left w:val="single" w:color="auto" w:sz="4" w:space="0"/>
                    <w:bottom w:val="single" w:color="auto" w:sz="4" w:space="0"/>
                    <w:right w:val="single" w:color="auto" w:sz="4" w:space="0"/>
                  </w:tcBorders>
                  <w:vAlign w:val="center"/>
                </w:tcPr>
                <w:p w14:paraId="5B034757">
                  <w:pPr>
                    <w:widowControl/>
                    <w:adjustRightInd w:val="0"/>
                    <w:snapToGrid w:val="0"/>
                    <w:jc w:val="center"/>
                    <w:rPr>
                      <w:rFonts w:eastAsiaTheme="minorEastAsia"/>
                      <w:b/>
                      <w:color w:val="auto"/>
                      <w:szCs w:val="21"/>
                    </w:rPr>
                  </w:pPr>
                  <w:r>
                    <w:rPr>
                      <w:rFonts w:eastAsiaTheme="minorEastAsia"/>
                      <w:b/>
                      <w:color w:val="auto"/>
                      <w:szCs w:val="21"/>
                    </w:rPr>
                    <w:t>贮存规格、贮存数量</w:t>
                  </w:r>
                </w:p>
              </w:tc>
              <w:tc>
                <w:tcPr>
                  <w:tcW w:w="892" w:type="pct"/>
                  <w:tcBorders>
                    <w:top w:val="single" w:color="auto" w:sz="12" w:space="0"/>
                    <w:left w:val="single" w:color="auto" w:sz="4" w:space="0"/>
                    <w:bottom w:val="single" w:color="auto" w:sz="4" w:space="0"/>
                    <w:right w:val="single" w:color="auto" w:sz="4" w:space="0"/>
                  </w:tcBorders>
                  <w:vAlign w:val="center"/>
                </w:tcPr>
                <w:p w14:paraId="7BB19830">
                  <w:pPr>
                    <w:widowControl/>
                    <w:adjustRightInd w:val="0"/>
                    <w:snapToGrid w:val="0"/>
                    <w:jc w:val="center"/>
                    <w:rPr>
                      <w:rFonts w:eastAsiaTheme="minorEastAsia"/>
                      <w:b/>
                      <w:color w:val="auto"/>
                      <w:szCs w:val="21"/>
                    </w:rPr>
                  </w:pPr>
                  <w:r>
                    <w:rPr>
                      <w:rFonts w:eastAsiaTheme="minorEastAsia"/>
                      <w:b/>
                      <w:color w:val="auto"/>
                      <w:szCs w:val="21"/>
                    </w:rPr>
                    <w:t>最大</w:t>
                  </w:r>
                </w:p>
                <w:p w14:paraId="375D23E7">
                  <w:pPr>
                    <w:widowControl/>
                    <w:adjustRightInd w:val="0"/>
                    <w:snapToGrid w:val="0"/>
                    <w:jc w:val="center"/>
                    <w:rPr>
                      <w:rFonts w:eastAsiaTheme="minorEastAsia"/>
                      <w:b/>
                      <w:color w:val="auto"/>
                      <w:szCs w:val="21"/>
                    </w:rPr>
                  </w:pPr>
                  <w:r>
                    <w:rPr>
                      <w:rFonts w:eastAsiaTheme="minorEastAsia"/>
                      <w:b/>
                      <w:color w:val="auto"/>
                      <w:szCs w:val="21"/>
                    </w:rPr>
                    <w:t>贮存量（t）</w:t>
                  </w:r>
                </w:p>
              </w:tc>
              <w:tc>
                <w:tcPr>
                  <w:tcW w:w="455" w:type="pct"/>
                  <w:tcBorders>
                    <w:top w:val="single" w:color="auto" w:sz="12" w:space="0"/>
                    <w:left w:val="single" w:color="auto" w:sz="4" w:space="0"/>
                    <w:bottom w:val="single" w:color="auto" w:sz="4" w:space="0"/>
                    <w:right w:val="nil"/>
                  </w:tcBorders>
                  <w:vAlign w:val="center"/>
                </w:tcPr>
                <w:p w14:paraId="518A12A8">
                  <w:pPr>
                    <w:widowControl/>
                    <w:adjustRightInd w:val="0"/>
                    <w:snapToGrid w:val="0"/>
                    <w:jc w:val="center"/>
                    <w:rPr>
                      <w:rFonts w:eastAsiaTheme="minorEastAsia"/>
                      <w:b/>
                      <w:color w:val="auto"/>
                      <w:szCs w:val="21"/>
                    </w:rPr>
                  </w:pPr>
                  <w:r>
                    <w:rPr>
                      <w:rFonts w:eastAsiaTheme="minorEastAsia"/>
                      <w:b/>
                      <w:color w:val="auto"/>
                      <w:szCs w:val="21"/>
                    </w:rPr>
                    <w:t>分布</w:t>
                  </w:r>
                </w:p>
              </w:tc>
            </w:tr>
            <w:tr w14:paraId="2F016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850" w:type="pct"/>
                  <w:tcBorders>
                    <w:top w:val="single" w:color="auto" w:sz="4" w:space="0"/>
                    <w:left w:val="nil"/>
                    <w:bottom w:val="single" w:color="auto" w:sz="4" w:space="0"/>
                    <w:right w:val="single" w:color="auto" w:sz="4" w:space="0"/>
                  </w:tcBorders>
                  <w:vAlign w:val="center"/>
                </w:tcPr>
                <w:p w14:paraId="6953B356">
                  <w:pPr>
                    <w:jc w:val="center"/>
                    <w:rPr>
                      <w:rFonts w:eastAsiaTheme="minorEastAsia"/>
                      <w:color w:val="auto"/>
                      <w:szCs w:val="21"/>
                    </w:rPr>
                  </w:pPr>
                  <w:r>
                    <w:rPr>
                      <w:rFonts w:hint="eastAsia" w:eastAsiaTheme="minorEastAsia"/>
                      <w:color w:val="auto"/>
                      <w:szCs w:val="21"/>
                    </w:rPr>
                    <w:t>脲醛胶</w:t>
                  </w:r>
                  <w:r>
                    <w:rPr>
                      <w:rFonts w:hint="eastAsia" w:ascii="宋体" w:hAnsi="宋体" w:eastAsia="宋体" w:cs="宋体"/>
                      <w:color w:val="auto"/>
                      <w:szCs w:val="21"/>
                      <w:vertAlign w:val="superscript"/>
                    </w:rPr>
                    <w:t>*</w:t>
                  </w:r>
                </w:p>
              </w:tc>
              <w:tc>
                <w:tcPr>
                  <w:tcW w:w="1220" w:type="pct"/>
                  <w:tcBorders>
                    <w:top w:val="single" w:color="auto" w:sz="4" w:space="0"/>
                    <w:left w:val="single" w:color="auto" w:sz="4" w:space="0"/>
                    <w:bottom w:val="single" w:color="auto" w:sz="4" w:space="0"/>
                    <w:right w:val="single" w:color="auto" w:sz="4" w:space="0"/>
                  </w:tcBorders>
                  <w:vAlign w:val="center"/>
                </w:tcPr>
                <w:p w14:paraId="53157076">
                  <w:pPr>
                    <w:widowControl/>
                    <w:adjustRightInd w:val="0"/>
                    <w:snapToGrid w:val="0"/>
                    <w:jc w:val="center"/>
                    <w:textAlignment w:val="center"/>
                    <w:rPr>
                      <w:rFonts w:eastAsiaTheme="minorEastAsia"/>
                      <w:color w:val="auto"/>
                      <w:szCs w:val="21"/>
                    </w:rPr>
                  </w:pPr>
                  <w:r>
                    <w:rPr>
                      <w:rFonts w:hint="eastAsia" w:eastAsiaTheme="minorEastAsia"/>
                      <w:color w:val="auto"/>
                      <w:szCs w:val="21"/>
                      <w:lang w:eastAsia="zh-CN"/>
                    </w:rPr>
                    <w:t>三聚氰胺</w:t>
                  </w:r>
                  <w:r>
                    <w:rPr>
                      <w:rFonts w:hint="eastAsia" w:eastAsiaTheme="minorEastAsia"/>
                      <w:color w:val="auto"/>
                      <w:szCs w:val="21"/>
                      <w:lang w:val="en-US" w:eastAsia="zh-CN"/>
                    </w:rPr>
                    <w:t>-</w:t>
                  </w:r>
                  <w:r>
                    <w:rPr>
                      <w:rFonts w:hint="eastAsia" w:eastAsiaTheme="minorEastAsia"/>
                      <w:color w:val="auto"/>
                      <w:szCs w:val="21"/>
                      <w:lang w:eastAsia="zh-CN"/>
                    </w:rPr>
                    <w:t>尿素</w:t>
                  </w:r>
                  <w:r>
                    <w:rPr>
                      <w:rFonts w:hint="eastAsia" w:eastAsiaTheme="minorEastAsia"/>
                      <w:color w:val="auto"/>
                      <w:szCs w:val="21"/>
                      <w:lang w:val="en-US" w:eastAsia="zh-CN"/>
                    </w:rPr>
                    <w:t>-甲醛树酯45%～55%、水45%～55%、游离甲醛≤0.3%</w:t>
                  </w:r>
                </w:p>
              </w:tc>
              <w:tc>
                <w:tcPr>
                  <w:tcW w:w="1581" w:type="pct"/>
                  <w:tcBorders>
                    <w:top w:val="single" w:color="auto" w:sz="4" w:space="0"/>
                    <w:left w:val="single" w:color="auto" w:sz="4" w:space="0"/>
                    <w:bottom w:val="single" w:color="auto" w:sz="4" w:space="0"/>
                    <w:right w:val="single" w:color="auto" w:sz="4" w:space="0"/>
                  </w:tcBorders>
                  <w:vAlign w:val="center"/>
                </w:tcPr>
                <w:p w14:paraId="71E710CB">
                  <w:pPr>
                    <w:widowControl/>
                    <w:adjustRightInd w:val="0"/>
                    <w:snapToGrid w:val="0"/>
                    <w:jc w:val="center"/>
                    <w:rPr>
                      <w:color w:val="auto"/>
                    </w:rPr>
                  </w:pPr>
                  <w:r>
                    <w:rPr>
                      <w:rFonts w:hint="eastAsia" w:eastAsiaTheme="minorEastAsia"/>
                      <w:color w:val="auto"/>
                      <w:szCs w:val="21"/>
                    </w:rPr>
                    <w:t>1t</w:t>
                  </w:r>
                  <w:r>
                    <w:rPr>
                      <w:rFonts w:eastAsiaTheme="minorEastAsia"/>
                      <w:color w:val="auto"/>
                      <w:szCs w:val="21"/>
                    </w:rPr>
                    <w:t>桶，</w:t>
                  </w:r>
                  <w:r>
                    <w:rPr>
                      <w:rFonts w:hint="eastAsia" w:eastAsiaTheme="minorEastAsia"/>
                      <w:color w:val="auto"/>
                      <w:szCs w:val="21"/>
                    </w:rPr>
                    <w:t>5</w:t>
                  </w:r>
                  <w:r>
                    <w:rPr>
                      <w:rFonts w:eastAsiaTheme="minorEastAsia"/>
                      <w:color w:val="auto"/>
                      <w:szCs w:val="21"/>
                    </w:rPr>
                    <w:t>桶</w:t>
                  </w:r>
                </w:p>
              </w:tc>
              <w:tc>
                <w:tcPr>
                  <w:tcW w:w="892" w:type="pct"/>
                  <w:tcBorders>
                    <w:top w:val="single" w:color="auto" w:sz="4" w:space="0"/>
                    <w:left w:val="single" w:color="auto" w:sz="4" w:space="0"/>
                    <w:bottom w:val="single" w:color="auto" w:sz="4" w:space="0"/>
                    <w:right w:val="single" w:color="auto" w:sz="4" w:space="0"/>
                  </w:tcBorders>
                  <w:vAlign w:val="center"/>
                </w:tcPr>
                <w:p w14:paraId="6A90A7D1">
                  <w:pPr>
                    <w:widowControl/>
                    <w:adjustRightInd w:val="0"/>
                    <w:snapToGrid w:val="0"/>
                    <w:jc w:val="center"/>
                    <w:rPr>
                      <w:rFonts w:eastAsiaTheme="minorEastAsia"/>
                      <w:color w:val="auto"/>
                      <w:kern w:val="0"/>
                      <w:szCs w:val="21"/>
                    </w:rPr>
                  </w:pPr>
                  <w:r>
                    <w:rPr>
                      <w:rFonts w:hint="eastAsia" w:eastAsiaTheme="minorEastAsia"/>
                      <w:color w:val="auto"/>
                      <w:kern w:val="0"/>
                      <w:szCs w:val="21"/>
                    </w:rPr>
                    <w:t>5</w:t>
                  </w:r>
                </w:p>
              </w:tc>
              <w:tc>
                <w:tcPr>
                  <w:tcW w:w="455" w:type="pct"/>
                  <w:vMerge w:val="restart"/>
                  <w:tcBorders>
                    <w:top w:val="single" w:color="auto" w:sz="4" w:space="0"/>
                    <w:left w:val="single" w:color="auto" w:sz="4" w:space="0"/>
                    <w:right w:val="nil"/>
                  </w:tcBorders>
                  <w:vAlign w:val="center"/>
                </w:tcPr>
                <w:p w14:paraId="555E4D27">
                  <w:pPr>
                    <w:widowControl/>
                    <w:adjustRightInd w:val="0"/>
                    <w:snapToGrid w:val="0"/>
                    <w:jc w:val="center"/>
                    <w:rPr>
                      <w:rFonts w:eastAsiaTheme="minorEastAsia"/>
                      <w:color w:val="auto"/>
                      <w:szCs w:val="21"/>
                    </w:rPr>
                  </w:pPr>
                  <w:r>
                    <w:rPr>
                      <w:rFonts w:hint="eastAsia" w:eastAsiaTheme="minorEastAsia"/>
                      <w:color w:val="auto"/>
                      <w:szCs w:val="21"/>
                    </w:rPr>
                    <w:t>生产车间</w:t>
                  </w:r>
                </w:p>
              </w:tc>
            </w:tr>
            <w:tr w14:paraId="35D00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jc w:val="center"/>
              </w:trPr>
              <w:tc>
                <w:tcPr>
                  <w:tcW w:w="850" w:type="pct"/>
                  <w:tcBorders>
                    <w:top w:val="single" w:color="auto" w:sz="4" w:space="0"/>
                    <w:left w:val="nil"/>
                    <w:bottom w:val="single" w:color="auto" w:sz="4" w:space="0"/>
                    <w:right w:val="single" w:color="auto" w:sz="4" w:space="0"/>
                  </w:tcBorders>
                  <w:vAlign w:val="center"/>
                </w:tcPr>
                <w:p w14:paraId="1B5BCEFD">
                  <w:pPr>
                    <w:jc w:val="center"/>
                    <w:rPr>
                      <w:rFonts w:eastAsiaTheme="minorEastAsia"/>
                      <w:color w:val="auto"/>
                      <w:szCs w:val="21"/>
                    </w:rPr>
                  </w:pPr>
                  <w:r>
                    <w:rPr>
                      <w:rFonts w:eastAsiaTheme="minorEastAsia"/>
                      <w:color w:val="auto"/>
                      <w:szCs w:val="21"/>
                    </w:rPr>
                    <w:t>液压油</w:t>
                  </w:r>
                </w:p>
              </w:tc>
              <w:tc>
                <w:tcPr>
                  <w:tcW w:w="1220" w:type="pct"/>
                  <w:tcBorders>
                    <w:top w:val="single" w:color="auto" w:sz="4" w:space="0"/>
                    <w:left w:val="single" w:color="auto" w:sz="4" w:space="0"/>
                    <w:bottom w:val="single" w:color="auto" w:sz="4" w:space="0"/>
                    <w:right w:val="single" w:color="auto" w:sz="4" w:space="0"/>
                  </w:tcBorders>
                  <w:vAlign w:val="center"/>
                </w:tcPr>
                <w:p w14:paraId="41ADD579">
                  <w:pPr>
                    <w:widowControl/>
                    <w:adjustRightInd w:val="0"/>
                    <w:snapToGrid w:val="0"/>
                    <w:jc w:val="center"/>
                    <w:textAlignment w:val="center"/>
                    <w:rPr>
                      <w:rFonts w:eastAsiaTheme="minorEastAsia"/>
                      <w:color w:val="auto"/>
                      <w:szCs w:val="21"/>
                    </w:rPr>
                  </w:pPr>
                  <w:r>
                    <w:rPr>
                      <w:rFonts w:eastAsiaTheme="minorEastAsia"/>
                      <w:color w:val="auto"/>
                      <w:szCs w:val="21"/>
                    </w:rPr>
                    <w:t>油类物质</w:t>
                  </w:r>
                </w:p>
              </w:tc>
              <w:tc>
                <w:tcPr>
                  <w:tcW w:w="1581" w:type="pct"/>
                  <w:tcBorders>
                    <w:top w:val="single" w:color="auto" w:sz="4" w:space="0"/>
                    <w:left w:val="single" w:color="auto" w:sz="4" w:space="0"/>
                    <w:bottom w:val="single" w:color="auto" w:sz="4" w:space="0"/>
                    <w:right w:val="single" w:color="auto" w:sz="4" w:space="0"/>
                  </w:tcBorders>
                  <w:vAlign w:val="center"/>
                </w:tcPr>
                <w:p w14:paraId="3D4D3063">
                  <w:pPr>
                    <w:widowControl/>
                    <w:adjustRightInd w:val="0"/>
                    <w:snapToGrid w:val="0"/>
                    <w:jc w:val="center"/>
                    <w:rPr>
                      <w:rFonts w:eastAsiaTheme="minorEastAsia"/>
                      <w:color w:val="auto"/>
                      <w:szCs w:val="21"/>
                    </w:rPr>
                  </w:pPr>
                  <w:r>
                    <w:rPr>
                      <w:rFonts w:hint="eastAsia" w:eastAsiaTheme="minorEastAsia"/>
                      <w:color w:val="auto"/>
                      <w:szCs w:val="21"/>
                    </w:rPr>
                    <w:t>设备油箱内</w:t>
                  </w:r>
                </w:p>
              </w:tc>
              <w:tc>
                <w:tcPr>
                  <w:tcW w:w="892" w:type="pct"/>
                  <w:tcBorders>
                    <w:top w:val="single" w:color="auto" w:sz="4" w:space="0"/>
                    <w:left w:val="single" w:color="auto" w:sz="4" w:space="0"/>
                    <w:bottom w:val="single" w:color="auto" w:sz="4" w:space="0"/>
                    <w:right w:val="single" w:color="auto" w:sz="4" w:space="0"/>
                  </w:tcBorders>
                  <w:vAlign w:val="center"/>
                </w:tcPr>
                <w:p w14:paraId="68CBA7C3">
                  <w:pPr>
                    <w:widowControl/>
                    <w:adjustRightInd w:val="0"/>
                    <w:snapToGrid w:val="0"/>
                    <w:jc w:val="center"/>
                    <w:rPr>
                      <w:rFonts w:eastAsiaTheme="minorEastAsia"/>
                      <w:color w:val="auto"/>
                      <w:kern w:val="0"/>
                      <w:szCs w:val="21"/>
                    </w:rPr>
                  </w:pPr>
                  <w:r>
                    <w:rPr>
                      <w:rFonts w:hint="eastAsia" w:eastAsiaTheme="minorEastAsia"/>
                      <w:color w:val="auto"/>
                      <w:kern w:val="0"/>
                      <w:szCs w:val="21"/>
                    </w:rPr>
                    <w:t>0.2</w:t>
                  </w:r>
                </w:p>
              </w:tc>
              <w:tc>
                <w:tcPr>
                  <w:tcW w:w="455" w:type="pct"/>
                  <w:vMerge w:val="continue"/>
                  <w:tcBorders>
                    <w:left w:val="single" w:color="auto" w:sz="4" w:space="0"/>
                    <w:right w:val="nil"/>
                  </w:tcBorders>
                  <w:vAlign w:val="center"/>
                </w:tcPr>
                <w:p w14:paraId="02607E46">
                  <w:pPr>
                    <w:widowControl/>
                    <w:adjustRightInd w:val="0"/>
                    <w:snapToGrid w:val="0"/>
                    <w:jc w:val="center"/>
                    <w:rPr>
                      <w:rFonts w:eastAsiaTheme="minorEastAsia"/>
                      <w:color w:val="auto"/>
                      <w:szCs w:val="21"/>
                    </w:rPr>
                  </w:pPr>
                </w:p>
              </w:tc>
            </w:tr>
            <w:tr w14:paraId="22112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850" w:type="pct"/>
                  <w:tcBorders>
                    <w:top w:val="single" w:color="auto" w:sz="4" w:space="0"/>
                    <w:left w:val="nil"/>
                    <w:bottom w:val="single" w:color="auto" w:sz="4" w:space="0"/>
                    <w:right w:val="single" w:color="auto" w:sz="4" w:space="0"/>
                  </w:tcBorders>
                  <w:vAlign w:val="center"/>
                </w:tcPr>
                <w:p w14:paraId="043081AD">
                  <w:pPr>
                    <w:jc w:val="center"/>
                    <w:rPr>
                      <w:rFonts w:eastAsiaTheme="minorEastAsia"/>
                      <w:color w:val="auto"/>
                      <w:szCs w:val="21"/>
                    </w:rPr>
                  </w:pPr>
                  <w:r>
                    <w:rPr>
                      <w:rFonts w:hint="eastAsia" w:eastAsiaTheme="minorEastAsia"/>
                      <w:color w:val="auto"/>
                      <w:szCs w:val="21"/>
                    </w:rPr>
                    <w:t>脲醛胶</w:t>
                  </w:r>
                </w:p>
              </w:tc>
              <w:tc>
                <w:tcPr>
                  <w:tcW w:w="1220" w:type="pct"/>
                  <w:tcBorders>
                    <w:top w:val="single" w:color="auto" w:sz="4" w:space="0"/>
                    <w:left w:val="single" w:color="auto" w:sz="4" w:space="0"/>
                    <w:bottom w:val="single" w:color="auto" w:sz="4" w:space="0"/>
                    <w:right w:val="single" w:color="auto" w:sz="4" w:space="0"/>
                  </w:tcBorders>
                  <w:vAlign w:val="center"/>
                </w:tcPr>
                <w:p w14:paraId="3BE3D80E">
                  <w:pPr>
                    <w:widowControl/>
                    <w:adjustRightInd w:val="0"/>
                    <w:snapToGrid w:val="0"/>
                    <w:jc w:val="center"/>
                    <w:textAlignment w:val="center"/>
                    <w:rPr>
                      <w:rFonts w:eastAsiaTheme="minorEastAsia"/>
                      <w:color w:val="auto"/>
                      <w:szCs w:val="21"/>
                    </w:rPr>
                  </w:pPr>
                  <w:r>
                    <w:rPr>
                      <w:rFonts w:hint="eastAsia" w:eastAsiaTheme="minorEastAsia"/>
                      <w:color w:val="auto"/>
                      <w:szCs w:val="21"/>
                      <w:lang w:eastAsia="zh-CN"/>
                    </w:rPr>
                    <w:t>三聚氰胺</w:t>
                  </w:r>
                  <w:r>
                    <w:rPr>
                      <w:rFonts w:hint="eastAsia" w:eastAsiaTheme="minorEastAsia"/>
                      <w:color w:val="auto"/>
                      <w:szCs w:val="21"/>
                      <w:lang w:val="en-US" w:eastAsia="zh-CN"/>
                    </w:rPr>
                    <w:t>-</w:t>
                  </w:r>
                  <w:r>
                    <w:rPr>
                      <w:rFonts w:hint="eastAsia" w:eastAsiaTheme="minorEastAsia"/>
                      <w:color w:val="auto"/>
                      <w:szCs w:val="21"/>
                      <w:lang w:eastAsia="zh-CN"/>
                    </w:rPr>
                    <w:t>尿素</w:t>
                  </w:r>
                  <w:r>
                    <w:rPr>
                      <w:rFonts w:hint="eastAsia" w:eastAsiaTheme="minorEastAsia"/>
                      <w:color w:val="auto"/>
                      <w:szCs w:val="21"/>
                      <w:lang w:val="en-US" w:eastAsia="zh-CN"/>
                    </w:rPr>
                    <w:t>-甲醛树酯45%～55%、水45%～55%、游离甲醛≤0.3%</w:t>
                  </w:r>
                </w:p>
              </w:tc>
              <w:tc>
                <w:tcPr>
                  <w:tcW w:w="1581" w:type="pct"/>
                  <w:tcBorders>
                    <w:top w:val="single" w:color="auto" w:sz="4" w:space="0"/>
                    <w:left w:val="single" w:color="auto" w:sz="4" w:space="0"/>
                    <w:bottom w:val="single" w:color="auto" w:sz="4" w:space="0"/>
                    <w:right w:val="single" w:color="auto" w:sz="4" w:space="0"/>
                  </w:tcBorders>
                  <w:vAlign w:val="center"/>
                </w:tcPr>
                <w:p w14:paraId="25C770B5">
                  <w:pPr>
                    <w:widowControl/>
                    <w:adjustRightInd w:val="0"/>
                    <w:snapToGrid w:val="0"/>
                    <w:jc w:val="center"/>
                    <w:rPr>
                      <w:rFonts w:eastAsiaTheme="minorEastAsia"/>
                      <w:color w:val="auto"/>
                      <w:kern w:val="0"/>
                      <w:szCs w:val="21"/>
                    </w:rPr>
                  </w:pPr>
                  <w:r>
                    <w:rPr>
                      <w:rFonts w:hint="eastAsia" w:eastAsiaTheme="minorEastAsia"/>
                      <w:color w:val="auto"/>
                      <w:szCs w:val="21"/>
                    </w:rPr>
                    <w:t>1t</w:t>
                  </w:r>
                  <w:r>
                    <w:rPr>
                      <w:rFonts w:eastAsiaTheme="minorEastAsia"/>
                      <w:color w:val="auto"/>
                      <w:szCs w:val="21"/>
                    </w:rPr>
                    <w:t>桶，</w:t>
                  </w:r>
                  <w:r>
                    <w:rPr>
                      <w:rFonts w:hint="eastAsia" w:eastAsiaTheme="minorEastAsia"/>
                      <w:color w:val="auto"/>
                      <w:szCs w:val="21"/>
                    </w:rPr>
                    <w:t>10</w:t>
                  </w:r>
                  <w:r>
                    <w:rPr>
                      <w:rFonts w:eastAsiaTheme="minorEastAsia"/>
                      <w:color w:val="auto"/>
                      <w:szCs w:val="21"/>
                    </w:rPr>
                    <w:t>桶</w:t>
                  </w:r>
                </w:p>
              </w:tc>
              <w:tc>
                <w:tcPr>
                  <w:tcW w:w="892" w:type="pct"/>
                  <w:tcBorders>
                    <w:top w:val="single" w:color="auto" w:sz="4" w:space="0"/>
                    <w:left w:val="single" w:color="auto" w:sz="4" w:space="0"/>
                    <w:bottom w:val="single" w:color="auto" w:sz="4" w:space="0"/>
                    <w:right w:val="single" w:color="auto" w:sz="4" w:space="0"/>
                  </w:tcBorders>
                  <w:vAlign w:val="center"/>
                </w:tcPr>
                <w:p w14:paraId="5F6E2F67">
                  <w:pPr>
                    <w:widowControl/>
                    <w:adjustRightInd w:val="0"/>
                    <w:snapToGrid w:val="0"/>
                    <w:jc w:val="center"/>
                    <w:rPr>
                      <w:rFonts w:eastAsiaTheme="minorEastAsia"/>
                      <w:color w:val="auto"/>
                      <w:kern w:val="0"/>
                      <w:szCs w:val="21"/>
                    </w:rPr>
                  </w:pPr>
                  <w:r>
                    <w:rPr>
                      <w:rFonts w:hint="eastAsia" w:eastAsiaTheme="minorEastAsia"/>
                      <w:color w:val="auto"/>
                      <w:kern w:val="0"/>
                      <w:szCs w:val="21"/>
                    </w:rPr>
                    <w:t>1</w:t>
                  </w:r>
                </w:p>
              </w:tc>
              <w:tc>
                <w:tcPr>
                  <w:tcW w:w="455" w:type="pct"/>
                  <w:vMerge w:val="restart"/>
                  <w:tcBorders>
                    <w:left w:val="single" w:color="auto" w:sz="4" w:space="0"/>
                    <w:right w:val="nil"/>
                  </w:tcBorders>
                  <w:vAlign w:val="center"/>
                </w:tcPr>
                <w:p w14:paraId="7649EEF8">
                  <w:pPr>
                    <w:widowControl/>
                    <w:adjustRightInd w:val="0"/>
                    <w:snapToGrid w:val="0"/>
                    <w:jc w:val="center"/>
                    <w:rPr>
                      <w:rFonts w:eastAsiaTheme="minorEastAsia"/>
                      <w:color w:val="auto"/>
                      <w:szCs w:val="21"/>
                    </w:rPr>
                  </w:pPr>
                  <w:r>
                    <w:rPr>
                      <w:rFonts w:eastAsiaTheme="minorEastAsia"/>
                      <w:color w:val="auto"/>
                      <w:szCs w:val="21"/>
                    </w:rPr>
                    <w:t>化学品库</w:t>
                  </w:r>
                </w:p>
              </w:tc>
            </w:tr>
            <w:tr w14:paraId="71F7A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850" w:type="pct"/>
                  <w:tcBorders>
                    <w:top w:val="single" w:color="auto" w:sz="4" w:space="0"/>
                    <w:left w:val="nil"/>
                    <w:bottom w:val="single" w:color="auto" w:sz="4" w:space="0"/>
                    <w:right w:val="single" w:color="auto" w:sz="4" w:space="0"/>
                  </w:tcBorders>
                  <w:vAlign w:val="center"/>
                </w:tcPr>
                <w:p w14:paraId="485E2D27">
                  <w:pPr>
                    <w:jc w:val="center"/>
                    <w:rPr>
                      <w:rFonts w:eastAsiaTheme="minorEastAsia"/>
                      <w:color w:val="auto"/>
                      <w:szCs w:val="21"/>
                    </w:rPr>
                  </w:pPr>
                  <w:r>
                    <w:rPr>
                      <w:rFonts w:eastAsiaTheme="minorEastAsia"/>
                      <w:color w:val="auto"/>
                      <w:szCs w:val="21"/>
                    </w:rPr>
                    <w:t>液压油</w:t>
                  </w:r>
                </w:p>
              </w:tc>
              <w:tc>
                <w:tcPr>
                  <w:tcW w:w="1220" w:type="pct"/>
                  <w:tcBorders>
                    <w:top w:val="single" w:color="auto" w:sz="4" w:space="0"/>
                    <w:left w:val="single" w:color="auto" w:sz="4" w:space="0"/>
                    <w:bottom w:val="single" w:color="auto" w:sz="4" w:space="0"/>
                    <w:right w:val="single" w:color="auto" w:sz="4" w:space="0"/>
                  </w:tcBorders>
                  <w:vAlign w:val="center"/>
                </w:tcPr>
                <w:p w14:paraId="1AC4E628">
                  <w:pPr>
                    <w:widowControl/>
                    <w:adjustRightInd w:val="0"/>
                    <w:snapToGrid w:val="0"/>
                    <w:jc w:val="center"/>
                    <w:textAlignment w:val="center"/>
                    <w:rPr>
                      <w:rFonts w:eastAsiaTheme="minorEastAsia"/>
                      <w:color w:val="auto"/>
                      <w:szCs w:val="21"/>
                    </w:rPr>
                  </w:pPr>
                  <w:r>
                    <w:rPr>
                      <w:rFonts w:eastAsiaTheme="minorEastAsia"/>
                      <w:color w:val="auto"/>
                      <w:szCs w:val="21"/>
                    </w:rPr>
                    <w:t>油类物质</w:t>
                  </w:r>
                </w:p>
              </w:tc>
              <w:tc>
                <w:tcPr>
                  <w:tcW w:w="1581" w:type="pct"/>
                  <w:tcBorders>
                    <w:top w:val="single" w:color="auto" w:sz="4" w:space="0"/>
                    <w:left w:val="single" w:color="auto" w:sz="4" w:space="0"/>
                    <w:bottom w:val="single" w:color="auto" w:sz="4" w:space="0"/>
                    <w:right w:val="single" w:color="auto" w:sz="4" w:space="0"/>
                  </w:tcBorders>
                  <w:vAlign w:val="center"/>
                </w:tcPr>
                <w:p w14:paraId="749B8C3B">
                  <w:pPr>
                    <w:widowControl/>
                    <w:adjustRightInd w:val="0"/>
                    <w:snapToGrid w:val="0"/>
                    <w:jc w:val="center"/>
                    <w:rPr>
                      <w:rFonts w:eastAsiaTheme="minorEastAsia"/>
                      <w:color w:val="auto"/>
                      <w:kern w:val="0"/>
                      <w:szCs w:val="21"/>
                    </w:rPr>
                  </w:pPr>
                  <w:r>
                    <w:rPr>
                      <w:rFonts w:eastAsiaTheme="minorEastAsia"/>
                      <w:color w:val="auto"/>
                      <w:szCs w:val="21"/>
                    </w:rPr>
                    <w:t>200kg桶，</w:t>
                  </w:r>
                  <w:r>
                    <w:rPr>
                      <w:rFonts w:hint="eastAsia" w:eastAsiaTheme="minorEastAsia"/>
                      <w:color w:val="auto"/>
                      <w:szCs w:val="21"/>
                    </w:rPr>
                    <w:t>2</w:t>
                  </w:r>
                  <w:r>
                    <w:rPr>
                      <w:rFonts w:eastAsiaTheme="minorEastAsia"/>
                      <w:color w:val="auto"/>
                      <w:szCs w:val="21"/>
                    </w:rPr>
                    <w:t>桶</w:t>
                  </w:r>
                </w:p>
              </w:tc>
              <w:tc>
                <w:tcPr>
                  <w:tcW w:w="892" w:type="pct"/>
                  <w:tcBorders>
                    <w:top w:val="single" w:color="auto" w:sz="4" w:space="0"/>
                    <w:left w:val="single" w:color="auto" w:sz="4" w:space="0"/>
                    <w:bottom w:val="single" w:color="auto" w:sz="4" w:space="0"/>
                    <w:right w:val="single" w:color="auto" w:sz="4" w:space="0"/>
                  </w:tcBorders>
                  <w:vAlign w:val="center"/>
                </w:tcPr>
                <w:p w14:paraId="60A7FC7D">
                  <w:pPr>
                    <w:widowControl/>
                    <w:adjustRightInd w:val="0"/>
                    <w:snapToGrid w:val="0"/>
                    <w:jc w:val="center"/>
                    <w:rPr>
                      <w:rFonts w:eastAsiaTheme="minorEastAsia"/>
                      <w:color w:val="auto"/>
                      <w:kern w:val="0"/>
                      <w:szCs w:val="21"/>
                    </w:rPr>
                  </w:pPr>
                  <w:r>
                    <w:rPr>
                      <w:rFonts w:hint="eastAsia" w:eastAsiaTheme="minorEastAsia"/>
                      <w:color w:val="auto"/>
                      <w:kern w:val="0"/>
                      <w:szCs w:val="21"/>
                    </w:rPr>
                    <w:t>0.4</w:t>
                  </w:r>
                </w:p>
              </w:tc>
              <w:tc>
                <w:tcPr>
                  <w:tcW w:w="455" w:type="pct"/>
                  <w:vMerge w:val="continue"/>
                  <w:tcBorders>
                    <w:left w:val="single" w:color="auto" w:sz="4" w:space="0"/>
                    <w:right w:val="nil"/>
                  </w:tcBorders>
                  <w:vAlign w:val="center"/>
                </w:tcPr>
                <w:p w14:paraId="0944E968">
                  <w:pPr>
                    <w:widowControl/>
                    <w:jc w:val="left"/>
                    <w:rPr>
                      <w:rFonts w:eastAsiaTheme="minorEastAsia"/>
                      <w:color w:val="auto"/>
                      <w:szCs w:val="21"/>
                    </w:rPr>
                  </w:pPr>
                </w:p>
              </w:tc>
            </w:tr>
            <w:tr w14:paraId="0DEB5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850" w:type="pct"/>
                  <w:tcBorders>
                    <w:top w:val="single" w:color="auto" w:sz="4" w:space="0"/>
                    <w:left w:val="nil"/>
                    <w:bottom w:val="single" w:color="auto" w:sz="4" w:space="0"/>
                    <w:right w:val="single" w:color="auto" w:sz="4" w:space="0"/>
                  </w:tcBorders>
                  <w:vAlign w:val="center"/>
                </w:tcPr>
                <w:p w14:paraId="1B82170D">
                  <w:pPr>
                    <w:jc w:val="center"/>
                    <w:rPr>
                      <w:rFonts w:eastAsiaTheme="minorEastAsia"/>
                      <w:color w:val="auto"/>
                      <w:szCs w:val="21"/>
                    </w:rPr>
                  </w:pPr>
                  <w:r>
                    <w:rPr>
                      <w:rFonts w:hint="eastAsia" w:eastAsiaTheme="minorEastAsia"/>
                      <w:color w:val="auto"/>
                      <w:szCs w:val="21"/>
                    </w:rPr>
                    <w:t>废活性炭</w:t>
                  </w:r>
                </w:p>
              </w:tc>
              <w:tc>
                <w:tcPr>
                  <w:tcW w:w="1220" w:type="pct"/>
                  <w:tcBorders>
                    <w:top w:val="single" w:color="auto" w:sz="4" w:space="0"/>
                    <w:left w:val="single" w:color="auto" w:sz="4" w:space="0"/>
                    <w:bottom w:val="single" w:color="auto" w:sz="4" w:space="0"/>
                    <w:right w:val="single" w:color="auto" w:sz="4" w:space="0"/>
                  </w:tcBorders>
                  <w:vAlign w:val="center"/>
                </w:tcPr>
                <w:p w14:paraId="45EB5BC3">
                  <w:pPr>
                    <w:widowControl/>
                    <w:adjustRightInd w:val="0"/>
                    <w:snapToGrid w:val="0"/>
                    <w:jc w:val="center"/>
                    <w:textAlignment w:val="center"/>
                    <w:rPr>
                      <w:rFonts w:eastAsiaTheme="minorEastAsia"/>
                      <w:color w:val="auto"/>
                      <w:szCs w:val="21"/>
                    </w:rPr>
                  </w:pPr>
                  <w:r>
                    <w:rPr>
                      <w:rFonts w:hint="eastAsia" w:eastAsiaTheme="minorEastAsia"/>
                      <w:color w:val="auto"/>
                      <w:szCs w:val="21"/>
                    </w:rPr>
                    <w:t>活性炭</w:t>
                  </w:r>
                </w:p>
              </w:tc>
              <w:tc>
                <w:tcPr>
                  <w:tcW w:w="1581" w:type="pct"/>
                  <w:tcBorders>
                    <w:top w:val="single" w:color="auto" w:sz="4" w:space="0"/>
                    <w:left w:val="single" w:color="auto" w:sz="4" w:space="0"/>
                    <w:bottom w:val="single" w:color="auto" w:sz="4" w:space="0"/>
                    <w:right w:val="single" w:color="auto" w:sz="4" w:space="0"/>
                  </w:tcBorders>
                  <w:vAlign w:val="center"/>
                </w:tcPr>
                <w:p w14:paraId="2EE8F3D6">
                  <w:pPr>
                    <w:widowControl/>
                    <w:adjustRightInd w:val="0"/>
                    <w:snapToGrid w:val="0"/>
                    <w:jc w:val="center"/>
                    <w:rPr>
                      <w:rFonts w:eastAsiaTheme="minorEastAsia"/>
                      <w:color w:val="auto"/>
                      <w:szCs w:val="21"/>
                    </w:rPr>
                  </w:pPr>
                  <w:r>
                    <w:rPr>
                      <w:rFonts w:hint="eastAsia" w:eastAsiaTheme="minorEastAsia"/>
                      <w:color w:val="auto"/>
                      <w:szCs w:val="21"/>
                    </w:rPr>
                    <w:t>/</w:t>
                  </w:r>
                </w:p>
              </w:tc>
              <w:tc>
                <w:tcPr>
                  <w:tcW w:w="892" w:type="pct"/>
                  <w:tcBorders>
                    <w:top w:val="single" w:color="auto" w:sz="4" w:space="0"/>
                    <w:left w:val="single" w:color="auto" w:sz="4" w:space="0"/>
                    <w:bottom w:val="single" w:color="auto" w:sz="4" w:space="0"/>
                    <w:right w:val="single" w:color="auto" w:sz="4" w:space="0"/>
                  </w:tcBorders>
                  <w:vAlign w:val="center"/>
                </w:tcPr>
                <w:p w14:paraId="2AA5E4D6">
                  <w:pPr>
                    <w:widowControl/>
                    <w:adjustRightInd w:val="0"/>
                    <w:snapToGrid w:val="0"/>
                    <w:jc w:val="center"/>
                    <w:rPr>
                      <w:rFonts w:eastAsiaTheme="minorEastAsia"/>
                      <w:color w:val="auto"/>
                      <w:kern w:val="0"/>
                      <w:szCs w:val="21"/>
                    </w:rPr>
                  </w:pPr>
                  <w:r>
                    <w:rPr>
                      <w:rFonts w:hint="eastAsia" w:eastAsiaTheme="minorEastAsia"/>
                      <w:color w:val="auto"/>
                      <w:kern w:val="0"/>
                      <w:szCs w:val="21"/>
                    </w:rPr>
                    <w:t>0.46</w:t>
                  </w:r>
                </w:p>
              </w:tc>
              <w:tc>
                <w:tcPr>
                  <w:tcW w:w="455" w:type="pct"/>
                  <w:vMerge w:val="restart"/>
                  <w:tcBorders>
                    <w:left w:val="single" w:color="auto" w:sz="4" w:space="0"/>
                    <w:right w:val="nil"/>
                  </w:tcBorders>
                  <w:vAlign w:val="center"/>
                </w:tcPr>
                <w:p w14:paraId="24A49837">
                  <w:pPr>
                    <w:widowControl/>
                    <w:jc w:val="center"/>
                    <w:rPr>
                      <w:rFonts w:hint="eastAsia" w:eastAsiaTheme="minorEastAsia"/>
                      <w:color w:val="auto"/>
                      <w:szCs w:val="21"/>
                      <w:lang w:eastAsia="zh-CN"/>
                    </w:rPr>
                  </w:pPr>
                  <w:r>
                    <w:rPr>
                      <w:rFonts w:hint="eastAsia" w:eastAsiaTheme="minorEastAsia"/>
                      <w:color w:val="auto"/>
                      <w:szCs w:val="21"/>
                      <w:lang w:eastAsia="zh-CN"/>
                    </w:rPr>
                    <w:t>危废仓库</w:t>
                  </w:r>
                </w:p>
              </w:tc>
            </w:tr>
            <w:tr w14:paraId="6995A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850" w:type="pct"/>
                  <w:tcBorders>
                    <w:top w:val="single" w:color="auto" w:sz="4" w:space="0"/>
                    <w:left w:val="nil"/>
                    <w:bottom w:val="single" w:color="auto" w:sz="4" w:space="0"/>
                    <w:right w:val="single" w:color="auto" w:sz="4" w:space="0"/>
                  </w:tcBorders>
                  <w:vAlign w:val="center"/>
                </w:tcPr>
                <w:p w14:paraId="2A9FEC3A">
                  <w:pPr>
                    <w:jc w:val="center"/>
                    <w:rPr>
                      <w:rFonts w:eastAsiaTheme="minorEastAsia"/>
                      <w:color w:val="auto"/>
                      <w:szCs w:val="21"/>
                    </w:rPr>
                  </w:pPr>
                  <w:r>
                    <w:rPr>
                      <w:rFonts w:hint="eastAsia" w:eastAsiaTheme="minorEastAsia"/>
                      <w:color w:val="auto"/>
                      <w:szCs w:val="21"/>
                    </w:rPr>
                    <w:t>废液压油</w:t>
                  </w:r>
                </w:p>
              </w:tc>
              <w:tc>
                <w:tcPr>
                  <w:tcW w:w="1220" w:type="pct"/>
                  <w:tcBorders>
                    <w:top w:val="single" w:color="auto" w:sz="4" w:space="0"/>
                    <w:left w:val="single" w:color="auto" w:sz="4" w:space="0"/>
                    <w:bottom w:val="single" w:color="auto" w:sz="4" w:space="0"/>
                    <w:right w:val="single" w:color="auto" w:sz="4" w:space="0"/>
                  </w:tcBorders>
                  <w:vAlign w:val="center"/>
                </w:tcPr>
                <w:p w14:paraId="0B99787A">
                  <w:pPr>
                    <w:widowControl/>
                    <w:adjustRightInd w:val="0"/>
                    <w:snapToGrid w:val="0"/>
                    <w:jc w:val="center"/>
                    <w:textAlignment w:val="center"/>
                    <w:rPr>
                      <w:rFonts w:eastAsiaTheme="minorEastAsia"/>
                      <w:color w:val="auto"/>
                      <w:szCs w:val="21"/>
                    </w:rPr>
                  </w:pPr>
                  <w:r>
                    <w:rPr>
                      <w:rFonts w:hint="eastAsia" w:eastAsiaTheme="minorEastAsia"/>
                      <w:color w:val="auto"/>
                      <w:szCs w:val="21"/>
                    </w:rPr>
                    <w:t>液压油</w:t>
                  </w:r>
                </w:p>
              </w:tc>
              <w:tc>
                <w:tcPr>
                  <w:tcW w:w="1581" w:type="pct"/>
                  <w:tcBorders>
                    <w:top w:val="single" w:color="auto" w:sz="4" w:space="0"/>
                    <w:left w:val="single" w:color="auto" w:sz="4" w:space="0"/>
                    <w:bottom w:val="single" w:color="auto" w:sz="4" w:space="0"/>
                    <w:right w:val="single" w:color="auto" w:sz="4" w:space="0"/>
                  </w:tcBorders>
                  <w:vAlign w:val="center"/>
                </w:tcPr>
                <w:p w14:paraId="66A60A9F">
                  <w:pPr>
                    <w:widowControl/>
                    <w:adjustRightInd w:val="0"/>
                    <w:snapToGrid w:val="0"/>
                    <w:jc w:val="center"/>
                    <w:rPr>
                      <w:rFonts w:eastAsiaTheme="minorEastAsia"/>
                      <w:color w:val="auto"/>
                      <w:szCs w:val="21"/>
                    </w:rPr>
                  </w:pPr>
                  <w:r>
                    <w:rPr>
                      <w:rFonts w:hint="eastAsia" w:eastAsiaTheme="minorEastAsia"/>
                      <w:color w:val="auto"/>
                      <w:szCs w:val="21"/>
                    </w:rPr>
                    <w:t>桶装</w:t>
                  </w:r>
                </w:p>
              </w:tc>
              <w:tc>
                <w:tcPr>
                  <w:tcW w:w="892" w:type="pct"/>
                  <w:tcBorders>
                    <w:top w:val="single" w:color="auto" w:sz="4" w:space="0"/>
                    <w:left w:val="single" w:color="auto" w:sz="4" w:space="0"/>
                    <w:bottom w:val="single" w:color="auto" w:sz="4" w:space="0"/>
                    <w:right w:val="single" w:color="auto" w:sz="4" w:space="0"/>
                  </w:tcBorders>
                  <w:vAlign w:val="center"/>
                </w:tcPr>
                <w:p w14:paraId="467E1381">
                  <w:pPr>
                    <w:widowControl/>
                    <w:adjustRightInd w:val="0"/>
                    <w:snapToGrid w:val="0"/>
                    <w:jc w:val="center"/>
                    <w:rPr>
                      <w:rFonts w:eastAsiaTheme="minorEastAsia"/>
                      <w:color w:val="auto"/>
                      <w:kern w:val="0"/>
                      <w:szCs w:val="21"/>
                    </w:rPr>
                  </w:pPr>
                  <w:r>
                    <w:rPr>
                      <w:rFonts w:hint="eastAsia" w:eastAsiaTheme="minorEastAsia"/>
                      <w:color w:val="auto"/>
                      <w:kern w:val="0"/>
                      <w:szCs w:val="21"/>
                    </w:rPr>
                    <w:t>0.2</w:t>
                  </w:r>
                </w:p>
              </w:tc>
              <w:tc>
                <w:tcPr>
                  <w:tcW w:w="455" w:type="pct"/>
                  <w:vMerge w:val="continue"/>
                  <w:tcBorders>
                    <w:left w:val="single" w:color="auto" w:sz="4" w:space="0"/>
                    <w:right w:val="nil"/>
                  </w:tcBorders>
                  <w:vAlign w:val="center"/>
                </w:tcPr>
                <w:p w14:paraId="171DDD3A">
                  <w:pPr>
                    <w:widowControl/>
                    <w:jc w:val="left"/>
                    <w:rPr>
                      <w:rFonts w:eastAsiaTheme="minorEastAsia"/>
                      <w:color w:val="auto"/>
                      <w:szCs w:val="21"/>
                    </w:rPr>
                  </w:pPr>
                </w:p>
              </w:tc>
            </w:tr>
            <w:tr w14:paraId="2490D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50" w:type="pct"/>
                  <w:tcBorders>
                    <w:top w:val="single" w:color="auto" w:sz="4" w:space="0"/>
                    <w:left w:val="nil"/>
                    <w:bottom w:val="single" w:color="auto" w:sz="4" w:space="0"/>
                    <w:right w:val="single" w:color="auto" w:sz="4" w:space="0"/>
                  </w:tcBorders>
                  <w:vAlign w:val="center"/>
                </w:tcPr>
                <w:p w14:paraId="03286C41">
                  <w:pPr>
                    <w:jc w:val="center"/>
                    <w:rPr>
                      <w:rFonts w:eastAsiaTheme="minorEastAsia"/>
                      <w:color w:val="auto"/>
                      <w:szCs w:val="21"/>
                    </w:rPr>
                  </w:pPr>
                  <w:r>
                    <w:rPr>
                      <w:rFonts w:hint="eastAsia" w:eastAsiaTheme="minorEastAsia"/>
                      <w:color w:val="auto"/>
                      <w:szCs w:val="21"/>
                    </w:rPr>
                    <w:t>废油桶</w:t>
                  </w:r>
                </w:p>
              </w:tc>
              <w:tc>
                <w:tcPr>
                  <w:tcW w:w="1220" w:type="pct"/>
                  <w:tcBorders>
                    <w:top w:val="single" w:color="auto" w:sz="4" w:space="0"/>
                    <w:left w:val="single" w:color="auto" w:sz="4" w:space="0"/>
                    <w:bottom w:val="single" w:color="auto" w:sz="4" w:space="0"/>
                    <w:right w:val="single" w:color="auto" w:sz="4" w:space="0"/>
                  </w:tcBorders>
                  <w:vAlign w:val="center"/>
                </w:tcPr>
                <w:p w14:paraId="129111B8">
                  <w:pPr>
                    <w:widowControl/>
                    <w:adjustRightInd w:val="0"/>
                    <w:snapToGrid w:val="0"/>
                    <w:jc w:val="center"/>
                    <w:textAlignment w:val="center"/>
                    <w:rPr>
                      <w:rFonts w:eastAsiaTheme="minorEastAsia"/>
                      <w:color w:val="auto"/>
                      <w:szCs w:val="21"/>
                    </w:rPr>
                  </w:pPr>
                  <w:r>
                    <w:rPr>
                      <w:rFonts w:hint="eastAsia" w:eastAsiaTheme="minorEastAsia"/>
                      <w:color w:val="auto"/>
                      <w:szCs w:val="21"/>
                    </w:rPr>
                    <w:t>液压油</w:t>
                  </w:r>
                </w:p>
              </w:tc>
              <w:tc>
                <w:tcPr>
                  <w:tcW w:w="1581" w:type="pct"/>
                  <w:tcBorders>
                    <w:top w:val="single" w:color="auto" w:sz="4" w:space="0"/>
                    <w:left w:val="single" w:color="auto" w:sz="4" w:space="0"/>
                    <w:bottom w:val="single" w:color="auto" w:sz="4" w:space="0"/>
                    <w:right w:val="single" w:color="auto" w:sz="4" w:space="0"/>
                  </w:tcBorders>
                  <w:vAlign w:val="center"/>
                </w:tcPr>
                <w:p w14:paraId="77D8871E">
                  <w:pPr>
                    <w:widowControl/>
                    <w:adjustRightInd w:val="0"/>
                    <w:snapToGrid w:val="0"/>
                    <w:jc w:val="center"/>
                    <w:rPr>
                      <w:rFonts w:eastAsiaTheme="minorEastAsia"/>
                      <w:color w:val="auto"/>
                      <w:szCs w:val="21"/>
                    </w:rPr>
                  </w:pPr>
                  <w:r>
                    <w:rPr>
                      <w:rFonts w:hint="eastAsia" w:eastAsiaTheme="minorEastAsia"/>
                      <w:color w:val="auto"/>
                      <w:szCs w:val="21"/>
                    </w:rPr>
                    <w:t>桶装</w:t>
                  </w:r>
                </w:p>
              </w:tc>
              <w:tc>
                <w:tcPr>
                  <w:tcW w:w="892" w:type="pct"/>
                  <w:tcBorders>
                    <w:top w:val="single" w:color="auto" w:sz="4" w:space="0"/>
                    <w:left w:val="single" w:color="auto" w:sz="4" w:space="0"/>
                    <w:bottom w:val="single" w:color="auto" w:sz="4" w:space="0"/>
                    <w:right w:val="single" w:color="auto" w:sz="4" w:space="0"/>
                  </w:tcBorders>
                  <w:vAlign w:val="center"/>
                </w:tcPr>
                <w:p w14:paraId="2CDDD84A">
                  <w:pPr>
                    <w:widowControl/>
                    <w:adjustRightInd w:val="0"/>
                    <w:snapToGrid w:val="0"/>
                    <w:jc w:val="center"/>
                    <w:rPr>
                      <w:rFonts w:eastAsiaTheme="minorEastAsia"/>
                      <w:color w:val="auto"/>
                      <w:kern w:val="0"/>
                      <w:szCs w:val="21"/>
                    </w:rPr>
                  </w:pPr>
                  <w:r>
                    <w:rPr>
                      <w:rFonts w:hint="eastAsia" w:eastAsiaTheme="minorEastAsia"/>
                      <w:color w:val="auto"/>
                      <w:kern w:val="0"/>
                      <w:szCs w:val="21"/>
                    </w:rPr>
                    <w:t>0.0375</w:t>
                  </w:r>
                </w:p>
              </w:tc>
              <w:tc>
                <w:tcPr>
                  <w:tcW w:w="455" w:type="pct"/>
                  <w:vMerge w:val="continue"/>
                  <w:tcBorders>
                    <w:left w:val="single" w:color="auto" w:sz="4" w:space="0"/>
                    <w:right w:val="nil"/>
                  </w:tcBorders>
                  <w:vAlign w:val="center"/>
                </w:tcPr>
                <w:p w14:paraId="6A3B6498">
                  <w:pPr>
                    <w:widowControl/>
                    <w:jc w:val="left"/>
                    <w:rPr>
                      <w:rFonts w:eastAsiaTheme="minorEastAsia"/>
                      <w:color w:val="auto"/>
                      <w:szCs w:val="21"/>
                    </w:rPr>
                  </w:pPr>
                </w:p>
              </w:tc>
            </w:tr>
            <w:tr w14:paraId="781B1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50" w:type="pct"/>
                  <w:tcBorders>
                    <w:top w:val="single" w:color="auto" w:sz="4" w:space="0"/>
                    <w:left w:val="nil"/>
                    <w:bottom w:val="single" w:color="auto" w:sz="4" w:space="0"/>
                    <w:right w:val="single" w:color="auto" w:sz="4" w:space="0"/>
                  </w:tcBorders>
                  <w:vAlign w:val="center"/>
                </w:tcPr>
                <w:p w14:paraId="0FCBAFCB">
                  <w:pPr>
                    <w:jc w:val="center"/>
                    <w:rPr>
                      <w:rFonts w:hint="eastAsia" w:eastAsiaTheme="minorEastAsia"/>
                      <w:color w:val="auto"/>
                      <w:szCs w:val="21"/>
                      <w:lang w:eastAsia="zh-CN"/>
                    </w:rPr>
                  </w:pPr>
                  <w:r>
                    <w:rPr>
                      <w:rFonts w:hint="eastAsia" w:eastAsiaTheme="minorEastAsia"/>
                      <w:color w:val="auto"/>
                      <w:szCs w:val="21"/>
                      <w:lang w:eastAsia="zh-CN"/>
                    </w:rPr>
                    <w:t>清洗废水</w:t>
                  </w:r>
                </w:p>
              </w:tc>
              <w:tc>
                <w:tcPr>
                  <w:tcW w:w="1220" w:type="pct"/>
                  <w:tcBorders>
                    <w:top w:val="single" w:color="auto" w:sz="4" w:space="0"/>
                    <w:left w:val="single" w:color="auto" w:sz="4" w:space="0"/>
                    <w:bottom w:val="single" w:color="auto" w:sz="4" w:space="0"/>
                    <w:right w:val="single" w:color="auto" w:sz="4" w:space="0"/>
                  </w:tcBorders>
                  <w:vAlign w:val="center"/>
                </w:tcPr>
                <w:p w14:paraId="3582613F">
                  <w:pPr>
                    <w:widowControl/>
                    <w:adjustRightInd w:val="0"/>
                    <w:snapToGrid w:val="0"/>
                    <w:jc w:val="center"/>
                    <w:textAlignment w:val="center"/>
                    <w:rPr>
                      <w:rFonts w:hint="eastAsia" w:eastAsiaTheme="minorEastAsia"/>
                      <w:color w:val="auto"/>
                      <w:szCs w:val="21"/>
                      <w:lang w:eastAsia="zh-CN"/>
                    </w:rPr>
                  </w:pPr>
                  <w:r>
                    <w:rPr>
                      <w:rFonts w:hint="eastAsia" w:eastAsiaTheme="minorEastAsia"/>
                      <w:color w:val="auto"/>
                      <w:szCs w:val="21"/>
                      <w:lang w:eastAsia="zh-CN"/>
                    </w:rPr>
                    <w:t>胶</w:t>
                  </w:r>
                </w:p>
              </w:tc>
              <w:tc>
                <w:tcPr>
                  <w:tcW w:w="1581" w:type="pct"/>
                  <w:tcBorders>
                    <w:top w:val="single" w:color="auto" w:sz="4" w:space="0"/>
                    <w:left w:val="single" w:color="auto" w:sz="4" w:space="0"/>
                    <w:bottom w:val="single" w:color="auto" w:sz="4" w:space="0"/>
                    <w:right w:val="single" w:color="auto" w:sz="4" w:space="0"/>
                  </w:tcBorders>
                  <w:vAlign w:val="center"/>
                </w:tcPr>
                <w:p w14:paraId="670CE08F">
                  <w:pPr>
                    <w:widowControl/>
                    <w:adjustRightInd w:val="0"/>
                    <w:snapToGrid w:val="0"/>
                    <w:jc w:val="center"/>
                    <w:rPr>
                      <w:rFonts w:hint="eastAsia" w:eastAsiaTheme="minorEastAsia"/>
                      <w:color w:val="auto"/>
                      <w:szCs w:val="21"/>
                    </w:rPr>
                  </w:pPr>
                  <w:r>
                    <w:rPr>
                      <w:rFonts w:hint="eastAsia" w:eastAsiaTheme="minorEastAsia"/>
                      <w:color w:val="auto"/>
                      <w:szCs w:val="21"/>
                    </w:rPr>
                    <w:t>桶装</w:t>
                  </w:r>
                </w:p>
              </w:tc>
              <w:tc>
                <w:tcPr>
                  <w:tcW w:w="892" w:type="pct"/>
                  <w:tcBorders>
                    <w:top w:val="single" w:color="auto" w:sz="4" w:space="0"/>
                    <w:left w:val="single" w:color="auto" w:sz="4" w:space="0"/>
                    <w:bottom w:val="single" w:color="auto" w:sz="4" w:space="0"/>
                    <w:right w:val="single" w:color="auto" w:sz="4" w:space="0"/>
                  </w:tcBorders>
                  <w:vAlign w:val="center"/>
                </w:tcPr>
                <w:p w14:paraId="1A225F58">
                  <w:pPr>
                    <w:widowControl/>
                    <w:adjustRightInd w:val="0"/>
                    <w:snapToGrid w:val="0"/>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3</w:t>
                  </w:r>
                </w:p>
              </w:tc>
              <w:tc>
                <w:tcPr>
                  <w:tcW w:w="455" w:type="pct"/>
                  <w:vMerge w:val="continue"/>
                  <w:tcBorders>
                    <w:left w:val="single" w:color="auto" w:sz="4" w:space="0"/>
                    <w:right w:val="nil"/>
                  </w:tcBorders>
                  <w:vAlign w:val="center"/>
                </w:tcPr>
                <w:p w14:paraId="66479CAA">
                  <w:pPr>
                    <w:widowControl/>
                    <w:jc w:val="left"/>
                    <w:rPr>
                      <w:rFonts w:eastAsiaTheme="minorEastAsia"/>
                      <w:color w:val="auto"/>
                      <w:szCs w:val="21"/>
                    </w:rPr>
                  </w:pPr>
                </w:p>
              </w:tc>
            </w:tr>
            <w:tr w14:paraId="7B93C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50" w:type="pct"/>
                  <w:tcBorders>
                    <w:top w:val="single" w:color="auto" w:sz="4" w:space="0"/>
                    <w:left w:val="nil"/>
                    <w:bottom w:val="single" w:color="auto" w:sz="4" w:space="0"/>
                    <w:right w:val="single" w:color="auto" w:sz="4" w:space="0"/>
                  </w:tcBorders>
                  <w:vAlign w:val="center"/>
                </w:tcPr>
                <w:p w14:paraId="7ED83A37">
                  <w:pPr>
                    <w:jc w:val="center"/>
                    <w:rPr>
                      <w:rFonts w:hint="eastAsia" w:eastAsiaTheme="minorEastAsia"/>
                      <w:color w:val="auto"/>
                      <w:szCs w:val="21"/>
                      <w:lang w:eastAsia="zh-CN"/>
                    </w:rPr>
                  </w:pPr>
                  <w:r>
                    <w:rPr>
                      <w:rFonts w:hint="eastAsia" w:eastAsiaTheme="minorEastAsia"/>
                      <w:color w:val="auto"/>
                      <w:szCs w:val="21"/>
                      <w:lang w:eastAsia="zh-CN"/>
                    </w:rPr>
                    <w:t>水喷淋清洗废水</w:t>
                  </w:r>
                </w:p>
              </w:tc>
              <w:tc>
                <w:tcPr>
                  <w:tcW w:w="1220" w:type="pct"/>
                  <w:tcBorders>
                    <w:top w:val="single" w:color="auto" w:sz="4" w:space="0"/>
                    <w:left w:val="single" w:color="auto" w:sz="4" w:space="0"/>
                    <w:bottom w:val="single" w:color="auto" w:sz="4" w:space="0"/>
                    <w:right w:val="single" w:color="auto" w:sz="4" w:space="0"/>
                  </w:tcBorders>
                  <w:vAlign w:val="center"/>
                </w:tcPr>
                <w:p w14:paraId="3AA5E19B">
                  <w:pPr>
                    <w:widowControl/>
                    <w:adjustRightInd w:val="0"/>
                    <w:snapToGrid w:val="0"/>
                    <w:jc w:val="center"/>
                    <w:textAlignment w:val="center"/>
                    <w:rPr>
                      <w:rFonts w:hint="eastAsia" w:eastAsiaTheme="minorEastAsia"/>
                      <w:color w:val="auto"/>
                      <w:szCs w:val="21"/>
                      <w:lang w:eastAsia="zh-CN"/>
                    </w:rPr>
                  </w:pPr>
                  <w:r>
                    <w:rPr>
                      <w:rFonts w:hint="eastAsia" w:eastAsiaTheme="minorEastAsia"/>
                      <w:color w:val="auto"/>
                      <w:szCs w:val="21"/>
                      <w:lang w:eastAsia="zh-CN"/>
                    </w:rPr>
                    <w:t>氨</w:t>
                  </w:r>
                </w:p>
              </w:tc>
              <w:tc>
                <w:tcPr>
                  <w:tcW w:w="1581" w:type="pct"/>
                  <w:tcBorders>
                    <w:top w:val="single" w:color="auto" w:sz="4" w:space="0"/>
                    <w:left w:val="single" w:color="auto" w:sz="4" w:space="0"/>
                    <w:bottom w:val="single" w:color="auto" w:sz="4" w:space="0"/>
                    <w:right w:val="single" w:color="auto" w:sz="4" w:space="0"/>
                  </w:tcBorders>
                  <w:vAlign w:val="center"/>
                </w:tcPr>
                <w:p w14:paraId="435E0EEA">
                  <w:pPr>
                    <w:widowControl/>
                    <w:adjustRightInd w:val="0"/>
                    <w:snapToGrid w:val="0"/>
                    <w:jc w:val="center"/>
                    <w:rPr>
                      <w:rFonts w:hint="eastAsia" w:eastAsiaTheme="minorEastAsia"/>
                      <w:color w:val="auto"/>
                      <w:szCs w:val="21"/>
                    </w:rPr>
                  </w:pPr>
                  <w:r>
                    <w:rPr>
                      <w:rFonts w:hint="eastAsia" w:eastAsiaTheme="minorEastAsia"/>
                      <w:color w:val="auto"/>
                      <w:szCs w:val="21"/>
                    </w:rPr>
                    <w:t>桶装</w:t>
                  </w:r>
                </w:p>
              </w:tc>
              <w:tc>
                <w:tcPr>
                  <w:tcW w:w="892" w:type="pct"/>
                  <w:tcBorders>
                    <w:top w:val="single" w:color="auto" w:sz="4" w:space="0"/>
                    <w:left w:val="single" w:color="auto" w:sz="4" w:space="0"/>
                    <w:bottom w:val="single" w:color="auto" w:sz="4" w:space="0"/>
                    <w:right w:val="single" w:color="auto" w:sz="4" w:space="0"/>
                  </w:tcBorders>
                  <w:vAlign w:val="center"/>
                </w:tcPr>
                <w:p w14:paraId="734DF226">
                  <w:pPr>
                    <w:widowControl/>
                    <w:adjustRightInd w:val="0"/>
                    <w:snapToGrid w:val="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5</w:t>
                  </w:r>
                </w:p>
              </w:tc>
              <w:tc>
                <w:tcPr>
                  <w:tcW w:w="455" w:type="pct"/>
                  <w:vMerge w:val="continue"/>
                  <w:tcBorders>
                    <w:left w:val="single" w:color="auto" w:sz="4" w:space="0"/>
                    <w:right w:val="nil"/>
                  </w:tcBorders>
                  <w:vAlign w:val="center"/>
                </w:tcPr>
                <w:p w14:paraId="72D629D9">
                  <w:pPr>
                    <w:widowControl/>
                    <w:jc w:val="left"/>
                    <w:rPr>
                      <w:rFonts w:eastAsiaTheme="minorEastAsia"/>
                      <w:color w:val="auto"/>
                      <w:szCs w:val="21"/>
                    </w:rPr>
                  </w:pPr>
                </w:p>
              </w:tc>
            </w:tr>
            <w:tr w14:paraId="0676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50" w:type="pct"/>
                  <w:tcBorders>
                    <w:top w:val="single" w:color="auto" w:sz="4" w:space="0"/>
                    <w:left w:val="nil"/>
                    <w:right w:val="single" w:color="auto" w:sz="4" w:space="0"/>
                  </w:tcBorders>
                  <w:vAlign w:val="center"/>
                </w:tcPr>
                <w:p w14:paraId="13814327">
                  <w:pPr>
                    <w:jc w:val="center"/>
                    <w:rPr>
                      <w:rFonts w:eastAsiaTheme="minorEastAsia"/>
                      <w:color w:val="auto"/>
                      <w:szCs w:val="21"/>
                    </w:rPr>
                  </w:pPr>
                  <w:r>
                    <w:rPr>
                      <w:rFonts w:eastAsiaTheme="minorEastAsia"/>
                      <w:color w:val="auto"/>
                      <w:szCs w:val="21"/>
                    </w:rPr>
                    <w:t>含油抹布和手套</w:t>
                  </w:r>
                </w:p>
              </w:tc>
              <w:tc>
                <w:tcPr>
                  <w:tcW w:w="1220" w:type="pct"/>
                  <w:tcBorders>
                    <w:top w:val="single" w:color="auto" w:sz="4" w:space="0"/>
                    <w:left w:val="single" w:color="auto" w:sz="4" w:space="0"/>
                    <w:right w:val="single" w:color="auto" w:sz="4" w:space="0"/>
                  </w:tcBorders>
                  <w:vAlign w:val="center"/>
                </w:tcPr>
                <w:p w14:paraId="2FC2A76E">
                  <w:pPr>
                    <w:jc w:val="center"/>
                    <w:rPr>
                      <w:rFonts w:eastAsiaTheme="minorEastAsia"/>
                      <w:color w:val="auto"/>
                      <w:szCs w:val="21"/>
                    </w:rPr>
                  </w:pPr>
                  <w:r>
                    <w:rPr>
                      <w:rFonts w:eastAsiaTheme="minorEastAsia"/>
                      <w:color w:val="auto"/>
                      <w:szCs w:val="21"/>
                    </w:rPr>
                    <w:t>油类物质</w:t>
                  </w:r>
                </w:p>
              </w:tc>
              <w:tc>
                <w:tcPr>
                  <w:tcW w:w="1581" w:type="pct"/>
                  <w:tcBorders>
                    <w:top w:val="single" w:color="auto" w:sz="4" w:space="0"/>
                    <w:left w:val="single" w:color="auto" w:sz="4" w:space="0"/>
                    <w:right w:val="single" w:color="auto" w:sz="4" w:space="0"/>
                  </w:tcBorders>
                  <w:vAlign w:val="center"/>
                </w:tcPr>
                <w:p w14:paraId="14E3AF40">
                  <w:pPr>
                    <w:widowControl/>
                    <w:adjustRightInd w:val="0"/>
                    <w:snapToGrid w:val="0"/>
                    <w:jc w:val="center"/>
                    <w:rPr>
                      <w:rFonts w:eastAsiaTheme="minorEastAsia"/>
                      <w:color w:val="auto"/>
                      <w:szCs w:val="21"/>
                    </w:rPr>
                  </w:pPr>
                  <w:r>
                    <w:rPr>
                      <w:rFonts w:hint="eastAsia" w:eastAsiaTheme="minorEastAsia"/>
                      <w:color w:val="auto"/>
                      <w:szCs w:val="21"/>
                    </w:rPr>
                    <w:t>/</w:t>
                  </w:r>
                </w:p>
              </w:tc>
              <w:tc>
                <w:tcPr>
                  <w:tcW w:w="892" w:type="pct"/>
                  <w:tcBorders>
                    <w:top w:val="single" w:color="auto" w:sz="4" w:space="0"/>
                    <w:left w:val="single" w:color="auto" w:sz="4" w:space="0"/>
                    <w:right w:val="single" w:color="auto" w:sz="4" w:space="0"/>
                  </w:tcBorders>
                  <w:vAlign w:val="center"/>
                </w:tcPr>
                <w:p w14:paraId="03A11831">
                  <w:pPr>
                    <w:widowControl/>
                    <w:adjustRightInd w:val="0"/>
                    <w:snapToGrid w:val="0"/>
                    <w:jc w:val="center"/>
                    <w:rPr>
                      <w:rFonts w:eastAsiaTheme="minorEastAsia"/>
                      <w:color w:val="auto"/>
                      <w:kern w:val="0"/>
                      <w:szCs w:val="21"/>
                    </w:rPr>
                  </w:pPr>
                  <w:r>
                    <w:rPr>
                      <w:rFonts w:hint="eastAsia" w:eastAsiaTheme="minorEastAsia"/>
                      <w:color w:val="auto"/>
                      <w:kern w:val="0"/>
                      <w:szCs w:val="21"/>
                    </w:rPr>
                    <w:t>0.0005</w:t>
                  </w:r>
                </w:p>
              </w:tc>
              <w:tc>
                <w:tcPr>
                  <w:tcW w:w="455" w:type="pct"/>
                  <w:vMerge w:val="continue"/>
                  <w:tcBorders>
                    <w:left w:val="single" w:color="auto" w:sz="4" w:space="0"/>
                    <w:right w:val="nil"/>
                  </w:tcBorders>
                  <w:vAlign w:val="center"/>
                </w:tcPr>
                <w:p w14:paraId="6842BBEE">
                  <w:pPr>
                    <w:widowControl/>
                    <w:jc w:val="left"/>
                    <w:rPr>
                      <w:rFonts w:eastAsiaTheme="minorEastAsia"/>
                      <w:color w:val="auto"/>
                      <w:szCs w:val="21"/>
                    </w:rPr>
                  </w:pPr>
                </w:p>
              </w:tc>
            </w:tr>
          </w:tbl>
          <w:p w14:paraId="448F6AF5">
            <w:pPr>
              <w:widowControl/>
              <w:autoSpaceDE w:val="0"/>
              <w:autoSpaceDN w:val="0"/>
              <w:adjustRightInd w:val="0"/>
              <w:snapToGrid w:val="0"/>
              <w:spacing w:line="360" w:lineRule="auto"/>
              <w:rPr>
                <w:rFonts w:hint="default" w:ascii="Times New Roman" w:hAnsi="Times New Roman" w:cs="Times New Roman"/>
                <w:b w:val="0"/>
                <w:bCs w:val="0"/>
                <w:color w:val="auto"/>
                <w:szCs w:val="21"/>
                <w:vertAlign w:val="baseline"/>
                <w:lang w:val="en-US" w:eastAsia="zh-CN"/>
              </w:rPr>
            </w:pPr>
            <w:r>
              <w:rPr>
                <w:rFonts w:hint="eastAsia" w:ascii="宋体" w:hAnsi="宋体" w:eastAsia="宋体" w:cs="宋体"/>
                <w:color w:val="auto"/>
                <w:szCs w:val="21"/>
                <w:vertAlign w:val="baseline"/>
              </w:rPr>
              <w:t>*</w:t>
            </w:r>
            <w:r>
              <w:rPr>
                <w:rFonts w:hint="default" w:ascii="Times New Roman" w:hAnsi="Times New Roman" w:cs="Times New Roman"/>
                <w:b w:val="0"/>
                <w:bCs w:val="0"/>
                <w:color w:val="auto"/>
                <w:szCs w:val="21"/>
                <w:vertAlign w:val="baseline"/>
                <w:lang w:eastAsia="zh-CN"/>
              </w:rPr>
              <w:t>原料脲醛树脂胶中含有</w:t>
            </w:r>
            <w:r>
              <w:rPr>
                <w:rFonts w:hint="default" w:ascii="Times New Roman" w:hAnsi="Times New Roman" w:cs="Times New Roman" w:eastAsiaTheme="minorEastAsia"/>
                <w:b w:val="0"/>
                <w:bCs w:val="0"/>
                <w:color w:val="auto"/>
                <w:szCs w:val="21"/>
                <w:lang w:eastAsia="zh-CN"/>
              </w:rPr>
              <w:t>三聚氰胺</w:t>
            </w:r>
            <w:r>
              <w:rPr>
                <w:rFonts w:hint="default" w:ascii="Times New Roman" w:hAnsi="Times New Roman" w:cs="Times New Roman" w:eastAsiaTheme="minorEastAsia"/>
                <w:b w:val="0"/>
                <w:bCs w:val="0"/>
                <w:color w:val="auto"/>
                <w:szCs w:val="21"/>
                <w:lang w:val="en-US" w:eastAsia="zh-CN"/>
              </w:rPr>
              <w:t>-</w:t>
            </w:r>
            <w:r>
              <w:rPr>
                <w:rFonts w:hint="default" w:ascii="Times New Roman" w:hAnsi="Times New Roman" w:cs="Times New Roman" w:eastAsiaTheme="minorEastAsia"/>
                <w:b w:val="0"/>
                <w:bCs w:val="0"/>
                <w:color w:val="auto"/>
                <w:szCs w:val="21"/>
                <w:lang w:eastAsia="zh-CN"/>
              </w:rPr>
              <w:t>尿素</w:t>
            </w:r>
            <w:r>
              <w:rPr>
                <w:rFonts w:hint="default" w:ascii="Times New Roman" w:hAnsi="Times New Roman" w:cs="Times New Roman" w:eastAsiaTheme="minorEastAsia"/>
                <w:b w:val="0"/>
                <w:bCs w:val="0"/>
                <w:color w:val="auto"/>
                <w:szCs w:val="21"/>
                <w:lang w:val="en-US" w:eastAsia="zh-CN"/>
              </w:rPr>
              <w:t>-甲醛</w:t>
            </w:r>
            <w:r>
              <w:rPr>
                <w:rFonts w:hint="eastAsia" w:cs="Times New Roman" w:eastAsiaTheme="minorEastAsia"/>
                <w:b w:val="0"/>
                <w:bCs w:val="0"/>
                <w:color w:val="auto"/>
                <w:szCs w:val="21"/>
                <w:lang w:val="en-US" w:eastAsia="zh-CN"/>
              </w:rPr>
              <w:t>树酯</w:t>
            </w:r>
            <w:r>
              <w:rPr>
                <w:rFonts w:hint="default" w:ascii="Times New Roman" w:hAnsi="Times New Roman" w:cs="Times New Roman" w:eastAsiaTheme="minorEastAsia"/>
                <w:b w:val="0"/>
                <w:bCs w:val="0"/>
                <w:color w:val="auto"/>
                <w:szCs w:val="21"/>
                <w:lang w:val="en-US" w:eastAsia="zh-CN"/>
              </w:rPr>
              <w:t>，</w:t>
            </w:r>
            <w:r>
              <w:rPr>
                <w:rFonts w:hint="default" w:ascii="Times New Roman" w:hAnsi="Times New Roman" w:cs="Times New Roman"/>
                <w:b w:val="0"/>
                <w:bCs w:val="0"/>
                <w:color w:val="auto"/>
                <w:szCs w:val="21"/>
                <w:vertAlign w:val="baseline"/>
                <w:lang w:eastAsia="zh-CN"/>
              </w:rPr>
              <w:t>甲醛的分解温度较高，通常在150°C至200°C之间。树脂中的甲醛在高温下会分解为甲醛气体和其他副产物。热压操作温度为</w:t>
            </w:r>
            <w:r>
              <w:rPr>
                <w:rFonts w:hint="default" w:ascii="Times New Roman" w:hAnsi="Times New Roman" w:cs="Times New Roman"/>
                <w:b w:val="0"/>
                <w:bCs w:val="0"/>
                <w:color w:val="auto"/>
                <w:szCs w:val="21"/>
                <w:vertAlign w:val="baseline"/>
                <w:lang w:val="en-US" w:eastAsia="zh-CN"/>
              </w:rPr>
              <w:t>105°，因此甲醛不易挥发，脲醛胶中甲醛进行折纯，以游离甲醛0.3%计。</w:t>
            </w:r>
          </w:p>
          <w:p w14:paraId="5697838D">
            <w:pPr>
              <w:widowControl/>
              <w:autoSpaceDE w:val="0"/>
              <w:autoSpaceDN w:val="0"/>
              <w:adjustRightInd w:val="0"/>
              <w:snapToGrid w:val="0"/>
              <w:spacing w:line="360" w:lineRule="auto"/>
              <w:rPr>
                <w:rFonts w:eastAsiaTheme="minorEastAsia"/>
                <w:color w:val="auto"/>
                <w:kern w:val="0"/>
                <w:sz w:val="18"/>
                <w:szCs w:val="18"/>
              </w:rPr>
            </w:pPr>
            <w:r>
              <w:rPr>
                <w:rFonts w:eastAsiaTheme="minorEastAsia"/>
                <w:color w:val="auto"/>
                <w:kern w:val="0"/>
                <w:sz w:val="18"/>
                <w:szCs w:val="18"/>
              </w:rPr>
              <w:t>注：</w:t>
            </w:r>
            <w:r>
              <w:rPr>
                <w:rFonts w:hint="eastAsia" w:eastAsiaTheme="minorEastAsia"/>
                <w:color w:val="auto"/>
                <w:kern w:val="0"/>
                <w:sz w:val="18"/>
                <w:szCs w:val="18"/>
              </w:rPr>
              <w:t>①</w:t>
            </w:r>
            <w:r>
              <w:rPr>
                <w:rFonts w:eastAsiaTheme="minorEastAsia"/>
                <w:color w:val="auto"/>
                <w:kern w:val="0"/>
                <w:sz w:val="18"/>
                <w:szCs w:val="18"/>
              </w:rPr>
              <w:t>危险废物贮存周期约3个月。</w:t>
            </w:r>
          </w:p>
          <w:p w14:paraId="511EB5F8">
            <w:pPr>
              <w:widowControl/>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②</w:t>
            </w:r>
            <w:r>
              <w:rPr>
                <w:rFonts w:eastAsiaTheme="minorEastAsia"/>
                <w:color w:val="auto"/>
                <w:kern w:val="0"/>
                <w:sz w:val="24"/>
              </w:rPr>
              <w:t>生产工艺特点</w:t>
            </w:r>
          </w:p>
          <w:p w14:paraId="506EC0F1">
            <w:pPr>
              <w:widowControl/>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eastAsiaTheme="minorEastAsia"/>
                <w:bCs/>
                <w:color w:val="auto"/>
                <w:kern w:val="0"/>
                <w:sz w:val="24"/>
              </w:rPr>
              <w:t>建设</w:t>
            </w:r>
            <w:r>
              <w:rPr>
                <w:rFonts w:eastAsiaTheme="minorEastAsia"/>
                <w:bCs/>
                <w:color w:val="auto"/>
                <w:kern w:val="0"/>
                <w:sz w:val="24"/>
              </w:rPr>
              <w:t>项目</w:t>
            </w:r>
            <w:r>
              <w:rPr>
                <w:rFonts w:eastAsiaTheme="minorEastAsia"/>
                <w:color w:val="auto"/>
                <w:kern w:val="0"/>
                <w:sz w:val="24"/>
              </w:rPr>
              <w:t>不涉及风险导则附录C表C.1中的危险工艺，只涉及危险物质的使用和贮存。</w:t>
            </w:r>
          </w:p>
          <w:p w14:paraId="13DC6630">
            <w:pPr>
              <w:widowControl/>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③风险潜势初判</w:t>
            </w:r>
          </w:p>
          <w:p w14:paraId="0D158CE8">
            <w:pPr>
              <w:widowControl/>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风险潜势初判根据</w:t>
            </w:r>
            <w:r>
              <w:rPr>
                <w:rFonts w:hint="eastAsia" w:eastAsiaTheme="minorEastAsia"/>
                <w:color w:val="auto"/>
                <w:kern w:val="0"/>
                <w:sz w:val="24"/>
              </w:rPr>
              <w:t>建设</w:t>
            </w:r>
            <w:r>
              <w:rPr>
                <w:rFonts w:eastAsiaTheme="minorEastAsia"/>
                <w:bCs/>
                <w:color w:val="auto"/>
                <w:kern w:val="0"/>
                <w:sz w:val="24"/>
              </w:rPr>
              <w:t>项目</w:t>
            </w:r>
            <w:r>
              <w:rPr>
                <w:rFonts w:eastAsiaTheme="minorEastAsia"/>
                <w:color w:val="auto"/>
                <w:kern w:val="0"/>
                <w:sz w:val="24"/>
              </w:rPr>
              <w:t>所涉及的每种危险物质在厂界内的最大存在总量与其在附录B中对应临界量的比值计算Q，判定情况见表4.7-2。</w:t>
            </w:r>
          </w:p>
          <w:p w14:paraId="46FF1567">
            <w:pPr>
              <w:widowControl/>
              <w:autoSpaceDE w:val="0"/>
              <w:autoSpaceDN w:val="0"/>
              <w:adjustRightInd w:val="0"/>
              <w:snapToGrid w:val="0"/>
              <w:jc w:val="center"/>
              <w:rPr>
                <w:rFonts w:eastAsiaTheme="minorEastAsia"/>
                <w:color w:val="auto"/>
                <w:kern w:val="0"/>
                <w:sz w:val="24"/>
              </w:rPr>
            </w:pPr>
            <w:r>
              <w:rPr>
                <w:rFonts w:eastAsiaTheme="minorEastAsia"/>
                <w:b/>
                <w:bCs/>
                <w:color w:val="auto"/>
                <w:kern w:val="0"/>
                <w:sz w:val="24"/>
              </w:rPr>
              <w:t xml:space="preserve">表4.7-2  </w:t>
            </w:r>
            <w:r>
              <w:rPr>
                <w:rFonts w:hint="eastAsia" w:eastAsiaTheme="minorEastAsia"/>
                <w:b/>
                <w:bCs/>
                <w:color w:val="auto"/>
                <w:kern w:val="0"/>
                <w:sz w:val="24"/>
              </w:rPr>
              <w:t>建设</w:t>
            </w:r>
            <w:r>
              <w:rPr>
                <w:rFonts w:eastAsiaTheme="minorEastAsia"/>
                <w:b/>
                <w:bCs/>
                <w:color w:val="auto"/>
                <w:kern w:val="0"/>
                <w:sz w:val="24"/>
              </w:rPr>
              <w:t>项目Q值确定表</w:t>
            </w:r>
          </w:p>
          <w:tbl>
            <w:tblPr>
              <w:tblStyle w:val="42"/>
              <w:tblW w:w="83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71"/>
              <w:gridCol w:w="1847"/>
              <w:gridCol w:w="1508"/>
              <w:gridCol w:w="1559"/>
              <w:gridCol w:w="992"/>
              <w:gridCol w:w="1911"/>
            </w:tblGrid>
            <w:tr w14:paraId="4E8EF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dxa"/>
                  <w:tcBorders>
                    <w:top w:val="single" w:color="auto" w:sz="12" w:space="0"/>
                    <w:left w:val="nil"/>
                    <w:bottom w:val="single" w:color="auto" w:sz="4" w:space="0"/>
                    <w:right w:val="single" w:color="auto" w:sz="4" w:space="0"/>
                  </w:tcBorders>
                  <w:vAlign w:val="center"/>
                </w:tcPr>
                <w:p w14:paraId="69538883">
                  <w:pPr>
                    <w:widowControl/>
                    <w:adjustRightInd w:val="0"/>
                    <w:snapToGrid w:val="0"/>
                    <w:jc w:val="center"/>
                    <w:rPr>
                      <w:rFonts w:eastAsiaTheme="minorEastAsia"/>
                      <w:b/>
                      <w:bCs/>
                      <w:color w:val="auto"/>
                      <w:szCs w:val="21"/>
                    </w:rPr>
                  </w:pPr>
                  <w:r>
                    <w:rPr>
                      <w:rFonts w:eastAsiaTheme="minorEastAsia"/>
                      <w:b/>
                      <w:bCs/>
                      <w:color w:val="auto"/>
                      <w:szCs w:val="21"/>
                    </w:rPr>
                    <w:t>序号</w:t>
                  </w:r>
                </w:p>
              </w:tc>
              <w:tc>
                <w:tcPr>
                  <w:tcW w:w="1847" w:type="dxa"/>
                  <w:tcBorders>
                    <w:top w:val="single" w:color="auto" w:sz="12" w:space="0"/>
                    <w:left w:val="single" w:color="auto" w:sz="4" w:space="0"/>
                    <w:bottom w:val="single" w:color="auto" w:sz="4" w:space="0"/>
                    <w:right w:val="single" w:color="auto" w:sz="4" w:space="0"/>
                  </w:tcBorders>
                  <w:vAlign w:val="center"/>
                </w:tcPr>
                <w:p w14:paraId="22B8D952">
                  <w:pPr>
                    <w:widowControl/>
                    <w:adjustRightInd w:val="0"/>
                    <w:snapToGrid w:val="0"/>
                    <w:jc w:val="center"/>
                    <w:rPr>
                      <w:rFonts w:eastAsiaTheme="minorEastAsia"/>
                      <w:b/>
                      <w:bCs/>
                      <w:color w:val="auto"/>
                      <w:szCs w:val="21"/>
                    </w:rPr>
                  </w:pPr>
                  <w:r>
                    <w:rPr>
                      <w:rFonts w:eastAsiaTheme="minorEastAsia"/>
                      <w:b/>
                      <w:bCs/>
                      <w:color w:val="auto"/>
                      <w:szCs w:val="21"/>
                    </w:rPr>
                    <w:t>危险物质名称</w:t>
                  </w:r>
                </w:p>
              </w:tc>
              <w:tc>
                <w:tcPr>
                  <w:tcW w:w="1508" w:type="dxa"/>
                  <w:tcBorders>
                    <w:top w:val="single" w:color="auto" w:sz="12" w:space="0"/>
                    <w:left w:val="single" w:color="auto" w:sz="4" w:space="0"/>
                    <w:bottom w:val="single" w:color="auto" w:sz="4" w:space="0"/>
                    <w:right w:val="single" w:color="auto" w:sz="4" w:space="0"/>
                  </w:tcBorders>
                  <w:vAlign w:val="center"/>
                </w:tcPr>
                <w:p w14:paraId="42150D16">
                  <w:pPr>
                    <w:widowControl/>
                    <w:adjustRightInd w:val="0"/>
                    <w:snapToGrid w:val="0"/>
                    <w:jc w:val="center"/>
                    <w:rPr>
                      <w:rFonts w:eastAsiaTheme="minorEastAsia"/>
                      <w:b/>
                      <w:bCs/>
                      <w:color w:val="auto"/>
                      <w:szCs w:val="21"/>
                    </w:rPr>
                  </w:pPr>
                  <w:r>
                    <w:rPr>
                      <w:rFonts w:eastAsiaTheme="minorEastAsia"/>
                      <w:b/>
                      <w:bCs/>
                      <w:color w:val="auto"/>
                      <w:szCs w:val="21"/>
                    </w:rPr>
                    <w:t>CAS号</w:t>
                  </w:r>
                </w:p>
              </w:tc>
              <w:tc>
                <w:tcPr>
                  <w:tcW w:w="1559" w:type="dxa"/>
                  <w:tcBorders>
                    <w:top w:val="single" w:color="auto" w:sz="12" w:space="0"/>
                    <w:left w:val="single" w:color="auto" w:sz="4" w:space="0"/>
                    <w:bottom w:val="single" w:color="auto" w:sz="4" w:space="0"/>
                    <w:right w:val="single" w:color="auto" w:sz="4" w:space="0"/>
                  </w:tcBorders>
                  <w:vAlign w:val="center"/>
                </w:tcPr>
                <w:p w14:paraId="674AA10D">
                  <w:pPr>
                    <w:widowControl/>
                    <w:adjustRightInd w:val="0"/>
                    <w:snapToGrid w:val="0"/>
                    <w:jc w:val="center"/>
                    <w:rPr>
                      <w:rFonts w:eastAsiaTheme="minorEastAsia"/>
                      <w:b/>
                      <w:bCs/>
                      <w:color w:val="auto"/>
                      <w:szCs w:val="21"/>
                    </w:rPr>
                  </w:pPr>
                  <w:r>
                    <w:rPr>
                      <w:rFonts w:eastAsiaTheme="minorEastAsia"/>
                      <w:b/>
                      <w:bCs/>
                      <w:color w:val="auto"/>
                      <w:szCs w:val="21"/>
                    </w:rPr>
                    <w:t>最大存在总量t</w:t>
                  </w:r>
                </w:p>
              </w:tc>
              <w:tc>
                <w:tcPr>
                  <w:tcW w:w="992" w:type="dxa"/>
                  <w:tcBorders>
                    <w:top w:val="single" w:color="auto" w:sz="12" w:space="0"/>
                    <w:left w:val="single" w:color="auto" w:sz="4" w:space="0"/>
                    <w:bottom w:val="single" w:color="auto" w:sz="4" w:space="0"/>
                    <w:right w:val="single" w:color="auto" w:sz="4" w:space="0"/>
                  </w:tcBorders>
                  <w:vAlign w:val="center"/>
                </w:tcPr>
                <w:p w14:paraId="7EBE5A86">
                  <w:pPr>
                    <w:widowControl/>
                    <w:adjustRightInd w:val="0"/>
                    <w:snapToGrid w:val="0"/>
                    <w:jc w:val="center"/>
                    <w:rPr>
                      <w:rFonts w:eastAsiaTheme="minorEastAsia"/>
                      <w:b/>
                      <w:bCs/>
                      <w:color w:val="auto"/>
                      <w:szCs w:val="21"/>
                    </w:rPr>
                  </w:pPr>
                  <w:r>
                    <w:rPr>
                      <w:rFonts w:eastAsiaTheme="minorEastAsia"/>
                      <w:b/>
                      <w:bCs/>
                      <w:color w:val="auto"/>
                      <w:szCs w:val="21"/>
                    </w:rPr>
                    <w:t>临界量t</w:t>
                  </w:r>
                </w:p>
              </w:tc>
              <w:tc>
                <w:tcPr>
                  <w:tcW w:w="1911" w:type="dxa"/>
                  <w:tcBorders>
                    <w:top w:val="single" w:color="auto" w:sz="12" w:space="0"/>
                    <w:left w:val="single" w:color="auto" w:sz="4" w:space="0"/>
                    <w:bottom w:val="single" w:color="auto" w:sz="4" w:space="0"/>
                    <w:right w:val="nil"/>
                  </w:tcBorders>
                  <w:vAlign w:val="center"/>
                </w:tcPr>
                <w:p w14:paraId="750E826A">
                  <w:pPr>
                    <w:widowControl/>
                    <w:adjustRightInd w:val="0"/>
                    <w:snapToGrid w:val="0"/>
                    <w:jc w:val="center"/>
                    <w:rPr>
                      <w:rFonts w:eastAsiaTheme="minorEastAsia"/>
                      <w:b/>
                      <w:bCs/>
                      <w:color w:val="auto"/>
                      <w:szCs w:val="21"/>
                    </w:rPr>
                  </w:pPr>
                  <w:r>
                    <w:rPr>
                      <w:rFonts w:eastAsiaTheme="minorEastAsia"/>
                      <w:b/>
                      <w:bCs/>
                      <w:color w:val="auto"/>
                      <w:szCs w:val="21"/>
                    </w:rPr>
                    <w:t>该种危险物质Q值</w:t>
                  </w:r>
                </w:p>
              </w:tc>
            </w:tr>
            <w:tr w14:paraId="11EC8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dxa"/>
                  <w:tcBorders>
                    <w:top w:val="single" w:color="auto" w:sz="4" w:space="0"/>
                    <w:left w:val="nil"/>
                    <w:bottom w:val="single" w:color="auto" w:sz="4" w:space="0"/>
                    <w:right w:val="single" w:color="auto" w:sz="4" w:space="0"/>
                  </w:tcBorders>
                  <w:vAlign w:val="center"/>
                </w:tcPr>
                <w:p w14:paraId="384640BA">
                  <w:pPr>
                    <w:widowControl/>
                    <w:adjustRightInd w:val="0"/>
                    <w:snapToGrid w:val="0"/>
                    <w:jc w:val="center"/>
                    <w:rPr>
                      <w:rFonts w:eastAsiaTheme="minorEastAsia"/>
                      <w:bCs/>
                      <w:color w:val="auto"/>
                      <w:szCs w:val="21"/>
                    </w:rPr>
                  </w:pPr>
                  <w:r>
                    <w:rPr>
                      <w:rFonts w:eastAsiaTheme="minorEastAsia"/>
                      <w:bCs/>
                      <w:color w:val="auto"/>
                      <w:szCs w:val="21"/>
                    </w:rPr>
                    <w:t>1</w:t>
                  </w:r>
                </w:p>
              </w:tc>
              <w:tc>
                <w:tcPr>
                  <w:tcW w:w="1847" w:type="dxa"/>
                  <w:tcBorders>
                    <w:top w:val="single" w:color="auto" w:sz="4" w:space="0"/>
                    <w:left w:val="single" w:color="auto" w:sz="4" w:space="0"/>
                    <w:bottom w:val="single" w:color="auto" w:sz="4" w:space="0"/>
                    <w:right w:val="single" w:color="auto" w:sz="4" w:space="0"/>
                  </w:tcBorders>
                  <w:vAlign w:val="center"/>
                </w:tcPr>
                <w:p w14:paraId="13A8BF8B">
                  <w:pPr>
                    <w:jc w:val="center"/>
                    <w:rPr>
                      <w:rFonts w:eastAsiaTheme="minorEastAsia"/>
                      <w:b/>
                      <w:bCs/>
                      <w:color w:val="auto"/>
                      <w:szCs w:val="21"/>
                    </w:rPr>
                  </w:pPr>
                  <w:r>
                    <w:rPr>
                      <w:rFonts w:hint="eastAsia" w:eastAsiaTheme="minorEastAsia"/>
                      <w:color w:val="auto"/>
                      <w:szCs w:val="21"/>
                    </w:rPr>
                    <w:t>脲醛胶</w:t>
                  </w:r>
                  <w:r>
                    <w:rPr>
                      <w:color w:val="auto"/>
                      <w:kern w:val="0"/>
                      <w:szCs w:val="21"/>
                    </w:rPr>
                    <w:t>*</w:t>
                  </w:r>
                </w:p>
              </w:tc>
              <w:tc>
                <w:tcPr>
                  <w:tcW w:w="1508" w:type="dxa"/>
                  <w:tcBorders>
                    <w:top w:val="single" w:color="auto" w:sz="4" w:space="0"/>
                    <w:left w:val="single" w:color="auto" w:sz="4" w:space="0"/>
                    <w:bottom w:val="single" w:color="auto" w:sz="4" w:space="0"/>
                    <w:right w:val="single" w:color="auto" w:sz="4" w:space="0"/>
                  </w:tcBorders>
                  <w:vAlign w:val="center"/>
                </w:tcPr>
                <w:p w14:paraId="10D212AB">
                  <w:pPr>
                    <w:adjustRightInd w:val="0"/>
                    <w:snapToGrid w:val="0"/>
                    <w:jc w:val="center"/>
                    <w:rPr>
                      <w:rFonts w:eastAsiaTheme="minorEastAsia"/>
                      <w:bCs/>
                      <w:color w:val="auto"/>
                      <w:szCs w:val="21"/>
                    </w:rPr>
                  </w:pPr>
                  <w:r>
                    <w:rPr>
                      <w:rFonts w:eastAsiaTheme="minorEastAsia"/>
                      <w:bCs/>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743B781">
                  <w:pPr>
                    <w:widowControl/>
                    <w:adjustRightInd w:val="0"/>
                    <w:snapToGrid w:val="0"/>
                    <w:spacing w:line="240" w:lineRule="exact"/>
                    <w:jc w:val="center"/>
                    <w:rPr>
                      <w:rFonts w:eastAsiaTheme="minorEastAsia"/>
                      <w:color w:val="auto"/>
                      <w:kern w:val="0"/>
                      <w:szCs w:val="21"/>
                    </w:rPr>
                  </w:pPr>
                  <w:r>
                    <w:rPr>
                      <w:rFonts w:hint="eastAsia" w:eastAsiaTheme="minorEastAsia"/>
                      <w:color w:val="auto"/>
                      <w:kern w:val="0"/>
                      <w:szCs w:val="21"/>
                    </w:rPr>
                    <w:t>1</w:t>
                  </w:r>
                </w:p>
              </w:tc>
              <w:tc>
                <w:tcPr>
                  <w:tcW w:w="992" w:type="dxa"/>
                  <w:tcBorders>
                    <w:top w:val="single" w:color="auto" w:sz="4" w:space="0"/>
                    <w:left w:val="single" w:color="auto" w:sz="4" w:space="0"/>
                    <w:right w:val="single" w:color="auto" w:sz="4" w:space="0"/>
                  </w:tcBorders>
                  <w:vAlign w:val="center"/>
                </w:tcPr>
                <w:p w14:paraId="386E972C">
                  <w:pPr>
                    <w:widowControl/>
                    <w:adjustRightInd w:val="0"/>
                    <w:snapToGrid w:val="0"/>
                    <w:spacing w:line="240" w:lineRule="exact"/>
                    <w:jc w:val="center"/>
                    <w:rPr>
                      <w:rFonts w:eastAsiaTheme="minorEastAsia"/>
                      <w:color w:val="auto"/>
                      <w:kern w:val="0"/>
                      <w:szCs w:val="21"/>
                    </w:rPr>
                  </w:pPr>
                  <w:r>
                    <w:rPr>
                      <w:rFonts w:hint="eastAsia" w:eastAsiaTheme="minorEastAsia"/>
                      <w:color w:val="auto"/>
                      <w:kern w:val="0"/>
                      <w:szCs w:val="21"/>
                    </w:rPr>
                    <w:t>50</w:t>
                  </w:r>
                </w:p>
              </w:tc>
              <w:tc>
                <w:tcPr>
                  <w:tcW w:w="1911" w:type="dxa"/>
                  <w:tcBorders>
                    <w:top w:val="single" w:color="auto" w:sz="4" w:space="0"/>
                    <w:left w:val="single" w:color="auto" w:sz="4" w:space="0"/>
                    <w:bottom w:val="single" w:color="auto" w:sz="4" w:space="0"/>
                    <w:right w:val="nil"/>
                  </w:tcBorders>
                  <w:vAlign w:val="center"/>
                </w:tcPr>
                <w:p w14:paraId="7BA57AB2">
                  <w:pPr>
                    <w:widowControl/>
                    <w:jc w:val="center"/>
                    <w:textAlignment w:val="center"/>
                    <w:rPr>
                      <w:rFonts w:eastAsia="等线"/>
                      <w:color w:val="auto"/>
                      <w:szCs w:val="21"/>
                    </w:rPr>
                  </w:pPr>
                  <w:r>
                    <w:rPr>
                      <w:rFonts w:hint="eastAsia" w:eastAsia="等线"/>
                      <w:color w:val="auto"/>
                      <w:kern w:val="0"/>
                      <w:szCs w:val="21"/>
                    </w:rPr>
                    <w:t>0.02</w:t>
                  </w:r>
                </w:p>
              </w:tc>
            </w:tr>
            <w:tr w14:paraId="31176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dxa"/>
                  <w:tcBorders>
                    <w:top w:val="single" w:color="auto" w:sz="4" w:space="0"/>
                    <w:left w:val="nil"/>
                    <w:bottom w:val="single" w:color="auto" w:sz="4" w:space="0"/>
                    <w:right w:val="single" w:color="auto" w:sz="4" w:space="0"/>
                  </w:tcBorders>
                  <w:vAlign w:val="center"/>
                </w:tcPr>
                <w:p w14:paraId="7F89DDA6">
                  <w:pPr>
                    <w:widowControl/>
                    <w:adjustRightInd w:val="0"/>
                    <w:snapToGrid w:val="0"/>
                    <w:jc w:val="center"/>
                    <w:rPr>
                      <w:rFonts w:eastAsiaTheme="minorEastAsia"/>
                      <w:bCs/>
                      <w:color w:val="auto"/>
                      <w:szCs w:val="21"/>
                    </w:rPr>
                  </w:pPr>
                  <w:r>
                    <w:rPr>
                      <w:rFonts w:eastAsiaTheme="minorEastAsia"/>
                      <w:bCs/>
                      <w:color w:val="auto"/>
                      <w:szCs w:val="21"/>
                    </w:rPr>
                    <w:t>2</w:t>
                  </w:r>
                </w:p>
              </w:tc>
              <w:tc>
                <w:tcPr>
                  <w:tcW w:w="1847" w:type="dxa"/>
                  <w:tcBorders>
                    <w:top w:val="single" w:color="auto" w:sz="4" w:space="0"/>
                    <w:left w:val="single" w:color="auto" w:sz="4" w:space="0"/>
                    <w:bottom w:val="single" w:color="auto" w:sz="4" w:space="0"/>
                    <w:right w:val="single" w:color="auto" w:sz="4" w:space="0"/>
                  </w:tcBorders>
                  <w:vAlign w:val="center"/>
                </w:tcPr>
                <w:p w14:paraId="289B238C">
                  <w:pPr>
                    <w:jc w:val="center"/>
                    <w:rPr>
                      <w:rFonts w:eastAsiaTheme="minorEastAsia"/>
                      <w:color w:val="auto"/>
                      <w:szCs w:val="21"/>
                    </w:rPr>
                  </w:pPr>
                  <w:r>
                    <w:rPr>
                      <w:rFonts w:hint="eastAsia" w:eastAsiaTheme="minorEastAsia"/>
                      <w:color w:val="auto"/>
                      <w:szCs w:val="21"/>
                    </w:rPr>
                    <w:t>甲醛</w:t>
                  </w:r>
                </w:p>
              </w:tc>
              <w:tc>
                <w:tcPr>
                  <w:tcW w:w="1508" w:type="dxa"/>
                  <w:tcBorders>
                    <w:top w:val="single" w:color="auto" w:sz="4" w:space="0"/>
                    <w:left w:val="single" w:color="auto" w:sz="4" w:space="0"/>
                    <w:bottom w:val="single" w:color="auto" w:sz="4" w:space="0"/>
                    <w:right w:val="single" w:color="auto" w:sz="4" w:space="0"/>
                  </w:tcBorders>
                  <w:vAlign w:val="center"/>
                </w:tcPr>
                <w:p w14:paraId="4D381A3E">
                  <w:pPr>
                    <w:adjustRightInd w:val="0"/>
                    <w:snapToGrid w:val="0"/>
                    <w:jc w:val="center"/>
                    <w:rPr>
                      <w:rFonts w:eastAsiaTheme="minorEastAsia"/>
                      <w:bCs/>
                      <w:color w:val="auto"/>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F9874B9">
                  <w:pPr>
                    <w:widowControl/>
                    <w:adjustRightInd w:val="0"/>
                    <w:snapToGrid w:val="0"/>
                    <w:spacing w:line="240" w:lineRule="exact"/>
                    <w:jc w:val="center"/>
                    <w:rPr>
                      <w:rFonts w:hint="default" w:eastAsiaTheme="minorEastAsia"/>
                      <w:color w:val="auto"/>
                      <w:kern w:val="0"/>
                      <w:szCs w:val="21"/>
                      <w:lang w:val="en-US" w:eastAsia="zh-CN"/>
                    </w:rPr>
                  </w:pPr>
                  <w:r>
                    <w:rPr>
                      <w:rFonts w:hint="eastAsia" w:eastAsiaTheme="minorEastAsia"/>
                      <w:color w:val="auto"/>
                      <w:kern w:val="0"/>
                      <w:szCs w:val="21"/>
                    </w:rPr>
                    <w:t>0.</w:t>
                  </w:r>
                  <w:r>
                    <w:rPr>
                      <w:rFonts w:hint="eastAsia" w:eastAsiaTheme="minorEastAsia"/>
                      <w:color w:val="auto"/>
                      <w:kern w:val="0"/>
                      <w:szCs w:val="21"/>
                      <w:lang w:val="en-US" w:eastAsia="zh-CN"/>
                    </w:rPr>
                    <w:t>015</w:t>
                  </w:r>
                </w:p>
              </w:tc>
              <w:tc>
                <w:tcPr>
                  <w:tcW w:w="992" w:type="dxa"/>
                  <w:tcBorders>
                    <w:top w:val="single" w:color="auto" w:sz="4" w:space="0"/>
                    <w:left w:val="single" w:color="auto" w:sz="4" w:space="0"/>
                    <w:right w:val="single" w:color="auto" w:sz="4" w:space="0"/>
                  </w:tcBorders>
                  <w:vAlign w:val="center"/>
                </w:tcPr>
                <w:p w14:paraId="0658B43B">
                  <w:pPr>
                    <w:widowControl/>
                    <w:adjustRightInd w:val="0"/>
                    <w:snapToGrid w:val="0"/>
                    <w:spacing w:line="240" w:lineRule="exact"/>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0.5</w:t>
                  </w:r>
                </w:p>
              </w:tc>
              <w:tc>
                <w:tcPr>
                  <w:tcW w:w="1911" w:type="dxa"/>
                  <w:tcBorders>
                    <w:top w:val="single" w:color="auto" w:sz="4" w:space="0"/>
                    <w:left w:val="single" w:color="auto" w:sz="4" w:space="0"/>
                    <w:bottom w:val="single" w:color="auto" w:sz="4" w:space="0"/>
                    <w:right w:val="nil"/>
                  </w:tcBorders>
                  <w:vAlign w:val="center"/>
                </w:tcPr>
                <w:p w14:paraId="4B3EF50D">
                  <w:pPr>
                    <w:widowControl/>
                    <w:jc w:val="center"/>
                    <w:textAlignment w:val="center"/>
                    <w:rPr>
                      <w:rFonts w:hint="default" w:eastAsia="等线"/>
                      <w:color w:val="auto"/>
                      <w:kern w:val="0"/>
                      <w:szCs w:val="21"/>
                      <w:lang w:val="en-US" w:eastAsia="zh-CN"/>
                    </w:rPr>
                  </w:pPr>
                  <w:r>
                    <w:rPr>
                      <w:rFonts w:hint="eastAsia" w:eastAsia="等线"/>
                      <w:color w:val="auto"/>
                      <w:kern w:val="0"/>
                      <w:szCs w:val="21"/>
                    </w:rPr>
                    <w:t>0.</w:t>
                  </w:r>
                  <w:r>
                    <w:rPr>
                      <w:rFonts w:hint="eastAsia" w:eastAsia="等线"/>
                      <w:color w:val="auto"/>
                      <w:kern w:val="0"/>
                      <w:szCs w:val="21"/>
                      <w:lang w:val="en-US" w:eastAsia="zh-CN"/>
                    </w:rPr>
                    <w:t>03</w:t>
                  </w:r>
                </w:p>
              </w:tc>
            </w:tr>
            <w:tr w14:paraId="109F6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dxa"/>
                  <w:tcBorders>
                    <w:top w:val="single" w:color="auto" w:sz="4" w:space="0"/>
                    <w:left w:val="nil"/>
                    <w:bottom w:val="single" w:color="auto" w:sz="4" w:space="0"/>
                    <w:right w:val="single" w:color="auto" w:sz="4" w:space="0"/>
                  </w:tcBorders>
                  <w:vAlign w:val="center"/>
                </w:tcPr>
                <w:p w14:paraId="2A3E7DD4">
                  <w:pPr>
                    <w:widowControl/>
                    <w:adjustRightInd w:val="0"/>
                    <w:snapToGrid w:val="0"/>
                    <w:jc w:val="center"/>
                    <w:rPr>
                      <w:rFonts w:eastAsiaTheme="minorEastAsia"/>
                      <w:bCs/>
                      <w:color w:val="auto"/>
                      <w:szCs w:val="21"/>
                    </w:rPr>
                  </w:pPr>
                  <w:r>
                    <w:rPr>
                      <w:rFonts w:hint="eastAsia" w:eastAsiaTheme="minorEastAsia"/>
                      <w:bCs/>
                      <w:color w:val="auto"/>
                      <w:szCs w:val="21"/>
                    </w:rPr>
                    <w:t>3</w:t>
                  </w:r>
                </w:p>
              </w:tc>
              <w:tc>
                <w:tcPr>
                  <w:tcW w:w="1847" w:type="dxa"/>
                  <w:tcBorders>
                    <w:top w:val="single" w:color="auto" w:sz="4" w:space="0"/>
                    <w:left w:val="single" w:color="auto" w:sz="4" w:space="0"/>
                    <w:bottom w:val="single" w:color="auto" w:sz="4" w:space="0"/>
                    <w:right w:val="single" w:color="auto" w:sz="4" w:space="0"/>
                  </w:tcBorders>
                  <w:vAlign w:val="center"/>
                </w:tcPr>
                <w:p w14:paraId="32BB0BB6">
                  <w:pPr>
                    <w:jc w:val="center"/>
                    <w:rPr>
                      <w:rFonts w:eastAsiaTheme="minorEastAsia"/>
                      <w:color w:val="auto"/>
                      <w:szCs w:val="21"/>
                    </w:rPr>
                  </w:pPr>
                  <w:r>
                    <w:rPr>
                      <w:rFonts w:eastAsiaTheme="minorEastAsia"/>
                      <w:color w:val="auto"/>
                      <w:szCs w:val="21"/>
                    </w:rPr>
                    <w:t>液压油</w:t>
                  </w:r>
                </w:p>
              </w:tc>
              <w:tc>
                <w:tcPr>
                  <w:tcW w:w="1508" w:type="dxa"/>
                  <w:tcBorders>
                    <w:top w:val="single" w:color="auto" w:sz="4" w:space="0"/>
                    <w:left w:val="single" w:color="auto" w:sz="4" w:space="0"/>
                    <w:bottom w:val="single" w:color="auto" w:sz="4" w:space="0"/>
                    <w:right w:val="single" w:color="auto" w:sz="4" w:space="0"/>
                  </w:tcBorders>
                  <w:vAlign w:val="center"/>
                </w:tcPr>
                <w:p w14:paraId="7438913D">
                  <w:pPr>
                    <w:adjustRightInd w:val="0"/>
                    <w:snapToGrid w:val="0"/>
                    <w:jc w:val="center"/>
                    <w:rPr>
                      <w:rFonts w:eastAsiaTheme="minorEastAsia"/>
                      <w:bCs/>
                      <w:color w:val="auto"/>
                      <w:szCs w:val="21"/>
                    </w:rPr>
                  </w:pPr>
                  <w:r>
                    <w:rPr>
                      <w:rFonts w:eastAsiaTheme="minorEastAsia"/>
                      <w:bCs/>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3460183">
                  <w:pPr>
                    <w:widowControl/>
                    <w:adjustRightInd w:val="0"/>
                    <w:snapToGrid w:val="0"/>
                    <w:spacing w:line="240" w:lineRule="exact"/>
                    <w:jc w:val="center"/>
                    <w:rPr>
                      <w:rFonts w:eastAsiaTheme="minorEastAsia"/>
                      <w:color w:val="auto"/>
                      <w:kern w:val="0"/>
                      <w:szCs w:val="21"/>
                    </w:rPr>
                  </w:pPr>
                  <w:r>
                    <w:rPr>
                      <w:rFonts w:hint="eastAsia" w:eastAsiaTheme="minorEastAsia"/>
                      <w:color w:val="auto"/>
                      <w:kern w:val="0"/>
                      <w:szCs w:val="21"/>
                    </w:rPr>
                    <w:t>0.6</w:t>
                  </w:r>
                </w:p>
              </w:tc>
              <w:tc>
                <w:tcPr>
                  <w:tcW w:w="992" w:type="dxa"/>
                  <w:tcBorders>
                    <w:left w:val="single" w:color="auto" w:sz="4" w:space="0"/>
                    <w:right w:val="single" w:color="auto" w:sz="4" w:space="0"/>
                  </w:tcBorders>
                  <w:vAlign w:val="center"/>
                </w:tcPr>
                <w:p w14:paraId="156FEEBD">
                  <w:pPr>
                    <w:widowControl/>
                    <w:jc w:val="center"/>
                    <w:rPr>
                      <w:rFonts w:eastAsiaTheme="minorEastAsia"/>
                      <w:color w:val="auto"/>
                      <w:kern w:val="0"/>
                      <w:szCs w:val="21"/>
                    </w:rPr>
                  </w:pPr>
                  <w:r>
                    <w:rPr>
                      <w:rFonts w:hint="eastAsia" w:eastAsiaTheme="minorEastAsia"/>
                      <w:color w:val="auto"/>
                      <w:kern w:val="0"/>
                      <w:szCs w:val="21"/>
                    </w:rPr>
                    <w:t>2500</w:t>
                  </w:r>
                </w:p>
              </w:tc>
              <w:tc>
                <w:tcPr>
                  <w:tcW w:w="1911" w:type="dxa"/>
                  <w:tcBorders>
                    <w:top w:val="single" w:color="auto" w:sz="4" w:space="0"/>
                    <w:left w:val="single" w:color="auto" w:sz="4" w:space="0"/>
                    <w:bottom w:val="single" w:color="auto" w:sz="4" w:space="0"/>
                    <w:right w:val="nil"/>
                  </w:tcBorders>
                  <w:vAlign w:val="center"/>
                </w:tcPr>
                <w:p w14:paraId="16306DF7">
                  <w:pPr>
                    <w:widowControl/>
                    <w:jc w:val="center"/>
                    <w:textAlignment w:val="center"/>
                    <w:rPr>
                      <w:rFonts w:eastAsiaTheme="minorEastAsia"/>
                      <w:color w:val="auto"/>
                      <w:szCs w:val="21"/>
                    </w:rPr>
                  </w:pPr>
                  <w:r>
                    <w:rPr>
                      <w:rFonts w:eastAsia="等线"/>
                      <w:color w:val="auto"/>
                      <w:kern w:val="0"/>
                      <w:szCs w:val="21"/>
                    </w:rPr>
                    <w:t>0.00024</w:t>
                  </w:r>
                </w:p>
              </w:tc>
            </w:tr>
            <w:tr w14:paraId="013A7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1" w:type="dxa"/>
                  <w:tcBorders>
                    <w:top w:val="single" w:color="auto" w:sz="4" w:space="0"/>
                    <w:left w:val="nil"/>
                    <w:bottom w:val="single" w:color="auto" w:sz="4" w:space="0"/>
                    <w:right w:val="single" w:color="auto" w:sz="4" w:space="0"/>
                  </w:tcBorders>
                  <w:vAlign w:val="center"/>
                </w:tcPr>
                <w:p w14:paraId="2C425CD9">
                  <w:pPr>
                    <w:widowControl/>
                    <w:adjustRightInd w:val="0"/>
                    <w:snapToGrid w:val="0"/>
                    <w:jc w:val="center"/>
                    <w:rPr>
                      <w:rFonts w:eastAsiaTheme="minorEastAsia"/>
                      <w:bCs/>
                      <w:color w:val="auto"/>
                      <w:szCs w:val="21"/>
                    </w:rPr>
                  </w:pPr>
                  <w:r>
                    <w:rPr>
                      <w:rFonts w:hint="eastAsia" w:eastAsiaTheme="minorEastAsia"/>
                      <w:bCs/>
                      <w:color w:val="auto"/>
                      <w:szCs w:val="21"/>
                    </w:rPr>
                    <w:t>4</w:t>
                  </w:r>
                </w:p>
              </w:tc>
              <w:tc>
                <w:tcPr>
                  <w:tcW w:w="1847" w:type="dxa"/>
                  <w:tcBorders>
                    <w:top w:val="single" w:color="auto" w:sz="4" w:space="0"/>
                    <w:left w:val="single" w:color="auto" w:sz="4" w:space="0"/>
                    <w:bottom w:val="single" w:color="auto" w:sz="4" w:space="0"/>
                    <w:right w:val="single" w:color="auto" w:sz="4" w:space="0"/>
                  </w:tcBorders>
                  <w:vAlign w:val="center"/>
                </w:tcPr>
                <w:p w14:paraId="1D5ECA88">
                  <w:pPr>
                    <w:jc w:val="center"/>
                    <w:rPr>
                      <w:rFonts w:eastAsiaTheme="minorEastAsia"/>
                      <w:color w:val="auto"/>
                      <w:szCs w:val="21"/>
                    </w:rPr>
                  </w:pPr>
                  <w:r>
                    <w:rPr>
                      <w:rFonts w:eastAsiaTheme="minorEastAsia"/>
                      <w:color w:val="auto"/>
                      <w:szCs w:val="21"/>
                    </w:rPr>
                    <w:t>危险废物</w:t>
                  </w:r>
                  <w:r>
                    <w:rPr>
                      <w:color w:val="auto"/>
                      <w:kern w:val="0"/>
                      <w:szCs w:val="21"/>
                    </w:rPr>
                    <w:t>*</w:t>
                  </w:r>
                </w:p>
              </w:tc>
              <w:tc>
                <w:tcPr>
                  <w:tcW w:w="1508" w:type="dxa"/>
                  <w:tcBorders>
                    <w:top w:val="single" w:color="auto" w:sz="4" w:space="0"/>
                    <w:left w:val="single" w:color="auto" w:sz="4" w:space="0"/>
                    <w:bottom w:val="single" w:color="auto" w:sz="4" w:space="0"/>
                    <w:right w:val="single" w:color="auto" w:sz="4" w:space="0"/>
                  </w:tcBorders>
                  <w:vAlign w:val="center"/>
                </w:tcPr>
                <w:p w14:paraId="7C31E315">
                  <w:pPr>
                    <w:adjustRightInd w:val="0"/>
                    <w:snapToGrid w:val="0"/>
                    <w:jc w:val="center"/>
                    <w:rPr>
                      <w:rFonts w:eastAsiaTheme="minorEastAsia"/>
                      <w:bCs/>
                      <w:color w:val="auto"/>
                      <w:szCs w:val="21"/>
                    </w:rPr>
                  </w:pPr>
                  <w:r>
                    <w:rPr>
                      <w:rFonts w:eastAsiaTheme="minorEastAsia"/>
                      <w:bCs/>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43C5BB3">
                  <w:pPr>
                    <w:widowControl/>
                    <w:adjustRightInd w:val="0"/>
                    <w:snapToGrid w:val="0"/>
                    <w:spacing w:line="240" w:lineRule="exact"/>
                    <w:jc w:val="center"/>
                    <w:rPr>
                      <w:rFonts w:eastAsiaTheme="minorEastAsia"/>
                      <w:color w:val="auto"/>
                      <w:kern w:val="0"/>
                      <w:szCs w:val="21"/>
                    </w:rPr>
                  </w:pPr>
                  <w:r>
                    <w:rPr>
                      <w:rFonts w:hint="eastAsia" w:eastAsiaTheme="minorEastAsia"/>
                      <w:color w:val="auto"/>
                      <w:kern w:val="0"/>
                      <w:szCs w:val="21"/>
                      <w:lang w:val="en-US" w:eastAsia="zh-CN"/>
                    </w:rPr>
                    <w:t>8</w:t>
                  </w:r>
                  <w:r>
                    <w:rPr>
                      <w:rFonts w:hint="eastAsia" w:eastAsiaTheme="minorEastAsia"/>
                      <w:color w:val="auto"/>
                      <w:kern w:val="0"/>
                      <w:szCs w:val="21"/>
                    </w:rPr>
                    <w:t>.698</w:t>
                  </w:r>
                </w:p>
              </w:tc>
              <w:tc>
                <w:tcPr>
                  <w:tcW w:w="992" w:type="dxa"/>
                  <w:tcBorders>
                    <w:left w:val="single" w:color="auto" w:sz="4" w:space="0"/>
                    <w:right w:val="single" w:color="auto" w:sz="4" w:space="0"/>
                  </w:tcBorders>
                  <w:vAlign w:val="center"/>
                </w:tcPr>
                <w:p w14:paraId="215D16F9">
                  <w:pPr>
                    <w:widowControl/>
                    <w:jc w:val="center"/>
                    <w:rPr>
                      <w:rFonts w:eastAsiaTheme="minorEastAsia"/>
                      <w:color w:val="auto"/>
                      <w:kern w:val="0"/>
                      <w:szCs w:val="21"/>
                    </w:rPr>
                  </w:pPr>
                  <w:r>
                    <w:rPr>
                      <w:rFonts w:hint="eastAsia" w:eastAsiaTheme="minorEastAsia"/>
                      <w:color w:val="auto"/>
                      <w:kern w:val="0"/>
                      <w:szCs w:val="21"/>
                    </w:rPr>
                    <w:t>50</w:t>
                  </w:r>
                </w:p>
              </w:tc>
              <w:tc>
                <w:tcPr>
                  <w:tcW w:w="1911" w:type="dxa"/>
                  <w:tcBorders>
                    <w:top w:val="single" w:color="auto" w:sz="4" w:space="0"/>
                    <w:left w:val="single" w:color="auto" w:sz="4" w:space="0"/>
                    <w:bottom w:val="single" w:color="auto" w:sz="4" w:space="0"/>
                    <w:right w:val="nil"/>
                  </w:tcBorders>
                  <w:vAlign w:val="center"/>
                </w:tcPr>
                <w:p w14:paraId="6C4EC03A">
                  <w:pPr>
                    <w:widowControl/>
                    <w:jc w:val="center"/>
                    <w:textAlignment w:val="center"/>
                    <w:rPr>
                      <w:rFonts w:hint="default" w:eastAsia="等线"/>
                      <w:color w:val="auto"/>
                      <w:szCs w:val="21"/>
                      <w:lang w:val="en-US" w:eastAsia="zh-CN"/>
                    </w:rPr>
                  </w:pPr>
                  <w:r>
                    <w:rPr>
                      <w:rFonts w:eastAsia="等线"/>
                      <w:color w:val="auto"/>
                      <w:kern w:val="0"/>
                      <w:szCs w:val="21"/>
                    </w:rPr>
                    <w:t>0.</w:t>
                  </w:r>
                  <w:r>
                    <w:rPr>
                      <w:rFonts w:hint="eastAsia" w:eastAsia="等线"/>
                      <w:color w:val="auto"/>
                      <w:kern w:val="0"/>
                      <w:szCs w:val="21"/>
                      <w:lang w:val="en-US" w:eastAsia="zh-CN"/>
                    </w:rPr>
                    <w:t>174</w:t>
                  </w:r>
                </w:p>
              </w:tc>
            </w:tr>
            <w:tr w14:paraId="5EE2A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77" w:type="dxa"/>
                  <w:gridSpan w:val="5"/>
                  <w:tcBorders>
                    <w:top w:val="single" w:color="auto" w:sz="4" w:space="0"/>
                    <w:left w:val="nil"/>
                    <w:bottom w:val="single" w:color="auto" w:sz="12" w:space="0"/>
                    <w:right w:val="single" w:color="auto" w:sz="4" w:space="0"/>
                  </w:tcBorders>
                  <w:vAlign w:val="center"/>
                </w:tcPr>
                <w:p w14:paraId="282D7043">
                  <w:pPr>
                    <w:widowControl/>
                    <w:adjustRightInd w:val="0"/>
                    <w:snapToGrid w:val="0"/>
                    <w:jc w:val="center"/>
                    <w:rPr>
                      <w:rFonts w:eastAsiaTheme="minorEastAsia"/>
                      <w:bCs/>
                      <w:color w:val="auto"/>
                      <w:szCs w:val="21"/>
                    </w:rPr>
                  </w:pPr>
                  <w:r>
                    <w:rPr>
                      <w:rFonts w:eastAsiaTheme="minorEastAsia"/>
                      <w:bCs/>
                      <w:color w:val="auto"/>
                      <w:szCs w:val="21"/>
                    </w:rPr>
                    <w:t>合计</w:t>
                  </w:r>
                </w:p>
              </w:tc>
              <w:tc>
                <w:tcPr>
                  <w:tcW w:w="1911" w:type="dxa"/>
                  <w:tcBorders>
                    <w:top w:val="single" w:color="auto" w:sz="4" w:space="0"/>
                    <w:left w:val="single" w:color="auto" w:sz="4" w:space="0"/>
                    <w:bottom w:val="single" w:color="auto" w:sz="12" w:space="0"/>
                    <w:right w:val="nil"/>
                  </w:tcBorders>
                  <w:vAlign w:val="center"/>
                </w:tcPr>
                <w:p w14:paraId="1B5A7063">
                  <w:pPr>
                    <w:widowControl/>
                    <w:jc w:val="center"/>
                    <w:textAlignment w:val="center"/>
                    <w:rPr>
                      <w:rFonts w:hint="default" w:ascii="等线" w:hAnsi="等线" w:eastAsia="等线" w:cs="等线"/>
                      <w:color w:val="auto"/>
                      <w:sz w:val="22"/>
                      <w:szCs w:val="22"/>
                      <w:lang w:val="en-US" w:eastAsia="zh-CN"/>
                    </w:rPr>
                  </w:pPr>
                  <w:r>
                    <w:rPr>
                      <w:rFonts w:hint="eastAsia" w:eastAsia="等线"/>
                      <w:color w:val="auto"/>
                      <w:kern w:val="0"/>
                      <w:szCs w:val="21"/>
                      <w:lang w:val="en-US" w:eastAsia="zh-CN"/>
                    </w:rPr>
                    <w:t>0.254</w:t>
                  </w:r>
                </w:p>
              </w:tc>
            </w:tr>
          </w:tbl>
          <w:p w14:paraId="543AA58C">
            <w:pPr>
              <w:widowControl/>
              <w:autoSpaceDE w:val="0"/>
              <w:autoSpaceDN w:val="0"/>
              <w:adjustRightInd w:val="0"/>
              <w:snapToGrid w:val="0"/>
              <w:spacing w:line="240" w:lineRule="exact"/>
              <w:jc w:val="left"/>
              <w:rPr>
                <w:color w:val="auto"/>
                <w:kern w:val="0"/>
                <w:szCs w:val="21"/>
              </w:rPr>
            </w:pPr>
            <w:r>
              <w:rPr>
                <w:color w:val="auto"/>
                <w:kern w:val="0"/>
                <w:szCs w:val="21"/>
              </w:rPr>
              <w:t>注：*对照《建设项目环境风险评价技术导则》（HJ169-2018）附录B，企业所用</w:t>
            </w:r>
            <w:r>
              <w:rPr>
                <w:rFonts w:hint="eastAsia"/>
                <w:color w:val="auto"/>
                <w:kern w:val="0"/>
                <w:szCs w:val="21"/>
              </w:rPr>
              <w:t>脲醛胶</w:t>
            </w:r>
            <w:r>
              <w:rPr>
                <w:color w:val="auto"/>
                <w:kern w:val="0"/>
                <w:szCs w:val="21"/>
              </w:rPr>
              <w:t>无直接对应的风险物质及临界量，参照表B.2中健康危险急性毒性物质(类别3)，临界量按照50t计。危险废物参照《建设项目环境风险评价技术导则》（HJ169-2018）附表B.2</w:t>
            </w:r>
            <w:r>
              <w:rPr>
                <w:rFonts w:hint="eastAsia"/>
                <w:color w:val="auto"/>
                <w:kern w:val="0"/>
                <w:szCs w:val="21"/>
                <w:lang w:eastAsia="zh-CN"/>
              </w:rPr>
              <w:t>其他</w:t>
            </w:r>
            <w:r>
              <w:rPr>
                <w:color w:val="auto"/>
                <w:kern w:val="0"/>
                <w:szCs w:val="21"/>
              </w:rPr>
              <w:t>危险废物临界量推荐值中健康危险急性毒性物质（类别2，类别3)，临界量取50t。</w:t>
            </w:r>
          </w:p>
          <w:p w14:paraId="63327BDA">
            <w:pPr>
              <w:widowControl/>
              <w:autoSpaceDE w:val="0"/>
              <w:autoSpaceDN w:val="0"/>
              <w:adjustRightInd w:val="0"/>
              <w:snapToGrid w:val="0"/>
              <w:spacing w:before="120" w:beforeLines="50" w:line="360" w:lineRule="auto"/>
              <w:ind w:firstLine="480" w:firstLineChars="200"/>
              <w:jc w:val="left"/>
              <w:rPr>
                <w:rFonts w:eastAsiaTheme="minorEastAsia"/>
                <w:color w:val="auto"/>
                <w:kern w:val="0"/>
                <w:sz w:val="24"/>
              </w:rPr>
            </w:pPr>
            <w:r>
              <w:rPr>
                <w:rFonts w:eastAsiaTheme="minorEastAsia"/>
                <w:color w:val="auto"/>
                <w:kern w:val="0"/>
                <w:sz w:val="24"/>
              </w:rPr>
              <w:t>根据《建设项目环境风险评价技术导则》（HJ169-2018）附录C，上表中物质的Q（</w:t>
            </w:r>
            <w:r>
              <w:rPr>
                <w:rFonts w:hint="eastAsia" w:eastAsiaTheme="minorEastAsia"/>
                <w:color w:val="auto"/>
                <w:kern w:val="0"/>
                <w:sz w:val="24"/>
              </w:rPr>
              <w:t>0.</w:t>
            </w:r>
            <w:r>
              <w:rPr>
                <w:rFonts w:hint="eastAsia" w:eastAsiaTheme="minorEastAsia"/>
                <w:color w:val="auto"/>
                <w:kern w:val="0"/>
                <w:sz w:val="24"/>
                <w:lang w:val="en-US" w:eastAsia="zh-CN"/>
              </w:rPr>
              <w:t>224</w:t>
            </w:r>
            <w:r>
              <w:rPr>
                <w:rFonts w:eastAsiaTheme="minorEastAsia"/>
                <w:color w:val="auto"/>
                <w:kern w:val="0"/>
                <w:sz w:val="24"/>
              </w:rPr>
              <w:t>）＜1，本项目环境风险潜势为Ⅰ。</w:t>
            </w:r>
          </w:p>
          <w:p w14:paraId="74958804">
            <w:pPr>
              <w:widowControl/>
              <w:autoSpaceDE w:val="0"/>
              <w:autoSpaceDN w:val="0"/>
              <w:adjustRightInd w:val="0"/>
              <w:snapToGrid w:val="0"/>
              <w:spacing w:line="360" w:lineRule="auto"/>
              <w:ind w:firstLine="482" w:firstLineChars="200"/>
              <w:rPr>
                <w:rFonts w:eastAsiaTheme="minorEastAsia"/>
                <w:b/>
                <w:color w:val="auto"/>
                <w:kern w:val="0"/>
                <w:sz w:val="24"/>
              </w:rPr>
            </w:pPr>
            <w:r>
              <w:rPr>
                <w:rFonts w:eastAsiaTheme="minorEastAsia"/>
                <w:b/>
                <w:color w:val="auto"/>
                <w:kern w:val="0"/>
                <w:sz w:val="24"/>
              </w:rPr>
              <w:t>7.2环境风险识别</w:t>
            </w:r>
          </w:p>
          <w:p w14:paraId="6D3FE674">
            <w:pPr>
              <w:widowControl/>
              <w:autoSpaceDE w:val="0"/>
              <w:autoSpaceDN w:val="0"/>
              <w:adjustRightInd w:val="0"/>
              <w:snapToGrid w:val="0"/>
              <w:spacing w:line="360" w:lineRule="auto"/>
              <w:ind w:firstLine="480" w:firstLineChars="200"/>
              <w:rPr>
                <w:rFonts w:eastAsiaTheme="minorEastAsia"/>
                <w:bCs/>
                <w:color w:val="auto"/>
                <w:kern w:val="0"/>
                <w:sz w:val="24"/>
              </w:rPr>
            </w:pPr>
            <w:r>
              <w:rPr>
                <w:rFonts w:hint="eastAsia" w:eastAsiaTheme="minorEastAsia"/>
                <w:bCs/>
                <w:color w:val="auto"/>
                <w:kern w:val="0"/>
                <w:sz w:val="24"/>
              </w:rPr>
              <w:t>建设</w:t>
            </w:r>
            <w:r>
              <w:rPr>
                <w:rFonts w:eastAsiaTheme="minorEastAsia"/>
                <w:bCs/>
                <w:color w:val="auto"/>
                <w:kern w:val="0"/>
                <w:sz w:val="24"/>
              </w:rPr>
              <w:t>项目环境风险识别见表4.7-3。</w:t>
            </w:r>
          </w:p>
          <w:p w14:paraId="12130E0A">
            <w:pPr>
              <w:widowControl/>
              <w:adjustRightInd w:val="0"/>
              <w:snapToGrid w:val="0"/>
              <w:ind w:firstLine="482" w:firstLineChars="200"/>
              <w:jc w:val="center"/>
              <w:rPr>
                <w:rFonts w:eastAsiaTheme="minorEastAsia"/>
                <w:b/>
                <w:bCs/>
                <w:color w:val="auto"/>
                <w:kern w:val="0"/>
                <w:sz w:val="20"/>
                <w:szCs w:val="20"/>
              </w:rPr>
            </w:pPr>
            <w:r>
              <w:rPr>
                <w:rFonts w:eastAsiaTheme="minorEastAsia"/>
                <w:b/>
                <w:bCs/>
                <w:color w:val="auto"/>
                <w:kern w:val="0"/>
                <w:sz w:val="24"/>
              </w:rPr>
              <w:t>表</w:t>
            </w:r>
            <w:r>
              <w:rPr>
                <w:rFonts w:eastAsiaTheme="minorEastAsia"/>
                <w:b/>
                <w:bCs/>
                <w:color w:val="auto"/>
                <w:kern w:val="0"/>
                <w:sz w:val="24"/>
                <w:lang w:bidi="en-US"/>
              </w:rPr>
              <w:t xml:space="preserve">4.7-3  </w:t>
            </w:r>
            <w:r>
              <w:rPr>
                <w:rFonts w:hint="eastAsia" w:eastAsiaTheme="minorEastAsia"/>
                <w:b/>
                <w:bCs/>
                <w:color w:val="auto"/>
                <w:kern w:val="0"/>
                <w:sz w:val="24"/>
                <w:lang w:bidi="en-US"/>
              </w:rPr>
              <w:t>建设</w:t>
            </w:r>
            <w:r>
              <w:rPr>
                <w:rFonts w:eastAsiaTheme="minorEastAsia"/>
                <w:b/>
                <w:bCs/>
                <w:color w:val="auto"/>
                <w:kern w:val="0"/>
                <w:sz w:val="24"/>
              </w:rPr>
              <w:t>项目环境风险识别汇总表</w:t>
            </w:r>
          </w:p>
          <w:tbl>
            <w:tblPr>
              <w:tblStyle w:val="4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36"/>
              <w:gridCol w:w="1220"/>
              <w:gridCol w:w="1934"/>
              <w:gridCol w:w="1073"/>
              <w:gridCol w:w="1533"/>
              <w:gridCol w:w="1992"/>
            </w:tblGrid>
            <w:tr w14:paraId="431AF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67" w:hRule="atLeast"/>
                <w:jc w:val="center"/>
              </w:trPr>
              <w:tc>
                <w:tcPr>
                  <w:tcW w:w="379" w:type="pct"/>
                  <w:tcBorders>
                    <w:top w:val="single" w:color="000000" w:sz="12" w:space="0"/>
                    <w:left w:val="nil"/>
                    <w:bottom w:val="single" w:color="auto" w:sz="4" w:space="0"/>
                    <w:right w:val="single" w:color="000000" w:sz="4" w:space="0"/>
                  </w:tcBorders>
                  <w:vAlign w:val="center"/>
                </w:tcPr>
                <w:p w14:paraId="2DFC3C2B">
                  <w:pPr>
                    <w:adjustRightInd w:val="0"/>
                    <w:snapToGrid w:val="0"/>
                    <w:jc w:val="center"/>
                    <w:rPr>
                      <w:rFonts w:eastAsiaTheme="minorEastAsia"/>
                      <w:b/>
                      <w:color w:val="auto"/>
                      <w:szCs w:val="21"/>
                    </w:rPr>
                  </w:pPr>
                  <w:r>
                    <w:rPr>
                      <w:rFonts w:eastAsiaTheme="minorEastAsia"/>
                      <w:b/>
                      <w:color w:val="auto"/>
                      <w:szCs w:val="21"/>
                    </w:rPr>
                    <w:t>序号</w:t>
                  </w:r>
                </w:p>
              </w:tc>
              <w:tc>
                <w:tcPr>
                  <w:tcW w:w="727" w:type="pct"/>
                  <w:tcBorders>
                    <w:top w:val="single" w:color="000000" w:sz="12" w:space="0"/>
                    <w:left w:val="single" w:color="000000" w:sz="4" w:space="0"/>
                    <w:bottom w:val="single" w:color="auto" w:sz="4" w:space="0"/>
                    <w:right w:val="single" w:color="000000" w:sz="4" w:space="0"/>
                  </w:tcBorders>
                  <w:vAlign w:val="center"/>
                </w:tcPr>
                <w:p w14:paraId="1B36F652">
                  <w:pPr>
                    <w:adjustRightInd w:val="0"/>
                    <w:snapToGrid w:val="0"/>
                    <w:jc w:val="center"/>
                    <w:rPr>
                      <w:rFonts w:eastAsiaTheme="minorEastAsia"/>
                      <w:b/>
                      <w:color w:val="auto"/>
                      <w:szCs w:val="21"/>
                    </w:rPr>
                  </w:pPr>
                  <w:r>
                    <w:rPr>
                      <w:rFonts w:eastAsiaTheme="minorEastAsia"/>
                      <w:b/>
                      <w:color w:val="auto"/>
                      <w:szCs w:val="21"/>
                    </w:rPr>
                    <w:t>危险单元</w:t>
                  </w:r>
                </w:p>
              </w:tc>
              <w:tc>
                <w:tcPr>
                  <w:tcW w:w="1152" w:type="pct"/>
                  <w:tcBorders>
                    <w:top w:val="single" w:color="000000" w:sz="12" w:space="0"/>
                    <w:left w:val="single" w:color="000000" w:sz="4" w:space="0"/>
                    <w:bottom w:val="single" w:color="auto" w:sz="4" w:space="0"/>
                    <w:right w:val="single" w:color="000000" w:sz="4" w:space="0"/>
                  </w:tcBorders>
                  <w:vAlign w:val="center"/>
                </w:tcPr>
                <w:p w14:paraId="750F0928">
                  <w:pPr>
                    <w:adjustRightInd w:val="0"/>
                    <w:snapToGrid w:val="0"/>
                    <w:jc w:val="center"/>
                    <w:rPr>
                      <w:rFonts w:eastAsiaTheme="minorEastAsia"/>
                      <w:b/>
                      <w:color w:val="auto"/>
                      <w:szCs w:val="21"/>
                    </w:rPr>
                  </w:pPr>
                  <w:r>
                    <w:rPr>
                      <w:rFonts w:eastAsiaTheme="minorEastAsia"/>
                      <w:b/>
                      <w:color w:val="auto"/>
                      <w:szCs w:val="21"/>
                    </w:rPr>
                    <w:t>主要危险物质</w:t>
                  </w:r>
                </w:p>
              </w:tc>
              <w:tc>
                <w:tcPr>
                  <w:tcW w:w="639" w:type="pct"/>
                  <w:tcBorders>
                    <w:top w:val="single" w:color="000000" w:sz="12" w:space="0"/>
                    <w:left w:val="single" w:color="000000" w:sz="4" w:space="0"/>
                    <w:bottom w:val="single" w:color="auto" w:sz="4" w:space="0"/>
                    <w:right w:val="single" w:color="000000" w:sz="4" w:space="0"/>
                  </w:tcBorders>
                  <w:vAlign w:val="center"/>
                </w:tcPr>
                <w:p w14:paraId="56612AB5">
                  <w:pPr>
                    <w:adjustRightInd w:val="0"/>
                    <w:snapToGrid w:val="0"/>
                    <w:jc w:val="center"/>
                    <w:rPr>
                      <w:rFonts w:eastAsiaTheme="minorEastAsia"/>
                      <w:b/>
                      <w:color w:val="auto"/>
                      <w:szCs w:val="21"/>
                    </w:rPr>
                  </w:pPr>
                  <w:r>
                    <w:rPr>
                      <w:rFonts w:eastAsiaTheme="minorEastAsia"/>
                      <w:b/>
                      <w:color w:val="auto"/>
                      <w:szCs w:val="21"/>
                    </w:rPr>
                    <w:t>环境风险</w:t>
                  </w:r>
                </w:p>
                <w:p w14:paraId="64ED0F6C">
                  <w:pPr>
                    <w:adjustRightInd w:val="0"/>
                    <w:snapToGrid w:val="0"/>
                    <w:jc w:val="center"/>
                    <w:rPr>
                      <w:rFonts w:eastAsiaTheme="minorEastAsia"/>
                      <w:b/>
                      <w:color w:val="auto"/>
                      <w:szCs w:val="21"/>
                    </w:rPr>
                  </w:pPr>
                  <w:r>
                    <w:rPr>
                      <w:rFonts w:eastAsiaTheme="minorEastAsia"/>
                      <w:b/>
                      <w:color w:val="auto"/>
                      <w:szCs w:val="21"/>
                    </w:rPr>
                    <w:t>类型</w:t>
                  </w:r>
                </w:p>
              </w:tc>
              <w:tc>
                <w:tcPr>
                  <w:tcW w:w="913" w:type="pct"/>
                  <w:tcBorders>
                    <w:top w:val="single" w:color="000000" w:sz="12" w:space="0"/>
                    <w:left w:val="single" w:color="000000" w:sz="4" w:space="0"/>
                    <w:bottom w:val="single" w:color="auto" w:sz="4" w:space="0"/>
                    <w:right w:val="single" w:color="000000" w:sz="4" w:space="0"/>
                  </w:tcBorders>
                  <w:vAlign w:val="center"/>
                </w:tcPr>
                <w:p w14:paraId="5AB6ECBC">
                  <w:pPr>
                    <w:adjustRightInd w:val="0"/>
                    <w:snapToGrid w:val="0"/>
                    <w:jc w:val="center"/>
                    <w:rPr>
                      <w:rFonts w:eastAsiaTheme="minorEastAsia"/>
                      <w:b/>
                      <w:color w:val="auto"/>
                      <w:szCs w:val="21"/>
                    </w:rPr>
                  </w:pPr>
                  <w:r>
                    <w:rPr>
                      <w:rFonts w:eastAsiaTheme="minorEastAsia"/>
                      <w:b/>
                      <w:color w:val="auto"/>
                      <w:szCs w:val="21"/>
                    </w:rPr>
                    <w:t>环境影响途径</w:t>
                  </w:r>
                </w:p>
              </w:tc>
              <w:tc>
                <w:tcPr>
                  <w:tcW w:w="1187" w:type="pct"/>
                  <w:tcBorders>
                    <w:top w:val="single" w:color="000000" w:sz="12" w:space="0"/>
                    <w:left w:val="single" w:color="000000" w:sz="4" w:space="0"/>
                    <w:bottom w:val="single" w:color="auto" w:sz="4" w:space="0"/>
                    <w:right w:val="nil"/>
                  </w:tcBorders>
                  <w:vAlign w:val="center"/>
                </w:tcPr>
                <w:p w14:paraId="3B0AB226">
                  <w:pPr>
                    <w:adjustRightInd w:val="0"/>
                    <w:snapToGrid w:val="0"/>
                    <w:jc w:val="center"/>
                    <w:rPr>
                      <w:rFonts w:eastAsiaTheme="minorEastAsia"/>
                      <w:b/>
                      <w:color w:val="auto"/>
                      <w:szCs w:val="21"/>
                    </w:rPr>
                  </w:pPr>
                  <w:r>
                    <w:rPr>
                      <w:rFonts w:eastAsiaTheme="minorEastAsia"/>
                      <w:b/>
                      <w:color w:val="auto"/>
                      <w:szCs w:val="21"/>
                    </w:rPr>
                    <w:t>可能受影响的环境敏感目标</w:t>
                  </w:r>
                </w:p>
              </w:tc>
            </w:tr>
            <w:tr w14:paraId="7006FB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79" w:type="pct"/>
                  <w:tcBorders>
                    <w:top w:val="single" w:color="000000" w:sz="4" w:space="0"/>
                    <w:left w:val="nil"/>
                    <w:bottom w:val="single" w:color="000000" w:sz="4" w:space="0"/>
                    <w:right w:val="single" w:color="000000" w:sz="4" w:space="0"/>
                  </w:tcBorders>
                  <w:vAlign w:val="center"/>
                </w:tcPr>
                <w:p w14:paraId="5AA6F39D">
                  <w:pPr>
                    <w:adjustRightInd w:val="0"/>
                    <w:snapToGrid w:val="0"/>
                    <w:jc w:val="center"/>
                    <w:rPr>
                      <w:rFonts w:eastAsiaTheme="minorEastAsia"/>
                      <w:color w:val="auto"/>
                      <w:szCs w:val="21"/>
                    </w:rPr>
                  </w:pPr>
                  <w:r>
                    <w:rPr>
                      <w:rFonts w:eastAsiaTheme="minorEastAsia"/>
                      <w:color w:val="auto"/>
                      <w:szCs w:val="21"/>
                    </w:rPr>
                    <w:t>1</w:t>
                  </w:r>
                </w:p>
              </w:tc>
              <w:tc>
                <w:tcPr>
                  <w:tcW w:w="727" w:type="pct"/>
                  <w:tcBorders>
                    <w:top w:val="single" w:color="000000" w:sz="4" w:space="0"/>
                    <w:left w:val="single" w:color="000000" w:sz="4" w:space="0"/>
                    <w:bottom w:val="single" w:color="000000" w:sz="4" w:space="0"/>
                    <w:right w:val="single" w:color="000000" w:sz="4" w:space="0"/>
                  </w:tcBorders>
                  <w:vAlign w:val="center"/>
                </w:tcPr>
                <w:p w14:paraId="1F9C5AAE">
                  <w:pPr>
                    <w:adjustRightInd w:val="0"/>
                    <w:snapToGrid w:val="0"/>
                    <w:jc w:val="center"/>
                    <w:rPr>
                      <w:rFonts w:eastAsiaTheme="minorEastAsia"/>
                      <w:color w:val="auto"/>
                      <w:szCs w:val="21"/>
                    </w:rPr>
                  </w:pPr>
                  <w:r>
                    <w:rPr>
                      <w:rFonts w:eastAsiaTheme="minorEastAsia"/>
                      <w:color w:val="auto"/>
                      <w:szCs w:val="21"/>
                    </w:rPr>
                    <w:t>化学品库</w:t>
                  </w:r>
                </w:p>
              </w:tc>
              <w:tc>
                <w:tcPr>
                  <w:tcW w:w="1152" w:type="pct"/>
                  <w:tcBorders>
                    <w:top w:val="single" w:color="000000" w:sz="4" w:space="0"/>
                    <w:left w:val="single" w:color="000000" w:sz="4" w:space="0"/>
                    <w:bottom w:val="single" w:color="000000" w:sz="4" w:space="0"/>
                    <w:right w:val="single" w:color="000000" w:sz="4" w:space="0"/>
                  </w:tcBorders>
                  <w:vAlign w:val="center"/>
                </w:tcPr>
                <w:p w14:paraId="573915A3">
                  <w:pPr>
                    <w:adjustRightInd w:val="0"/>
                    <w:snapToGrid w:val="0"/>
                    <w:jc w:val="center"/>
                    <w:rPr>
                      <w:rFonts w:eastAsiaTheme="minorEastAsia"/>
                      <w:color w:val="auto"/>
                      <w:szCs w:val="21"/>
                    </w:rPr>
                  </w:pPr>
                  <w:r>
                    <w:rPr>
                      <w:rFonts w:eastAsiaTheme="minorEastAsia"/>
                      <w:color w:val="auto"/>
                      <w:szCs w:val="21"/>
                    </w:rPr>
                    <w:t>原料（</w:t>
                  </w:r>
                  <w:r>
                    <w:rPr>
                      <w:rFonts w:hint="eastAsia" w:eastAsiaTheme="minorEastAsia"/>
                      <w:color w:val="auto"/>
                      <w:szCs w:val="21"/>
                    </w:rPr>
                    <w:t>脲醛胶等</w:t>
                  </w:r>
                  <w:r>
                    <w:rPr>
                      <w:rFonts w:eastAsiaTheme="minorEastAsia"/>
                      <w:color w:val="auto"/>
                      <w:szCs w:val="21"/>
                    </w:rPr>
                    <w:t>）</w:t>
                  </w:r>
                  <w:r>
                    <w:rPr>
                      <w:rFonts w:hint="eastAsia" w:eastAsiaTheme="minorEastAsia"/>
                      <w:color w:val="auto"/>
                      <w:szCs w:val="21"/>
                    </w:rPr>
                    <w:t>、</w:t>
                  </w:r>
                  <w:r>
                    <w:rPr>
                      <w:color w:val="auto"/>
                      <w:szCs w:val="21"/>
                    </w:rPr>
                    <w:t>火灾</w:t>
                  </w:r>
                  <w:r>
                    <w:rPr>
                      <w:rFonts w:hint="eastAsia"/>
                      <w:color w:val="auto"/>
                      <w:szCs w:val="21"/>
                      <w:lang w:eastAsia="zh-CN"/>
                    </w:rPr>
                    <w:t>产生</w:t>
                  </w:r>
                  <w:r>
                    <w:rPr>
                      <w:color w:val="auto"/>
                      <w:szCs w:val="21"/>
                    </w:rPr>
                    <w:t>的CO、消防尾水</w:t>
                  </w:r>
                  <w:r>
                    <w:rPr>
                      <w:rFonts w:hint="eastAsia" w:eastAsiaTheme="minorEastAsia"/>
                      <w:color w:val="auto"/>
                      <w:szCs w:val="21"/>
                    </w:rPr>
                    <w:t>等</w:t>
                  </w:r>
                </w:p>
              </w:tc>
              <w:tc>
                <w:tcPr>
                  <w:tcW w:w="639" w:type="pct"/>
                  <w:tcBorders>
                    <w:top w:val="single" w:color="000000" w:sz="4" w:space="0"/>
                    <w:left w:val="single" w:color="000000" w:sz="4" w:space="0"/>
                    <w:bottom w:val="single" w:color="000000" w:sz="4" w:space="0"/>
                    <w:right w:val="single" w:color="000000" w:sz="4" w:space="0"/>
                  </w:tcBorders>
                  <w:vAlign w:val="center"/>
                </w:tcPr>
                <w:p w14:paraId="01DAB23E">
                  <w:pPr>
                    <w:adjustRightInd w:val="0"/>
                    <w:snapToGrid w:val="0"/>
                    <w:jc w:val="center"/>
                    <w:rPr>
                      <w:rFonts w:eastAsiaTheme="minorEastAsia"/>
                      <w:color w:val="auto"/>
                      <w:szCs w:val="21"/>
                    </w:rPr>
                  </w:pPr>
                  <w:r>
                    <w:rPr>
                      <w:rFonts w:eastAsiaTheme="minorEastAsia"/>
                      <w:color w:val="auto"/>
                      <w:szCs w:val="21"/>
                    </w:rPr>
                    <w:t>火灾、泄漏</w:t>
                  </w:r>
                </w:p>
              </w:tc>
              <w:tc>
                <w:tcPr>
                  <w:tcW w:w="913" w:type="pct"/>
                  <w:tcBorders>
                    <w:top w:val="single" w:color="000000" w:sz="4" w:space="0"/>
                    <w:left w:val="single" w:color="000000" w:sz="4" w:space="0"/>
                    <w:bottom w:val="single" w:color="000000" w:sz="4" w:space="0"/>
                    <w:right w:val="single" w:color="000000" w:sz="4" w:space="0"/>
                  </w:tcBorders>
                  <w:vAlign w:val="center"/>
                </w:tcPr>
                <w:p w14:paraId="553D066D">
                  <w:pPr>
                    <w:adjustRightInd w:val="0"/>
                    <w:snapToGrid w:val="0"/>
                    <w:jc w:val="center"/>
                    <w:rPr>
                      <w:rFonts w:eastAsiaTheme="minorEastAsia"/>
                      <w:color w:val="auto"/>
                      <w:szCs w:val="21"/>
                    </w:rPr>
                  </w:pPr>
                  <w:r>
                    <w:rPr>
                      <w:rFonts w:eastAsiaTheme="minorEastAsia"/>
                      <w:color w:val="auto"/>
                      <w:szCs w:val="21"/>
                    </w:rPr>
                    <w:t>大气、地表水、土壤、地下水</w:t>
                  </w:r>
                </w:p>
              </w:tc>
              <w:tc>
                <w:tcPr>
                  <w:tcW w:w="1187" w:type="pct"/>
                  <w:tcBorders>
                    <w:top w:val="single" w:color="000000" w:sz="4" w:space="0"/>
                    <w:left w:val="single" w:color="000000" w:sz="4" w:space="0"/>
                    <w:bottom w:val="single" w:color="000000" w:sz="4" w:space="0"/>
                    <w:right w:val="nil"/>
                  </w:tcBorders>
                  <w:vAlign w:val="center"/>
                </w:tcPr>
                <w:p w14:paraId="78921A72">
                  <w:pPr>
                    <w:adjustRightInd w:val="0"/>
                    <w:snapToGrid w:val="0"/>
                    <w:jc w:val="center"/>
                    <w:rPr>
                      <w:rFonts w:eastAsiaTheme="minorEastAsia"/>
                      <w:color w:val="auto"/>
                      <w:szCs w:val="21"/>
                    </w:rPr>
                  </w:pPr>
                  <w:r>
                    <w:rPr>
                      <w:rFonts w:eastAsiaTheme="minorEastAsia"/>
                      <w:color w:val="auto"/>
                      <w:szCs w:val="21"/>
                    </w:rPr>
                    <w:t>周边居民区、地下水及土壤，附近水体等</w:t>
                  </w:r>
                </w:p>
              </w:tc>
            </w:tr>
            <w:tr w14:paraId="5DE0E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79" w:type="pct"/>
                  <w:tcBorders>
                    <w:top w:val="single" w:color="000000" w:sz="4" w:space="0"/>
                    <w:left w:val="nil"/>
                    <w:bottom w:val="single" w:color="000000" w:sz="4" w:space="0"/>
                    <w:right w:val="single" w:color="000000" w:sz="4" w:space="0"/>
                  </w:tcBorders>
                  <w:vAlign w:val="center"/>
                </w:tcPr>
                <w:p w14:paraId="405CF9BB">
                  <w:pPr>
                    <w:adjustRightInd w:val="0"/>
                    <w:snapToGrid w:val="0"/>
                    <w:jc w:val="center"/>
                    <w:rPr>
                      <w:rFonts w:eastAsiaTheme="minorEastAsia"/>
                      <w:color w:val="auto"/>
                      <w:szCs w:val="21"/>
                    </w:rPr>
                  </w:pPr>
                  <w:r>
                    <w:rPr>
                      <w:rFonts w:eastAsiaTheme="minorEastAsia"/>
                      <w:color w:val="auto"/>
                      <w:szCs w:val="21"/>
                    </w:rPr>
                    <w:t>2</w:t>
                  </w:r>
                </w:p>
              </w:tc>
              <w:tc>
                <w:tcPr>
                  <w:tcW w:w="727" w:type="pct"/>
                  <w:tcBorders>
                    <w:top w:val="single" w:color="000000" w:sz="4" w:space="0"/>
                    <w:left w:val="single" w:color="000000" w:sz="4" w:space="0"/>
                    <w:bottom w:val="single" w:color="000000" w:sz="4" w:space="0"/>
                    <w:right w:val="single" w:color="000000" w:sz="4" w:space="0"/>
                  </w:tcBorders>
                  <w:vAlign w:val="center"/>
                </w:tcPr>
                <w:p w14:paraId="537E2311">
                  <w:pPr>
                    <w:adjustRightInd w:val="0"/>
                    <w:snapToGrid w:val="0"/>
                    <w:jc w:val="center"/>
                    <w:rPr>
                      <w:rFonts w:eastAsiaTheme="minorEastAsia"/>
                      <w:color w:val="auto"/>
                      <w:szCs w:val="21"/>
                    </w:rPr>
                  </w:pPr>
                  <w:r>
                    <w:rPr>
                      <w:rFonts w:eastAsiaTheme="minorEastAsia"/>
                      <w:color w:val="auto"/>
                      <w:szCs w:val="21"/>
                    </w:rPr>
                    <w:t>危险废物暂存场所</w:t>
                  </w:r>
                </w:p>
              </w:tc>
              <w:tc>
                <w:tcPr>
                  <w:tcW w:w="1152" w:type="pct"/>
                  <w:tcBorders>
                    <w:top w:val="single" w:color="000000" w:sz="4" w:space="0"/>
                    <w:left w:val="single" w:color="000000" w:sz="4" w:space="0"/>
                    <w:bottom w:val="single" w:color="000000" w:sz="4" w:space="0"/>
                    <w:right w:val="single" w:color="000000" w:sz="4" w:space="0"/>
                  </w:tcBorders>
                  <w:vAlign w:val="center"/>
                </w:tcPr>
                <w:p w14:paraId="011071FC">
                  <w:pPr>
                    <w:adjustRightInd w:val="0"/>
                    <w:snapToGrid w:val="0"/>
                    <w:jc w:val="center"/>
                    <w:rPr>
                      <w:rFonts w:eastAsiaTheme="minorEastAsia"/>
                      <w:color w:val="auto"/>
                      <w:szCs w:val="21"/>
                    </w:rPr>
                  </w:pPr>
                  <w:r>
                    <w:rPr>
                      <w:rFonts w:eastAsiaTheme="minorEastAsia"/>
                      <w:color w:val="auto"/>
                      <w:szCs w:val="21"/>
                    </w:rPr>
                    <w:t>危险废物（</w:t>
                  </w:r>
                  <w:r>
                    <w:rPr>
                      <w:rFonts w:hint="eastAsia"/>
                      <w:color w:val="auto"/>
                      <w:szCs w:val="21"/>
                    </w:rPr>
                    <w:t>废活性炭等</w:t>
                  </w:r>
                  <w:r>
                    <w:rPr>
                      <w:rFonts w:eastAsiaTheme="minorEastAsia"/>
                      <w:color w:val="auto"/>
                      <w:szCs w:val="21"/>
                    </w:rPr>
                    <w:t>）</w:t>
                  </w:r>
                  <w:r>
                    <w:rPr>
                      <w:rFonts w:hint="eastAsia" w:eastAsiaTheme="minorEastAsia"/>
                      <w:color w:val="auto"/>
                      <w:szCs w:val="21"/>
                    </w:rPr>
                    <w:t>、</w:t>
                  </w:r>
                  <w:r>
                    <w:rPr>
                      <w:color w:val="auto"/>
                      <w:szCs w:val="21"/>
                    </w:rPr>
                    <w:t>火灾</w:t>
                  </w:r>
                  <w:r>
                    <w:rPr>
                      <w:rFonts w:hint="eastAsia"/>
                      <w:color w:val="auto"/>
                      <w:szCs w:val="21"/>
                      <w:lang w:eastAsia="zh-CN"/>
                    </w:rPr>
                    <w:t>产生</w:t>
                  </w:r>
                  <w:r>
                    <w:rPr>
                      <w:color w:val="auto"/>
                      <w:szCs w:val="21"/>
                    </w:rPr>
                    <w:t>的CO、消防尾水</w:t>
                  </w:r>
                </w:p>
              </w:tc>
              <w:tc>
                <w:tcPr>
                  <w:tcW w:w="639" w:type="pct"/>
                  <w:tcBorders>
                    <w:top w:val="single" w:color="000000" w:sz="4" w:space="0"/>
                    <w:left w:val="single" w:color="000000" w:sz="4" w:space="0"/>
                    <w:bottom w:val="single" w:color="000000" w:sz="4" w:space="0"/>
                    <w:right w:val="single" w:color="000000" w:sz="4" w:space="0"/>
                  </w:tcBorders>
                  <w:vAlign w:val="center"/>
                </w:tcPr>
                <w:p w14:paraId="40797506">
                  <w:pPr>
                    <w:adjustRightInd w:val="0"/>
                    <w:snapToGrid w:val="0"/>
                    <w:jc w:val="center"/>
                    <w:rPr>
                      <w:rFonts w:eastAsiaTheme="minorEastAsia"/>
                      <w:color w:val="auto"/>
                      <w:szCs w:val="21"/>
                    </w:rPr>
                  </w:pPr>
                  <w:r>
                    <w:rPr>
                      <w:rFonts w:eastAsiaTheme="minorEastAsia"/>
                      <w:color w:val="auto"/>
                      <w:szCs w:val="21"/>
                    </w:rPr>
                    <w:t>火灾、泄漏</w:t>
                  </w:r>
                </w:p>
              </w:tc>
              <w:tc>
                <w:tcPr>
                  <w:tcW w:w="913" w:type="pct"/>
                  <w:tcBorders>
                    <w:top w:val="single" w:color="000000" w:sz="4" w:space="0"/>
                    <w:left w:val="single" w:color="000000" w:sz="4" w:space="0"/>
                    <w:bottom w:val="single" w:color="000000" w:sz="4" w:space="0"/>
                    <w:right w:val="single" w:color="000000" w:sz="4" w:space="0"/>
                  </w:tcBorders>
                  <w:vAlign w:val="center"/>
                </w:tcPr>
                <w:p w14:paraId="1695821E">
                  <w:pPr>
                    <w:adjustRightInd w:val="0"/>
                    <w:snapToGrid w:val="0"/>
                    <w:jc w:val="center"/>
                    <w:rPr>
                      <w:rFonts w:eastAsiaTheme="minorEastAsia"/>
                      <w:color w:val="auto"/>
                      <w:szCs w:val="21"/>
                    </w:rPr>
                  </w:pPr>
                  <w:r>
                    <w:rPr>
                      <w:rFonts w:eastAsiaTheme="minorEastAsia"/>
                      <w:color w:val="auto"/>
                      <w:szCs w:val="21"/>
                    </w:rPr>
                    <w:t>大气、地表水、土壤、地下水</w:t>
                  </w:r>
                </w:p>
              </w:tc>
              <w:tc>
                <w:tcPr>
                  <w:tcW w:w="1187" w:type="pct"/>
                  <w:tcBorders>
                    <w:top w:val="single" w:color="000000" w:sz="4" w:space="0"/>
                    <w:left w:val="single" w:color="000000" w:sz="4" w:space="0"/>
                    <w:bottom w:val="single" w:color="000000" w:sz="4" w:space="0"/>
                    <w:right w:val="nil"/>
                  </w:tcBorders>
                  <w:vAlign w:val="center"/>
                </w:tcPr>
                <w:p w14:paraId="5996FB28">
                  <w:pPr>
                    <w:adjustRightInd w:val="0"/>
                    <w:snapToGrid w:val="0"/>
                    <w:jc w:val="center"/>
                    <w:rPr>
                      <w:rFonts w:eastAsiaTheme="minorEastAsia"/>
                      <w:color w:val="auto"/>
                      <w:szCs w:val="21"/>
                    </w:rPr>
                  </w:pPr>
                  <w:r>
                    <w:rPr>
                      <w:rFonts w:eastAsiaTheme="minorEastAsia"/>
                      <w:color w:val="auto"/>
                      <w:szCs w:val="21"/>
                    </w:rPr>
                    <w:t>周边居民区、地下水及土壤，附近水体等</w:t>
                  </w:r>
                </w:p>
              </w:tc>
            </w:tr>
            <w:tr w14:paraId="7DDCAE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79" w:type="pct"/>
                  <w:tcBorders>
                    <w:top w:val="single" w:color="000000" w:sz="4" w:space="0"/>
                    <w:left w:val="nil"/>
                    <w:bottom w:val="single" w:color="000000" w:sz="4" w:space="0"/>
                    <w:right w:val="single" w:color="000000" w:sz="4" w:space="0"/>
                  </w:tcBorders>
                  <w:vAlign w:val="center"/>
                </w:tcPr>
                <w:p w14:paraId="1AFE5D7D">
                  <w:pPr>
                    <w:adjustRightInd w:val="0"/>
                    <w:snapToGrid w:val="0"/>
                    <w:jc w:val="center"/>
                    <w:rPr>
                      <w:rFonts w:eastAsiaTheme="minorEastAsia"/>
                      <w:color w:val="auto"/>
                      <w:szCs w:val="21"/>
                    </w:rPr>
                  </w:pPr>
                  <w:r>
                    <w:rPr>
                      <w:rFonts w:eastAsiaTheme="minorEastAsia"/>
                      <w:color w:val="auto"/>
                      <w:szCs w:val="21"/>
                    </w:rPr>
                    <w:t>3</w:t>
                  </w:r>
                </w:p>
              </w:tc>
              <w:tc>
                <w:tcPr>
                  <w:tcW w:w="727" w:type="pct"/>
                  <w:tcBorders>
                    <w:top w:val="single" w:color="000000" w:sz="4" w:space="0"/>
                    <w:left w:val="single" w:color="000000" w:sz="4" w:space="0"/>
                    <w:bottom w:val="single" w:color="000000" w:sz="4" w:space="0"/>
                    <w:right w:val="single" w:color="000000" w:sz="4" w:space="0"/>
                  </w:tcBorders>
                  <w:vAlign w:val="center"/>
                </w:tcPr>
                <w:p w14:paraId="47C4174F">
                  <w:pPr>
                    <w:adjustRightInd w:val="0"/>
                    <w:snapToGrid w:val="0"/>
                    <w:jc w:val="center"/>
                    <w:rPr>
                      <w:rFonts w:eastAsiaTheme="minorEastAsia"/>
                      <w:color w:val="auto"/>
                      <w:szCs w:val="21"/>
                    </w:rPr>
                  </w:pPr>
                  <w:r>
                    <w:rPr>
                      <w:rFonts w:eastAsiaTheme="minorEastAsia"/>
                      <w:color w:val="auto"/>
                      <w:szCs w:val="21"/>
                    </w:rPr>
                    <w:t>生产车间</w:t>
                  </w:r>
                </w:p>
              </w:tc>
              <w:tc>
                <w:tcPr>
                  <w:tcW w:w="1152" w:type="pct"/>
                  <w:tcBorders>
                    <w:top w:val="single" w:color="000000" w:sz="4" w:space="0"/>
                    <w:left w:val="single" w:color="000000" w:sz="4" w:space="0"/>
                    <w:bottom w:val="single" w:color="000000" w:sz="4" w:space="0"/>
                    <w:right w:val="single" w:color="000000" w:sz="4" w:space="0"/>
                  </w:tcBorders>
                  <w:vAlign w:val="center"/>
                </w:tcPr>
                <w:p w14:paraId="2077E2C0">
                  <w:pPr>
                    <w:adjustRightInd w:val="0"/>
                    <w:snapToGrid w:val="0"/>
                    <w:jc w:val="center"/>
                    <w:rPr>
                      <w:rFonts w:eastAsiaTheme="minorEastAsia"/>
                      <w:color w:val="auto"/>
                      <w:szCs w:val="21"/>
                    </w:rPr>
                  </w:pPr>
                  <w:r>
                    <w:rPr>
                      <w:rFonts w:eastAsiaTheme="minorEastAsia"/>
                      <w:color w:val="auto"/>
                      <w:szCs w:val="21"/>
                    </w:rPr>
                    <w:t>原料（</w:t>
                  </w:r>
                  <w:r>
                    <w:rPr>
                      <w:rFonts w:hint="eastAsia" w:eastAsiaTheme="minorEastAsia"/>
                      <w:color w:val="auto"/>
                      <w:szCs w:val="21"/>
                    </w:rPr>
                    <w:t>脲醛胶</w:t>
                  </w:r>
                  <w:r>
                    <w:rPr>
                      <w:rFonts w:eastAsiaTheme="minorEastAsia"/>
                      <w:color w:val="auto"/>
                      <w:szCs w:val="21"/>
                    </w:rPr>
                    <w:t>等）</w:t>
                  </w:r>
                  <w:r>
                    <w:rPr>
                      <w:rFonts w:hint="eastAsia" w:eastAsiaTheme="minorEastAsia"/>
                      <w:color w:val="auto"/>
                      <w:szCs w:val="21"/>
                    </w:rPr>
                    <w:t>、</w:t>
                  </w:r>
                  <w:r>
                    <w:rPr>
                      <w:color w:val="auto"/>
                      <w:szCs w:val="21"/>
                    </w:rPr>
                    <w:t>火灾次生的CO、消防尾水</w:t>
                  </w:r>
                </w:p>
              </w:tc>
              <w:tc>
                <w:tcPr>
                  <w:tcW w:w="639" w:type="pct"/>
                  <w:tcBorders>
                    <w:top w:val="single" w:color="000000" w:sz="4" w:space="0"/>
                    <w:left w:val="single" w:color="000000" w:sz="4" w:space="0"/>
                    <w:bottom w:val="single" w:color="000000" w:sz="4" w:space="0"/>
                    <w:right w:val="single" w:color="000000" w:sz="4" w:space="0"/>
                  </w:tcBorders>
                  <w:vAlign w:val="center"/>
                </w:tcPr>
                <w:p w14:paraId="2377AD1E">
                  <w:pPr>
                    <w:adjustRightInd w:val="0"/>
                    <w:snapToGrid w:val="0"/>
                    <w:jc w:val="center"/>
                    <w:rPr>
                      <w:rFonts w:eastAsiaTheme="minorEastAsia"/>
                      <w:color w:val="auto"/>
                      <w:szCs w:val="21"/>
                    </w:rPr>
                  </w:pPr>
                  <w:r>
                    <w:rPr>
                      <w:rFonts w:eastAsiaTheme="minorEastAsia"/>
                      <w:color w:val="auto"/>
                      <w:szCs w:val="21"/>
                    </w:rPr>
                    <w:t>火灾、泄漏</w:t>
                  </w:r>
                </w:p>
              </w:tc>
              <w:tc>
                <w:tcPr>
                  <w:tcW w:w="913" w:type="pct"/>
                  <w:tcBorders>
                    <w:top w:val="single" w:color="000000" w:sz="4" w:space="0"/>
                    <w:left w:val="single" w:color="000000" w:sz="4" w:space="0"/>
                    <w:bottom w:val="single" w:color="000000" w:sz="4" w:space="0"/>
                    <w:right w:val="single" w:color="000000" w:sz="4" w:space="0"/>
                  </w:tcBorders>
                  <w:vAlign w:val="center"/>
                </w:tcPr>
                <w:p w14:paraId="1A5562D1">
                  <w:pPr>
                    <w:adjustRightInd w:val="0"/>
                    <w:snapToGrid w:val="0"/>
                    <w:jc w:val="center"/>
                    <w:rPr>
                      <w:rFonts w:eastAsiaTheme="minorEastAsia"/>
                      <w:color w:val="auto"/>
                      <w:szCs w:val="21"/>
                    </w:rPr>
                  </w:pPr>
                  <w:r>
                    <w:rPr>
                      <w:rFonts w:eastAsiaTheme="minorEastAsia"/>
                      <w:color w:val="auto"/>
                      <w:szCs w:val="21"/>
                    </w:rPr>
                    <w:t>大气、地表水、土壤、地下水</w:t>
                  </w:r>
                </w:p>
              </w:tc>
              <w:tc>
                <w:tcPr>
                  <w:tcW w:w="1187" w:type="pct"/>
                  <w:tcBorders>
                    <w:top w:val="single" w:color="000000" w:sz="4" w:space="0"/>
                    <w:left w:val="single" w:color="000000" w:sz="4" w:space="0"/>
                    <w:bottom w:val="single" w:color="000000" w:sz="4" w:space="0"/>
                    <w:right w:val="nil"/>
                  </w:tcBorders>
                  <w:vAlign w:val="center"/>
                </w:tcPr>
                <w:p w14:paraId="70A609ED">
                  <w:pPr>
                    <w:adjustRightInd w:val="0"/>
                    <w:snapToGrid w:val="0"/>
                    <w:jc w:val="center"/>
                    <w:rPr>
                      <w:rFonts w:eastAsiaTheme="minorEastAsia"/>
                      <w:color w:val="auto"/>
                      <w:szCs w:val="21"/>
                    </w:rPr>
                  </w:pPr>
                  <w:r>
                    <w:rPr>
                      <w:rFonts w:eastAsiaTheme="minorEastAsia"/>
                      <w:color w:val="auto"/>
                      <w:szCs w:val="21"/>
                    </w:rPr>
                    <w:t>周边居民区、地下水及土壤，附近水体等</w:t>
                  </w:r>
                </w:p>
              </w:tc>
            </w:tr>
            <w:tr w14:paraId="2D7C32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79" w:type="pct"/>
                  <w:tcBorders>
                    <w:top w:val="single" w:color="000000" w:sz="4" w:space="0"/>
                    <w:left w:val="nil"/>
                    <w:bottom w:val="single" w:color="000000" w:sz="4" w:space="0"/>
                    <w:right w:val="single" w:color="000000" w:sz="4" w:space="0"/>
                  </w:tcBorders>
                  <w:vAlign w:val="center"/>
                </w:tcPr>
                <w:p w14:paraId="6B047C59">
                  <w:pPr>
                    <w:adjustRightInd w:val="0"/>
                    <w:snapToGrid w:val="0"/>
                    <w:jc w:val="center"/>
                    <w:rPr>
                      <w:rFonts w:eastAsiaTheme="minorEastAsia"/>
                      <w:color w:val="auto"/>
                      <w:szCs w:val="21"/>
                    </w:rPr>
                  </w:pPr>
                  <w:r>
                    <w:rPr>
                      <w:rFonts w:eastAsiaTheme="minorEastAsia"/>
                      <w:color w:val="auto"/>
                      <w:szCs w:val="21"/>
                    </w:rPr>
                    <w:t>4</w:t>
                  </w:r>
                </w:p>
              </w:tc>
              <w:tc>
                <w:tcPr>
                  <w:tcW w:w="727" w:type="pct"/>
                  <w:tcBorders>
                    <w:top w:val="single" w:color="000000" w:sz="4" w:space="0"/>
                    <w:left w:val="single" w:color="000000" w:sz="4" w:space="0"/>
                    <w:bottom w:val="single" w:color="000000" w:sz="4" w:space="0"/>
                    <w:right w:val="single" w:color="000000" w:sz="4" w:space="0"/>
                  </w:tcBorders>
                  <w:vAlign w:val="center"/>
                </w:tcPr>
                <w:p w14:paraId="7CA575BE">
                  <w:pPr>
                    <w:adjustRightInd w:val="0"/>
                    <w:snapToGrid w:val="0"/>
                    <w:jc w:val="center"/>
                    <w:rPr>
                      <w:rFonts w:eastAsiaTheme="minorEastAsia"/>
                      <w:color w:val="auto"/>
                      <w:szCs w:val="21"/>
                    </w:rPr>
                  </w:pPr>
                  <w:r>
                    <w:rPr>
                      <w:rFonts w:hint="eastAsia" w:eastAsiaTheme="minorEastAsia"/>
                      <w:color w:val="auto"/>
                      <w:szCs w:val="21"/>
                    </w:rPr>
                    <w:t>生产车间、粉尘处理设施</w:t>
                  </w:r>
                </w:p>
              </w:tc>
              <w:tc>
                <w:tcPr>
                  <w:tcW w:w="1152" w:type="pct"/>
                  <w:tcBorders>
                    <w:top w:val="single" w:color="000000" w:sz="4" w:space="0"/>
                    <w:left w:val="single" w:color="000000" w:sz="4" w:space="0"/>
                    <w:bottom w:val="single" w:color="000000" w:sz="4" w:space="0"/>
                    <w:right w:val="single" w:color="000000" w:sz="4" w:space="0"/>
                  </w:tcBorders>
                  <w:vAlign w:val="center"/>
                </w:tcPr>
                <w:p w14:paraId="62E2CF5A">
                  <w:pPr>
                    <w:adjustRightInd w:val="0"/>
                    <w:snapToGrid w:val="0"/>
                    <w:jc w:val="center"/>
                    <w:rPr>
                      <w:rFonts w:eastAsiaTheme="minorEastAsia"/>
                      <w:color w:val="auto"/>
                      <w:szCs w:val="21"/>
                    </w:rPr>
                  </w:pPr>
                  <w:r>
                    <w:rPr>
                      <w:rFonts w:hint="eastAsia" w:eastAsiaTheme="minorEastAsia"/>
                      <w:color w:val="auto"/>
                      <w:szCs w:val="21"/>
                    </w:rPr>
                    <w:t>粉尘</w:t>
                  </w:r>
                </w:p>
              </w:tc>
              <w:tc>
                <w:tcPr>
                  <w:tcW w:w="639" w:type="pct"/>
                  <w:tcBorders>
                    <w:top w:val="single" w:color="000000" w:sz="4" w:space="0"/>
                    <w:left w:val="single" w:color="000000" w:sz="4" w:space="0"/>
                    <w:bottom w:val="single" w:color="000000" w:sz="4" w:space="0"/>
                    <w:right w:val="single" w:color="000000" w:sz="4" w:space="0"/>
                  </w:tcBorders>
                  <w:vAlign w:val="center"/>
                </w:tcPr>
                <w:p w14:paraId="46BB6BDF">
                  <w:pPr>
                    <w:adjustRightInd w:val="0"/>
                    <w:snapToGrid w:val="0"/>
                    <w:jc w:val="center"/>
                    <w:rPr>
                      <w:rFonts w:eastAsiaTheme="minorEastAsia"/>
                      <w:color w:val="auto"/>
                      <w:szCs w:val="21"/>
                    </w:rPr>
                  </w:pPr>
                  <w:r>
                    <w:rPr>
                      <w:rFonts w:hint="eastAsia" w:eastAsiaTheme="minorEastAsia"/>
                      <w:color w:val="auto"/>
                      <w:szCs w:val="21"/>
                    </w:rPr>
                    <w:t>粉尘爆炸</w:t>
                  </w:r>
                </w:p>
              </w:tc>
              <w:tc>
                <w:tcPr>
                  <w:tcW w:w="913" w:type="pct"/>
                  <w:tcBorders>
                    <w:top w:val="single" w:color="000000" w:sz="4" w:space="0"/>
                    <w:left w:val="single" w:color="000000" w:sz="4" w:space="0"/>
                    <w:bottom w:val="single" w:color="000000" w:sz="4" w:space="0"/>
                    <w:right w:val="single" w:color="000000" w:sz="4" w:space="0"/>
                  </w:tcBorders>
                  <w:vAlign w:val="center"/>
                </w:tcPr>
                <w:p w14:paraId="4C12C8D5">
                  <w:pPr>
                    <w:adjustRightInd w:val="0"/>
                    <w:snapToGrid w:val="0"/>
                    <w:jc w:val="center"/>
                    <w:rPr>
                      <w:rFonts w:eastAsiaTheme="minorEastAsia"/>
                      <w:color w:val="auto"/>
                      <w:szCs w:val="21"/>
                    </w:rPr>
                  </w:pPr>
                  <w:r>
                    <w:rPr>
                      <w:rFonts w:eastAsiaTheme="minorEastAsia"/>
                      <w:color w:val="auto"/>
                      <w:szCs w:val="21"/>
                    </w:rPr>
                    <w:t>大气、地表水、土壤、地下水</w:t>
                  </w:r>
                </w:p>
              </w:tc>
              <w:tc>
                <w:tcPr>
                  <w:tcW w:w="1187" w:type="pct"/>
                  <w:tcBorders>
                    <w:top w:val="single" w:color="000000" w:sz="4" w:space="0"/>
                    <w:left w:val="single" w:color="000000" w:sz="4" w:space="0"/>
                    <w:bottom w:val="single" w:color="000000" w:sz="4" w:space="0"/>
                    <w:right w:val="nil"/>
                  </w:tcBorders>
                  <w:vAlign w:val="center"/>
                </w:tcPr>
                <w:p w14:paraId="59762698">
                  <w:pPr>
                    <w:adjustRightInd w:val="0"/>
                    <w:snapToGrid w:val="0"/>
                    <w:jc w:val="center"/>
                    <w:rPr>
                      <w:rFonts w:eastAsiaTheme="minorEastAsia"/>
                      <w:color w:val="auto"/>
                      <w:szCs w:val="21"/>
                    </w:rPr>
                  </w:pPr>
                  <w:r>
                    <w:rPr>
                      <w:rFonts w:eastAsiaTheme="minorEastAsia"/>
                      <w:color w:val="auto"/>
                      <w:szCs w:val="21"/>
                    </w:rPr>
                    <w:t>周边居民区、地下水及土壤，附近水体等</w:t>
                  </w:r>
                </w:p>
              </w:tc>
            </w:tr>
            <w:tr w14:paraId="5D6AF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379" w:type="pct"/>
                  <w:tcBorders>
                    <w:top w:val="single" w:color="000000" w:sz="4" w:space="0"/>
                    <w:left w:val="nil"/>
                    <w:bottom w:val="single" w:color="auto" w:sz="12" w:space="0"/>
                    <w:right w:val="single" w:color="000000" w:sz="4" w:space="0"/>
                  </w:tcBorders>
                  <w:vAlign w:val="center"/>
                </w:tcPr>
                <w:p w14:paraId="0624819D">
                  <w:pPr>
                    <w:adjustRightInd w:val="0"/>
                    <w:snapToGrid w:val="0"/>
                    <w:jc w:val="center"/>
                    <w:rPr>
                      <w:rFonts w:eastAsiaTheme="minorEastAsia"/>
                      <w:color w:val="auto"/>
                      <w:szCs w:val="21"/>
                    </w:rPr>
                  </w:pPr>
                  <w:r>
                    <w:rPr>
                      <w:rFonts w:hint="eastAsia" w:eastAsiaTheme="minorEastAsia"/>
                      <w:color w:val="auto"/>
                      <w:szCs w:val="21"/>
                    </w:rPr>
                    <w:t>5</w:t>
                  </w:r>
                </w:p>
              </w:tc>
              <w:tc>
                <w:tcPr>
                  <w:tcW w:w="727" w:type="pct"/>
                  <w:tcBorders>
                    <w:top w:val="single" w:color="000000" w:sz="4" w:space="0"/>
                    <w:left w:val="single" w:color="000000" w:sz="4" w:space="0"/>
                    <w:bottom w:val="single" w:color="auto" w:sz="12" w:space="0"/>
                    <w:right w:val="single" w:color="000000" w:sz="4" w:space="0"/>
                  </w:tcBorders>
                  <w:vAlign w:val="center"/>
                </w:tcPr>
                <w:p w14:paraId="4F7A27DB">
                  <w:pPr>
                    <w:adjustRightInd w:val="0"/>
                    <w:snapToGrid w:val="0"/>
                    <w:jc w:val="center"/>
                    <w:rPr>
                      <w:rFonts w:eastAsiaTheme="minorEastAsia"/>
                      <w:color w:val="auto"/>
                      <w:szCs w:val="21"/>
                    </w:rPr>
                  </w:pPr>
                  <w:r>
                    <w:rPr>
                      <w:rFonts w:eastAsiaTheme="minorEastAsia"/>
                      <w:color w:val="auto"/>
                      <w:szCs w:val="21"/>
                    </w:rPr>
                    <w:t>废气处理设施</w:t>
                  </w:r>
                </w:p>
              </w:tc>
              <w:tc>
                <w:tcPr>
                  <w:tcW w:w="1152" w:type="pct"/>
                  <w:tcBorders>
                    <w:top w:val="single" w:color="000000" w:sz="4" w:space="0"/>
                    <w:left w:val="single" w:color="000000" w:sz="4" w:space="0"/>
                    <w:bottom w:val="single" w:color="auto" w:sz="12" w:space="0"/>
                    <w:right w:val="single" w:color="000000" w:sz="4" w:space="0"/>
                  </w:tcBorders>
                  <w:vAlign w:val="center"/>
                </w:tcPr>
                <w:p w14:paraId="65051F4F">
                  <w:pPr>
                    <w:adjustRightInd w:val="0"/>
                    <w:snapToGrid w:val="0"/>
                    <w:jc w:val="center"/>
                    <w:rPr>
                      <w:rFonts w:eastAsiaTheme="minorEastAsia"/>
                      <w:color w:val="auto"/>
                      <w:szCs w:val="21"/>
                    </w:rPr>
                  </w:pPr>
                  <w:r>
                    <w:rPr>
                      <w:color w:val="auto"/>
                      <w:szCs w:val="21"/>
                    </w:rPr>
                    <w:t>非甲烷总烃、</w:t>
                  </w:r>
                  <w:r>
                    <w:rPr>
                      <w:rFonts w:hint="eastAsia"/>
                      <w:color w:val="auto"/>
                      <w:szCs w:val="21"/>
                    </w:rPr>
                    <w:t>甲醛、</w:t>
                  </w:r>
                  <w:r>
                    <w:rPr>
                      <w:color w:val="auto"/>
                      <w:szCs w:val="21"/>
                    </w:rPr>
                    <w:t>火灾次生的CO、消防尾水</w:t>
                  </w:r>
                </w:p>
              </w:tc>
              <w:tc>
                <w:tcPr>
                  <w:tcW w:w="639" w:type="pct"/>
                  <w:tcBorders>
                    <w:top w:val="single" w:color="000000" w:sz="4" w:space="0"/>
                    <w:left w:val="single" w:color="000000" w:sz="4" w:space="0"/>
                    <w:bottom w:val="single" w:color="auto" w:sz="12" w:space="0"/>
                    <w:right w:val="single" w:color="000000" w:sz="4" w:space="0"/>
                  </w:tcBorders>
                  <w:vAlign w:val="center"/>
                </w:tcPr>
                <w:p w14:paraId="3BDD304E">
                  <w:pPr>
                    <w:adjustRightInd w:val="0"/>
                    <w:snapToGrid w:val="0"/>
                    <w:jc w:val="center"/>
                    <w:rPr>
                      <w:rFonts w:eastAsiaTheme="minorEastAsia"/>
                      <w:color w:val="auto"/>
                      <w:szCs w:val="21"/>
                    </w:rPr>
                  </w:pPr>
                  <w:r>
                    <w:rPr>
                      <w:rFonts w:eastAsiaTheme="minorEastAsia"/>
                      <w:color w:val="auto"/>
                      <w:szCs w:val="21"/>
                    </w:rPr>
                    <w:t>超标排放、火灾</w:t>
                  </w:r>
                </w:p>
              </w:tc>
              <w:tc>
                <w:tcPr>
                  <w:tcW w:w="913" w:type="pct"/>
                  <w:tcBorders>
                    <w:top w:val="single" w:color="000000" w:sz="4" w:space="0"/>
                    <w:left w:val="single" w:color="000000" w:sz="4" w:space="0"/>
                    <w:bottom w:val="single" w:color="auto" w:sz="12" w:space="0"/>
                    <w:right w:val="single" w:color="000000" w:sz="4" w:space="0"/>
                  </w:tcBorders>
                  <w:vAlign w:val="center"/>
                </w:tcPr>
                <w:p w14:paraId="31A570BE">
                  <w:pPr>
                    <w:adjustRightInd w:val="0"/>
                    <w:snapToGrid w:val="0"/>
                    <w:jc w:val="center"/>
                    <w:rPr>
                      <w:rFonts w:eastAsiaTheme="minorEastAsia"/>
                      <w:color w:val="auto"/>
                      <w:szCs w:val="21"/>
                    </w:rPr>
                  </w:pPr>
                  <w:r>
                    <w:rPr>
                      <w:rFonts w:eastAsiaTheme="minorEastAsia"/>
                      <w:color w:val="auto"/>
                      <w:szCs w:val="21"/>
                    </w:rPr>
                    <w:t>大气、土壤、地下水、地表水</w:t>
                  </w:r>
                </w:p>
              </w:tc>
              <w:tc>
                <w:tcPr>
                  <w:tcW w:w="1187" w:type="pct"/>
                  <w:tcBorders>
                    <w:top w:val="single" w:color="000000" w:sz="4" w:space="0"/>
                    <w:left w:val="single" w:color="000000" w:sz="4" w:space="0"/>
                    <w:bottom w:val="single" w:color="auto" w:sz="12" w:space="0"/>
                    <w:right w:val="nil"/>
                  </w:tcBorders>
                  <w:vAlign w:val="center"/>
                </w:tcPr>
                <w:p w14:paraId="4C950BC4">
                  <w:pPr>
                    <w:adjustRightInd w:val="0"/>
                    <w:snapToGrid w:val="0"/>
                    <w:jc w:val="center"/>
                    <w:rPr>
                      <w:rFonts w:eastAsiaTheme="minorEastAsia"/>
                      <w:color w:val="auto"/>
                      <w:szCs w:val="21"/>
                    </w:rPr>
                  </w:pPr>
                  <w:r>
                    <w:rPr>
                      <w:rFonts w:eastAsiaTheme="minorEastAsia"/>
                      <w:color w:val="auto"/>
                      <w:szCs w:val="21"/>
                    </w:rPr>
                    <w:t>周边居民区、地下水及土壤，附近水体等</w:t>
                  </w:r>
                </w:p>
              </w:tc>
            </w:tr>
          </w:tbl>
          <w:p w14:paraId="7B650394">
            <w:pPr>
              <w:widowControl/>
              <w:autoSpaceDE w:val="0"/>
              <w:autoSpaceDN w:val="0"/>
              <w:adjustRightInd w:val="0"/>
              <w:snapToGrid w:val="0"/>
              <w:spacing w:before="120" w:beforeLines="50" w:line="360" w:lineRule="auto"/>
              <w:ind w:firstLine="482" w:firstLineChars="200"/>
              <w:jc w:val="left"/>
              <w:rPr>
                <w:b/>
                <w:bCs/>
                <w:color w:val="auto"/>
                <w:kern w:val="0"/>
                <w:sz w:val="24"/>
                <w:lang w:val="zh-CN"/>
              </w:rPr>
            </w:pPr>
            <w:r>
              <w:rPr>
                <w:rFonts w:eastAsiaTheme="minorEastAsia"/>
                <w:b/>
                <w:color w:val="auto"/>
                <w:kern w:val="0"/>
                <w:sz w:val="24"/>
              </w:rPr>
              <w:t>7.3环境风险防范措施</w:t>
            </w:r>
          </w:p>
          <w:p w14:paraId="178A8C6C">
            <w:pPr>
              <w:wordWrap w:val="0"/>
              <w:autoSpaceDE w:val="0"/>
              <w:autoSpaceDN w:val="0"/>
              <w:adjustRightInd w:val="0"/>
              <w:snapToGrid w:val="0"/>
              <w:spacing w:line="360" w:lineRule="auto"/>
              <w:ind w:firstLine="482" w:firstLineChars="200"/>
              <w:rPr>
                <w:color w:val="auto"/>
                <w:kern w:val="0"/>
                <w:sz w:val="24"/>
                <w:lang w:val="zh-CN"/>
              </w:rPr>
            </w:pPr>
            <w:r>
              <w:rPr>
                <w:b/>
                <w:bCs/>
                <w:color w:val="auto"/>
                <w:kern w:val="0"/>
                <w:sz w:val="24"/>
                <w:lang w:val="zh-CN"/>
              </w:rPr>
              <w:t>①技术、工艺及装备、设备、设施方面</w:t>
            </w:r>
          </w:p>
          <w:p w14:paraId="69F20A54">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为降低生产场所空气中的有害物质浓度，车间及仓库需要配备必要的通、排风装置，以保持通风状况良好，必要时应采取机械式强制通风。确保通风装置的完好、有效。</w:t>
            </w:r>
          </w:p>
          <w:p w14:paraId="309A2BB8">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企业对特种设备建立设备档案和严格的管理制度，制定并严格执行操作规程和定期检验制度，确保安全生产；特种设备操作人员必须经培训合格，持证上岗。</w:t>
            </w:r>
          </w:p>
          <w:p w14:paraId="397E43FC">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各类设备、泵机、管线、阀门、电气控制部位均应按规范设置位号、色标、输送介质、流向、开关等标志标识及安全警示标识。</w:t>
            </w:r>
          </w:p>
          <w:p w14:paraId="13502EFE">
            <w:pPr>
              <w:wordWrap w:val="0"/>
              <w:autoSpaceDE w:val="0"/>
              <w:autoSpaceDN w:val="0"/>
              <w:adjustRightInd w:val="0"/>
              <w:snapToGrid w:val="0"/>
              <w:spacing w:line="360" w:lineRule="auto"/>
              <w:ind w:firstLine="482" w:firstLineChars="200"/>
              <w:rPr>
                <w:color w:val="auto"/>
                <w:kern w:val="0"/>
                <w:sz w:val="24"/>
                <w:lang w:val="zh-CN"/>
              </w:rPr>
            </w:pPr>
            <w:r>
              <w:rPr>
                <w:b/>
                <w:bCs/>
                <w:color w:val="auto"/>
                <w:kern w:val="0"/>
                <w:sz w:val="24"/>
                <w:lang w:val="zh-CN"/>
              </w:rPr>
              <w:t>②物料泄漏事故防范措施</w:t>
            </w:r>
          </w:p>
          <w:p w14:paraId="58B6D29D">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泄漏事故的预防是生产和储运过程中最重要的环节，发生泄漏事故可能引起火灾和爆炸等一系列重大事故。经验表明：设备失灵和人为的操作失误是引发泄漏的主要原因。因此选用较好的设备、精心设计、认真地管理和操作人员的责任心是减少泄漏事故的关键。本项目主要采取以下物料泄漏事故的预防：</w:t>
            </w:r>
          </w:p>
          <w:p w14:paraId="687644DC">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化学品泄漏应急处理措施：迅速撤离泄漏污染区人员至安全区，并进行隔离，严格限制出入。切断火源。建议应急处理人员戴自给正压式呼吸器，穿防毒服。尽可能切断泄漏源。防止流入下水道、排洪沟等限制性空间。</w:t>
            </w:r>
          </w:p>
          <w:p w14:paraId="477DC7B7">
            <w:pPr>
              <w:wordWrap w:val="0"/>
              <w:autoSpaceDE w:val="0"/>
              <w:autoSpaceDN w:val="0"/>
              <w:adjustRightInd w:val="0"/>
              <w:snapToGrid w:val="0"/>
              <w:spacing w:line="360" w:lineRule="auto"/>
              <w:ind w:firstLine="482" w:firstLineChars="200"/>
              <w:rPr>
                <w:b/>
                <w:bCs/>
                <w:color w:val="auto"/>
                <w:kern w:val="0"/>
                <w:sz w:val="24"/>
                <w:lang w:val="zh-CN"/>
              </w:rPr>
            </w:pPr>
            <w:r>
              <w:rPr>
                <w:b/>
                <w:bCs/>
                <w:color w:val="auto"/>
                <w:kern w:val="0"/>
                <w:sz w:val="24"/>
                <w:lang w:val="zh-CN"/>
              </w:rPr>
              <w:t>③</w:t>
            </w:r>
            <w:r>
              <w:rPr>
                <w:rFonts w:hint="eastAsia"/>
                <w:b/>
                <w:bCs/>
                <w:color w:val="auto"/>
                <w:kern w:val="0"/>
                <w:sz w:val="24"/>
                <w:lang w:val="en-US" w:eastAsia="zh-CN"/>
              </w:rPr>
              <w:t>粉尘爆炸</w:t>
            </w:r>
          </w:p>
          <w:p w14:paraId="4004955A">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建设项目为玩具胶合板生产项目，锯切、旋切、砂光工序将存在粉尘的产生和收集处理，易引起火灾、爆炸事故。粉尘在一定火源（明火、电气短路、静电火花等）作用下，可能会发生爆炸，建议采用以下措施：</w:t>
            </w:r>
          </w:p>
          <w:p w14:paraId="1D348809">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①建筑结构：生产场所不得设置在危房或违章建筑内；生产场所应当有两个以上直通室外的安全出口，疏散门向外开启，通道确保畅通。</w:t>
            </w:r>
          </w:p>
          <w:p w14:paraId="18B9D079">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②通风除尘：安装相对独立的通风除尘系统，并设置接地装置。除尘器设置在建筑物外，并有防雨措施，离明火产生处不少于</w:t>
            </w:r>
            <w:r>
              <w:rPr>
                <w:rFonts w:hint="default"/>
                <w:color w:val="auto"/>
                <w:kern w:val="0"/>
                <w:sz w:val="24"/>
                <w:lang w:val="en-US" w:eastAsia="zh-CN"/>
              </w:rPr>
              <w:t>6</w:t>
            </w:r>
            <w:r>
              <w:rPr>
                <w:rFonts w:hint="eastAsia"/>
                <w:color w:val="auto"/>
                <w:kern w:val="0"/>
                <w:sz w:val="24"/>
                <w:lang w:val="en-US" w:eastAsia="zh-CN"/>
              </w:rPr>
              <w:t>米，回收的粉尘应当储存在独立干燥的堆放场所。</w:t>
            </w:r>
          </w:p>
          <w:p w14:paraId="689893D5">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③清洁制度：及时清理除尘袋中收集的除尘灰，对沉降在车间内的粉尘，应当采用不产生火花、静电、扬尘等方法清理，禁止使用压缩空气进行吹扫，使作业场所积累的粉尘量降至最低。</w:t>
            </w:r>
          </w:p>
          <w:p w14:paraId="1218B7A9">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④禁火措施：生产场所严禁各类明火；需要在生产场所进行动火作业时，必须停止生产作业，并采取相应的防护措施。</w:t>
            </w:r>
          </w:p>
          <w:p w14:paraId="50087AA8">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⑤器材配备：根据不同的作业条件与环境，配备消防器材和个人劳动防护用品。</w:t>
            </w:r>
          </w:p>
          <w:p w14:paraId="099E9448">
            <w:pPr>
              <w:wordWrap w:val="0"/>
              <w:autoSpaceDE w:val="0"/>
              <w:autoSpaceDN w:val="0"/>
              <w:adjustRightInd w:val="0"/>
              <w:snapToGrid w:val="0"/>
              <w:spacing w:line="360" w:lineRule="auto"/>
              <w:ind w:firstLine="480" w:firstLineChars="200"/>
              <w:rPr>
                <w:color w:val="auto"/>
                <w:kern w:val="0"/>
                <w:sz w:val="24"/>
                <w:lang w:val="zh-CN"/>
              </w:rPr>
            </w:pPr>
            <w:r>
              <w:rPr>
                <w:rFonts w:hint="eastAsia"/>
                <w:color w:val="auto"/>
                <w:kern w:val="0"/>
                <w:sz w:val="24"/>
                <w:lang w:val="en-US" w:eastAsia="zh-CN"/>
              </w:rPr>
              <w:t>⑥电器线路：生产场所电气线路应当采用镀锌钢管套管保护，在车间外安装空气开关和漏电保护器，设备、电源开关应当采用防爆防静电措施。生产场所电气线路、设备等应当由专业电工安装，严禁乱拉私接临时电线、增加设备。</w:t>
            </w:r>
          </w:p>
          <w:p w14:paraId="6EC12D98">
            <w:pPr>
              <w:wordWrap w:val="0"/>
              <w:autoSpaceDE w:val="0"/>
              <w:autoSpaceDN w:val="0"/>
              <w:adjustRightInd w:val="0"/>
              <w:snapToGrid w:val="0"/>
              <w:spacing w:line="360" w:lineRule="auto"/>
              <w:ind w:firstLine="482" w:firstLineChars="200"/>
              <w:rPr>
                <w:b/>
                <w:bCs/>
                <w:color w:val="auto"/>
                <w:kern w:val="0"/>
                <w:sz w:val="24"/>
                <w:lang w:val="zh-CN"/>
              </w:rPr>
            </w:pPr>
            <w:r>
              <w:rPr>
                <w:rFonts w:hint="eastAsia" w:ascii="宋体" w:hAnsi="宋体" w:eastAsia="宋体" w:cs="宋体"/>
                <w:b/>
                <w:bCs/>
                <w:color w:val="auto"/>
                <w:kern w:val="0"/>
                <w:sz w:val="24"/>
                <w:lang w:val="en-US" w:eastAsia="zh-CN"/>
              </w:rPr>
              <w:t>④</w:t>
            </w:r>
            <w:r>
              <w:rPr>
                <w:b/>
                <w:bCs/>
                <w:color w:val="auto"/>
                <w:kern w:val="0"/>
                <w:sz w:val="24"/>
                <w:lang w:val="zh-CN"/>
              </w:rPr>
              <w:t>危废贮存、运输过程风险防范措施</w:t>
            </w:r>
          </w:p>
          <w:p w14:paraId="42D65F8C">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本次环评要求危废暂存库须满足《危险废物贮存污染控制标准》（GB18597</w:t>
            </w:r>
            <w:r>
              <w:rPr>
                <w:rFonts w:hint="eastAsia"/>
                <w:color w:val="auto"/>
                <w:kern w:val="0"/>
                <w:sz w:val="24"/>
                <w:lang w:val="zh-CN"/>
              </w:rPr>
              <w:t>-</w:t>
            </w:r>
            <w:r>
              <w:rPr>
                <w:color w:val="auto"/>
                <w:kern w:val="0"/>
                <w:sz w:val="24"/>
                <w:lang w:val="zh-CN"/>
              </w:rPr>
              <w:t>2023）、</w:t>
            </w:r>
            <w:r>
              <w:rPr>
                <w:bCs/>
                <w:color w:val="auto"/>
                <w:sz w:val="24"/>
                <w:lang w:val="zh-CN"/>
              </w:rPr>
              <w:t>《省生态环境厅关于做好江苏省危险废物全生命周期监控系统上线运行工作的通知》（苏环办</w:t>
            </w:r>
            <w:r>
              <w:rPr>
                <w:bCs/>
                <w:color w:val="auto"/>
                <w:sz w:val="24"/>
              </w:rPr>
              <w:t>〔</w:t>
            </w:r>
            <w:r>
              <w:rPr>
                <w:bCs/>
                <w:color w:val="auto"/>
                <w:sz w:val="24"/>
                <w:lang w:val="zh-CN"/>
              </w:rPr>
              <w:t>2020</w:t>
            </w:r>
            <w:r>
              <w:rPr>
                <w:bCs/>
                <w:color w:val="auto"/>
                <w:sz w:val="24"/>
              </w:rPr>
              <w:t>〕</w:t>
            </w:r>
            <w:r>
              <w:rPr>
                <w:bCs/>
                <w:color w:val="auto"/>
                <w:sz w:val="24"/>
                <w:lang w:val="zh-CN"/>
              </w:rPr>
              <w:t>401号）</w:t>
            </w:r>
            <w:r>
              <w:rPr>
                <w:color w:val="auto"/>
                <w:kern w:val="0"/>
                <w:sz w:val="24"/>
                <w:lang w:val="zh-CN"/>
              </w:rPr>
              <w:t>等要求。危险废物的运输应由危险废物处置单位安排专人专车运送，同时注意运输工具的密封，采取相应的安全防护和污染防治措施，包括防爆、防火、防中毒、防泄漏、防飞扬、防雨或其他防治污染环境的措施等，防止造成二次污染。</w:t>
            </w:r>
          </w:p>
          <w:p w14:paraId="1B74B2B6">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同时在环境管理中注意以下内容：建设单位应通过“江苏省危险废物动态管理信息系统”（江苏省</w:t>
            </w:r>
            <w:r>
              <w:rPr>
                <w:color w:val="auto"/>
                <w:kern w:val="0"/>
                <w:sz w:val="24"/>
              </w:rPr>
              <w:t>生态环境厅</w:t>
            </w:r>
            <w:r>
              <w:rPr>
                <w:color w:val="auto"/>
                <w:kern w:val="0"/>
                <w:sz w:val="24"/>
                <w:lang w:val="zh-CN"/>
              </w:rPr>
              <w:t>网站）进行危险废物申报登记，将危险废物的实际产生、贮存、利用、处置等情况纳入生产记录，建立危险废物</w:t>
            </w:r>
            <w:r>
              <w:rPr>
                <w:rFonts w:hint="eastAsia"/>
                <w:color w:val="auto"/>
                <w:kern w:val="0"/>
                <w:sz w:val="24"/>
                <w:lang w:val="zh-CN"/>
              </w:rPr>
              <w:t>管理台账</w:t>
            </w:r>
            <w:r>
              <w:rPr>
                <w:color w:val="auto"/>
                <w:kern w:val="0"/>
                <w:sz w:val="24"/>
                <w:lang w:val="zh-CN"/>
              </w:rPr>
              <w:t>和企业内部产生和收集、贮存、转移等部门危险废物交接制度；必须明确企</w:t>
            </w:r>
            <w:r>
              <w:rPr>
                <w:rFonts w:hint="eastAsia"/>
                <w:color w:val="auto"/>
                <w:kern w:val="0"/>
                <w:sz w:val="24"/>
                <w:lang w:val="zh-CN"/>
              </w:rPr>
              <w:t>业作</w:t>
            </w:r>
            <w:r>
              <w:rPr>
                <w:color w:val="auto"/>
                <w:kern w:val="0"/>
                <w:sz w:val="24"/>
                <w:lang w:val="zh-CN"/>
              </w:rPr>
              <w:t>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4B14F3FB">
            <w:pPr>
              <w:wordWrap w:val="0"/>
              <w:autoSpaceDE w:val="0"/>
              <w:autoSpaceDN w:val="0"/>
              <w:adjustRightInd w:val="0"/>
              <w:snapToGrid w:val="0"/>
              <w:spacing w:line="360" w:lineRule="auto"/>
              <w:ind w:firstLine="480" w:firstLineChars="200"/>
              <w:rPr>
                <w:color w:val="auto"/>
                <w:kern w:val="0"/>
                <w:sz w:val="24"/>
                <w:lang w:val="zh-CN"/>
              </w:rPr>
            </w:pPr>
            <w:r>
              <w:rPr>
                <w:color w:val="auto"/>
                <w:kern w:val="0"/>
                <w:sz w:val="24"/>
                <w:lang w:val="zh-CN"/>
              </w:rPr>
              <w:t>做好雨、污水排放口水质监测工作，发现超标及时排查事故原因。</w:t>
            </w:r>
          </w:p>
          <w:p w14:paraId="626FE9D7">
            <w:pPr>
              <w:wordWrap w:val="0"/>
              <w:autoSpaceDE w:val="0"/>
              <w:autoSpaceDN w:val="0"/>
              <w:adjustRightInd w:val="0"/>
              <w:snapToGrid w:val="0"/>
              <w:spacing w:line="360" w:lineRule="auto"/>
              <w:ind w:firstLine="482" w:firstLineChars="200"/>
              <w:rPr>
                <w:color w:val="auto"/>
                <w:kern w:val="0"/>
                <w:sz w:val="24"/>
                <w:lang w:val="zh-CN"/>
              </w:rPr>
            </w:pPr>
            <w:r>
              <w:rPr>
                <w:b/>
                <w:bCs/>
                <w:color w:val="auto"/>
                <w:sz w:val="24"/>
              </w:rPr>
              <w:t>⑤</w:t>
            </w:r>
            <w:r>
              <w:rPr>
                <w:b/>
                <w:bCs/>
                <w:color w:val="auto"/>
                <w:kern w:val="0"/>
                <w:sz w:val="24"/>
                <w:lang w:val="zh-CN"/>
              </w:rPr>
              <w:t>定时巡检，做好台</w:t>
            </w:r>
            <w:r>
              <w:rPr>
                <w:rFonts w:hint="eastAsia"/>
                <w:b/>
                <w:bCs/>
                <w:color w:val="auto"/>
                <w:kern w:val="0"/>
                <w:sz w:val="24"/>
                <w:lang w:val="zh-CN"/>
              </w:rPr>
              <w:t>账表</w:t>
            </w:r>
            <w:r>
              <w:rPr>
                <w:color w:val="auto"/>
                <w:kern w:val="0"/>
                <w:sz w:val="24"/>
                <w:lang w:val="zh-CN"/>
              </w:rPr>
              <w:t>。</w:t>
            </w:r>
          </w:p>
          <w:p w14:paraId="76E45AF7">
            <w:pPr>
              <w:wordWrap w:val="0"/>
              <w:snapToGrid w:val="0"/>
              <w:spacing w:line="360" w:lineRule="auto"/>
              <w:jc w:val="center"/>
              <w:rPr>
                <w:b/>
                <w:bCs/>
                <w:color w:val="auto"/>
                <w:szCs w:val="21"/>
              </w:rPr>
            </w:pPr>
            <w:r>
              <w:rPr>
                <w:rFonts w:hint="eastAsia"/>
                <w:b/>
                <w:bCs/>
                <w:color w:val="auto"/>
                <w:sz w:val="24"/>
              </w:rPr>
              <w:t>4.7-4</w:t>
            </w:r>
            <w:r>
              <w:rPr>
                <w:b/>
                <w:bCs/>
                <w:color w:val="auto"/>
                <w:sz w:val="24"/>
              </w:rPr>
              <w:t xml:space="preserve"> 预防机制详情</w:t>
            </w:r>
          </w:p>
          <w:tbl>
            <w:tblPr>
              <w:tblStyle w:val="4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6776"/>
            </w:tblGrid>
            <w:tr w14:paraId="1A482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vAlign w:val="center"/>
                </w:tcPr>
                <w:p w14:paraId="031515EF">
                  <w:pPr>
                    <w:wordWrap w:val="0"/>
                    <w:snapToGrid w:val="0"/>
                    <w:jc w:val="center"/>
                    <w:rPr>
                      <w:b/>
                      <w:bCs/>
                      <w:color w:val="auto"/>
                      <w:szCs w:val="21"/>
                    </w:rPr>
                  </w:pPr>
                  <w:r>
                    <w:rPr>
                      <w:b/>
                      <w:bCs/>
                      <w:color w:val="auto"/>
                      <w:szCs w:val="21"/>
                    </w:rPr>
                    <w:t>突发环境事件</w:t>
                  </w:r>
                </w:p>
              </w:tc>
              <w:tc>
                <w:tcPr>
                  <w:tcW w:w="4039" w:type="pct"/>
                  <w:vAlign w:val="center"/>
                </w:tcPr>
                <w:p w14:paraId="08A7F2CB">
                  <w:pPr>
                    <w:wordWrap w:val="0"/>
                    <w:snapToGrid w:val="0"/>
                    <w:jc w:val="center"/>
                    <w:rPr>
                      <w:b/>
                      <w:bCs/>
                      <w:color w:val="auto"/>
                      <w:szCs w:val="21"/>
                    </w:rPr>
                  </w:pPr>
                  <w:r>
                    <w:rPr>
                      <w:b/>
                      <w:bCs/>
                      <w:color w:val="auto"/>
                      <w:szCs w:val="21"/>
                    </w:rPr>
                    <w:t>预防机制</w:t>
                  </w:r>
                </w:p>
              </w:tc>
            </w:tr>
            <w:tr w14:paraId="5E2F9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vAlign w:val="center"/>
                </w:tcPr>
                <w:p w14:paraId="0AE0DE7C">
                  <w:pPr>
                    <w:wordWrap w:val="0"/>
                    <w:snapToGrid w:val="0"/>
                    <w:jc w:val="center"/>
                    <w:rPr>
                      <w:color w:val="auto"/>
                      <w:szCs w:val="21"/>
                    </w:rPr>
                  </w:pPr>
                  <w:r>
                    <w:rPr>
                      <w:color w:val="auto"/>
                      <w:szCs w:val="21"/>
                    </w:rPr>
                    <w:t>物料泄漏</w:t>
                  </w:r>
                </w:p>
              </w:tc>
              <w:tc>
                <w:tcPr>
                  <w:tcW w:w="4039" w:type="pct"/>
                  <w:vAlign w:val="center"/>
                </w:tcPr>
                <w:p w14:paraId="31BEA123">
                  <w:pPr>
                    <w:wordWrap w:val="0"/>
                    <w:autoSpaceDE w:val="0"/>
                    <w:autoSpaceDN w:val="0"/>
                    <w:adjustRightInd w:val="0"/>
                    <w:snapToGrid w:val="0"/>
                    <w:rPr>
                      <w:color w:val="auto"/>
                      <w:kern w:val="0"/>
                      <w:szCs w:val="21"/>
                      <w:lang w:val="zh-CN"/>
                    </w:rPr>
                  </w:pPr>
                  <w:r>
                    <w:rPr>
                      <w:color w:val="auto"/>
                      <w:kern w:val="0"/>
                      <w:szCs w:val="21"/>
                      <w:lang w:val="zh-CN"/>
                    </w:rPr>
                    <w:t>1.加强对仓库的巡视工作，重点检测包装有无破裂，阀门是否失灵等；</w:t>
                  </w:r>
                </w:p>
                <w:p w14:paraId="450070CF">
                  <w:pPr>
                    <w:wordWrap w:val="0"/>
                    <w:snapToGrid w:val="0"/>
                    <w:rPr>
                      <w:color w:val="auto"/>
                      <w:szCs w:val="21"/>
                    </w:rPr>
                  </w:pPr>
                  <w:r>
                    <w:rPr>
                      <w:color w:val="auto"/>
                      <w:kern w:val="0"/>
                      <w:szCs w:val="21"/>
                      <w:lang w:val="zh-CN"/>
                    </w:rPr>
                    <w:t>2.做好危险废物暂存库、</w:t>
                  </w:r>
                  <w:r>
                    <w:rPr>
                      <w:color w:val="auto"/>
                      <w:kern w:val="0"/>
                      <w:szCs w:val="21"/>
                    </w:rPr>
                    <w:t>一般固体废物暂存库的</w:t>
                  </w:r>
                  <w:r>
                    <w:rPr>
                      <w:color w:val="auto"/>
                      <w:kern w:val="0"/>
                      <w:szCs w:val="21"/>
                      <w:lang w:val="zh-CN"/>
                    </w:rPr>
                    <w:t>地面防渗防腐处理，设置截流沟，防止泄漏的物料及消防废水排出厂界。</w:t>
                  </w:r>
                </w:p>
              </w:tc>
            </w:tr>
            <w:tr w14:paraId="1AABE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vAlign w:val="center"/>
                </w:tcPr>
                <w:p w14:paraId="262AAF1C">
                  <w:pPr>
                    <w:wordWrap w:val="0"/>
                    <w:snapToGrid w:val="0"/>
                    <w:jc w:val="center"/>
                    <w:rPr>
                      <w:color w:val="auto"/>
                      <w:szCs w:val="21"/>
                    </w:rPr>
                  </w:pPr>
                  <w:r>
                    <w:rPr>
                      <w:color w:val="auto"/>
                      <w:szCs w:val="21"/>
                    </w:rPr>
                    <w:t>暴雨、雷电等自然灾害</w:t>
                  </w:r>
                </w:p>
              </w:tc>
              <w:tc>
                <w:tcPr>
                  <w:tcW w:w="4039" w:type="pct"/>
                  <w:vAlign w:val="center"/>
                </w:tcPr>
                <w:p w14:paraId="08E99748">
                  <w:pPr>
                    <w:wordWrap w:val="0"/>
                    <w:autoSpaceDE w:val="0"/>
                    <w:autoSpaceDN w:val="0"/>
                    <w:adjustRightInd w:val="0"/>
                    <w:snapToGrid w:val="0"/>
                    <w:rPr>
                      <w:color w:val="auto"/>
                      <w:kern w:val="0"/>
                      <w:szCs w:val="21"/>
                      <w:lang w:val="zh-CN"/>
                    </w:rPr>
                  </w:pPr>
                  <w:r>
                    <w:rPr>
                      <w:color w:val="auto"/>
                      <w:kern w:val="0"/>
                      <w:szCs w:val="21"/>
                      <w:lang w:val="zh-CN"/>
                    </w:rPr>
                    <w:t>1.密切注意天气变化，在暴雨等天气来临前对现场的物品进行收拾，对厂棚进行加固，对外露的设备进行保护，对可能积水的部位进行检查；</w:t>
                  </w:r>
                </w:p>
                <w:p w14:paraId="3C686B3B">
                  <w:pPr>
                    <w:wordWrap w:val="0"/>
                    <w:autoSpaceDE w:val="0"/>
                    <w:autoSpaceDN w:val="0"/>
                    <w:adjustRightInd w:val="0"/>
                    <w:snapToGrid w:val="0"/>
                    <w:rPr>
                      <w:color w:val="auto"/>
                      <w:szCs w:val="21"/>
                    </w:rPr>
                  </w:pPr>
                  <w:r>
                    <w:rPr>
                      <w:color w:val="auto"/>
                      <w:kern w:val="0"/>
                      <w:szCs w:val="21"/>
                      <w:lang w:val="zh-CN"/>
                    </w:rPr>
                    <w:t>2.确定污水处理系统排污泵正常工作，确保暴雨天气下初期雨水通过雨污切换阀门正常进入污水处理系统。</w:t>
                  </w:r>
                </w:p>
              </w:tc>
            </w:tr>
            <w:tr w14:paraId="072C7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vAlign w:val="center"/>
                </w:tcPr>
                <w:p w14:paraId="7E7D128E">
                  <w:pPr>
                    <w:wordWrap w:val="0"/>
                    <w:snapToGrid w:val="0"/>
                    <w:jc w:val="center"/>
                    <w:rPr>
                      <w:color w:val="auto"/>
                      <w:szCs w:val="21"/>
                    </w:rPr>
                  </w:pPr>
                  <w:r>
                    <w:rPr>
                      <w:color w:val="auto"/>
                      <w:szCs w:val="21"/>
                    </w:rPr>
                    <w:t>火灾</w:t>
                  </w:r>
                </w:p>
              </w:tc>
              <w:tc>
                <w:tcPr>
                  <w:tcW w:w="4039" w:type="pct"/>
                  <w:vAlign w:val="center"/>
                </w:tcPr>
                <w:p w14:paraId="071D6BA5">
                  <w:pPr>
                    <w:wordWrap w:val="0"/>
                    <w:snapToGrid w:val="0"/>
                    <w:rPr>
                      <w:color w:val="auto"/>
                      <w:szCs w:val="21"/>
                    </w:rPr>
                  </w:pPr>
                  <w:r>
                    <w:rPr>
                      <w:color w:val="auto"/>
                      <w:kern w:val="0"/>
                      <w:szCs w:val="21"/>
                      <w:lang w:val="zh-CN"/>
                    </w:rPr>
                    <w:t>易燃物品进行防护保护；对供电线路进行巡检；对消防设施进行定期检查。火灾时确保消防废水进入</w:t>
                  </w:r>
                  <w:r>
                    <w:rPr>
                      <w:color w:val="auto"/>
                      <w:kern w:val="0"/>
                      <w:szCs w:val="21"/>
                    </w:rPr>
                    <w:t>消防水池</w:t>
                  </w:r>
                  <w:r>
                    <w:rPr>
                      <w:color w:val="auto"/>
                      <w:kern w:val="0"/>
                      <w:szCs w:val="21"/>
                      <w:lang w:val="zh-CN"/>
                    </w:rPr>
                    <w:t>。</w:t>
                  </w:r>
                </w:p>
              </w:tc>
            </w:tr>
          </w:tbl>
          <w:p w14:paraId="0EED5D50">
            <w:pPr>
              <w:wordWrap w:val="0"/>
              <w:adjustRightInd w:val="0"/>
              <w:snapToGrid w:val="0"/>
              <w:spacing w:line="360" w:lineRule="auto"/>
              <w:ind w:firstLine="482" w:firstLineChars="200"/>
              <w:rPr>
                <w:b/>
                <w:bCs/>
                <w:color w:val="auto"/>
                <w:sz w:val="24"/>
              </w:rPr>
            </w:pPr>
            <w:r>
              <w:rPr>
                <w:b/>
                <w:bCs/>
                <w:color w:val="auto"/>
                <w:sz w:val="24"/>
              </w:rPr>
              <w:t>（4）环境风险防范措施及应急要求</w:t>
            </w:r>
          </w:p>
          <w:p w14:paraId="57EDA61B">
            <w:pPr>
              <w:wordWrap w:val="0"/>
              <w:snapToGrid w:val="0"/>
              <w:spacing w:line="360" w:lineRule="auto"/>
              <w:ind w:firstLine="480" w:firstLineChars="200"/>
              <w:rPr>
                <w:color w:val="auto"/>
                <w:sz w:val="24"/>
              </w:rPr>
            </w:pPr>
            <w:r>
              <w:rPr>
                <w:color w:val="auto"/>
                <w:sz w:val="24"/>
              </w:rPr>
              <w:t>对可能发生的事故，应制订应急计划，使各部门在事故发生后能有步骤、有秩序地采取各项应急措施：</w:t>
            </w:r>
          </w:p>
          <w:p w14:paraId="19572E4E">
            <w:pPr>
              <w:wordWrap w:val="0"/>
              <w:snapToGrid w:val="0"/>
              <w:spacing w:line="360" w:lineRule="auto"/>
              <w:ind w:firstLine="480" w:firstLineChars="200"/>
              <w:rPr>
                <w:color w:val="auto"/>
                <w:sz w:val="24"/>
              </w:rPr>
            </w:pPr>
            <w:r>
              <w:rPr>
                <w:color w:val="auto"/>
                <w:sz w:val="24"/>
              </w:rPr>
              <w:t>①事故发生后，应根据具体情况采取应急措施，切断泄漏源、火源，控制事故扩大，同时通知中央控制室，根据事故类型、大小启动相应的应急预案；</w:t>
            </w:r>
          </w:p>
          <w:p w14:paraId="183226EF">
            <w:pPr>
              <w:wordWrap w:val="0"/>
              <w:snapToGrid w:val="0"/>
              <w:spacing w:line="360" w:lineRule="auto"/>
              <w:ind w:firstLine="480" w:firstLineChars="200"/>
              <w:rPr>
                <w:color w:val="auto"/>
                <w:sz w:val="24"/>
              </w:rPr>
            </w:pPr>
            <w:r>
              <w:rPr>
                <w:color w:val="auto"/>
                <w:sz w:val="24"/>
              </w:rPr>
              <w:t>②发生重大事故，应立即上报相关部门，启动社会救援系统，就近地区</w:t>
            </w:r>
            <w:r>
              <w:rPr>
                <w:rFonts w:hint="eastAsia"/>
                <w:color w:val="auto"/>
                <w:sz w:val="24"/>
                <w:lang w:eastAsia="zh-CN"/>
              </w:rPr>
              <w:t>调拨</w:t>
            </w:r>
            <w:r>
              <w:rPr>
                <w:color w:val="auto"/>
                <w:sz w:val="24"/>
              </w:rPr>
              <w:t>专业救援队伍协助处理；</w:t>
            </w:r>
          </w:p>
          <w:p w14:paraId="1D24D931">
            <w:pPr>
              <w:wordWrap w:val="0"/>
              <w:snapToGrid w:val="0"/>
              <w:spacing w:line="360" w:lineRule="auto"/>
              <w:ind w:firstLine="480" w:firstLineChars="200"/>
              <w:rPr>
                <w:color w:val="auto"/>
                <w:sz w:val="24"/>
              </w:rPr>
            </w:pPr>
            <w:r>
              <w:rPr>
                <w:color w:val="auto"/>
                <w:sz w:val="24"/>
              </w:rPr>
              <w:t>③事故发生后应立即通知当地环境保护局、自来水公司等市政部门，协同事故救援与监控。</w:t>
            </w:r>
          </w:p>
          <w:p w14:paraId="1DB6133A">
            <w:pPr>
              <w:wordWrap w:val="0"/>
              <w:snapToGrid w:val="0"/>
              <w:spacing w:line="360" w:lineRule="auto"/>
              <w:ind w:firstLine="480" w:firstLineChars="200"/>
              <w:rPr>
                <w:color w:val="auto"/>
                <w:sz w:val="24"/>
              </w:rPr>
            </w:pPr>
            <w:r>
              <w:rPr>
                <w:color w:val="auto"/>
                <w:sz w:val="24"/>
              </w:rPr>
              <w:t>④除有专业消防队外，公司还应组织义务消防队，并定期组织消防训练，使每名员工</w:t>
            </w:r>
            <w:r>
              <w:rPr>
                <w:rFonts w:hint="eastAsia"/>
                <w:color w:val="auto"/>
                <w:sz w:val="24"/>
                <w:lang w:eastAsia="zh-CN"/>
              </w:rPr>
              <w:t>都</w:t>
            </w:r>
            <w:r>
              <w:rPr>
                <w:color w:val="auto"/>
                <w:sz w:val="24"/>
              </w:rPr>
              <w:t>正确使用消防器材。</w:t>
            </w:r>
          </w:p>
          <w:p w14:paraId="4CE52B39">
            <w:pPr>
              <w:wordWrap w:val="0"/>
              <w:snapToGrid w:val="0"/>
              <w:spacing w:line="360" w:lineRule="auto"/>
              <w:ind w:firstLine="480" w:firstLineChars="200"/>
              <w:rPr>
                <w:color w:val="auto"/>
                <w:sz w:val="24"/>
              </w:rPr>
            </w:pPr>
            <w:r>
              <w:rPr>
                <w:color w:val="auto"/>
                <w:sz w:val="24"/>
              </w:rPr>
              <w:t>⑤当发生事故时，公司保卫部门应立即组织人员维持好事故现场周围的秩序，公司各部门要负责本部门周围的秩序，严禁无关人员进入事故现场，保证消防人员补救工作顺利进行。</w:t>
            </w:r>
          </w:p>
          <w:p w14:paraId="59409660">
            <w:pPr>
              <w:wordWrap w:val="0"/>
              <w:snapToGrid w:val="0"/>
              <w:spacing w:line="360" w:lineRule="auto"/>
              <w:ind w:firstLine="480" w:firstLineChars="200"/>
              <w:rPr>
                <w:color w:val="auto"/>
                <w:sz w:val="24"/>
              </w:rPr>
            </w:pPr>
            <w:r>
              <w:rPr>
                <w:color w:val="auto"/>
                <w:sz w:val="24"/>
              </w:rPr>
              <w:t>⑥在发生火灾事故十分钟内，保卫部门应立即封锁全厂所有大门，除消防车、救护车、汽车运送消防器材外，无关人员一律禁</w:t>
            </w:r>
            <w:r>
              <w:rPr>
                <w:rFonts w:hint="eastAsia"/>
                <w:color w:val="auto"/>
                <w:sz w:val="24"/>
                <w:lang w:eastAsia="zh-CN"/>
              </w:rPr>
              <w:t>止进</w:t>
            </w:r>
            <w:r>
              <w:rPr>
                <w:color w:val="auto"/>
                <w:sz w:val="24"/>
              </w:rPr>
              <w:t>入公司，同时增加公司内外巡回和保卫检查工作。</w:t>
            </w:r>
          </w:p>
          <w:p w14:paraId="57E60698">
            <w:pPr>
              <w:wordWrap w:val="0"/>
              <w:snapToGrid w:val="0"/>
              <w:spacing w:line="360" w:lineRule="auto"/>
              <w:ind w:firstLine="480" w:firstLineChars="200"/>
              <w:rPr>
                <w:color w:val="auto"/>
                <w:sz w:val="24"/>
              </w:rPr>
            </w:pPr>
            <w:r>
              <w:rPr>
                <w:color w:val="auto"/>
                <w:sz w:val="24"/>
              </w:rPr>
              <w:t>⑦在事故发生期间，全所职工必须坚守岗位，按照命令执行各项工作。</w:t>
            </w:r>
          </w:p>
          <w:p w14:paraId="2F250975">
            <w:pPr>
              <w:wordWrap w:val="0"/>
              <w:snapToGrid w:val="0"/>
              <w:spacing w:line="360" w:lineRule="auto"/>
              <w:ind w:firstLine="482" w:firstLineChars="200"/>
              <w:rPr>
                <w:b/>
                <w:bCs/>
                <w:color w:val="auto"/>
                <w:sz w:val="24"/>
              </w:rPr>
            </w:pPr>
            <w:r>
              <w:rPr>
                <w:b/>
                <w:bCs/>
                <w:color w:val="auto"/>
                <w:sz w:val="24"/>
              </w:rPr>
              <w:t>（5）贮存系统防范措施</w:t>
            </w:r>
          </w:p>
          <w:p w14:paraId="1D528A30">
            <w:pPr>
              <w:wordWrap w:val="0"/>
              <w:snapToGrid w:val="0"/>
              <w:spacing w:line="360" w:lineRule="auto"/>
              <w:ind w:firstLine="480" w:firstLineChars="200"/>
              <w:rPr>
                <w:color w:val="auto"/>
                <w:sz w:val="24"/>
              </w:rPr>
            </w:pPr>
            <w:r>
              <w:rPr>
                <w:color w:val="auto"/>
                <w:sz w:val="24"/>
              </w:rPr>
              <w:t>公司危险废物需贮存于仓库中，为避免上述固体废物在贮存过程中发生环境风险事故，企业采取的风险防范措施如下：</w:t>
            </w:r>
          </w:p>
          <w:p w14:paraId="7134EA7A">
            <w:pPr>
              <w:wordWrap w:val="0"/>
              <w:snapToGrid w:val="0"/>
              <w:spacing w:line="360" w:lineRule="auto"/>
              <w:ind w:firstLine="480" w:firstLineChars="200"/>
              <w:rPr>
                <w:color w:val="auto"/>
                <w:sz w:val="24"/>
              </w:rPr>
            </w:pPr>
            <w:r>
              <w:rPr>
                <w:color w:val="auto"/>
                <w:sz w:val="24"/>
              </w:rPr>
              <w:t>①仓库严格按照《建筑设计防火规范》（GB50016-2006）进行设计，在总图的布置上留有足够的防火距离，仓库与生产车间和交通线路的距离、仓库与其他建筑物之间的距离符合规范要求。</w:t>
            </w:r>
          </w:p>
          <w:p w14:paraId="47E5C91C">
            <w:pPr>
              <w:wordWrap w:val="0"/>
              <w:snapToGrid w:val="0"/>
              <w:spacing w:line="360" w:lineRule="auto"/>
              <w:ind w:firstLine="480" w:firstLineChars="200"/>
              <w:rPr>
                <w:color w:val="auto"/>
                <w:sz w:val="24"/>
              </w:rPr>
            </w:pPr>
            <w:r>
              <w:rPr>
                <w:color w:val="auto"/>
                <w:sz w:val="24"/>
              </w:rPr>
              <w:t>②所有危险废物均放置在规定的仓库及车间的危险废物储存库中，无露天堆放物料，避免有雨淋刷边角料或回收的产品，地面按要求铺设防渗层，做好防渗处理。</w:t>
            </w:r>
          </w:p>
          <w:p w14:paraId="21045CC6">
            <w:pPr>
              <w:wordWrap w:val="0"/>
              <w:snapToGrid w:val="0"/>
              <w:spacing w:line="360" w:lineRule="auto"/>
              <w:ind w:firstLine="480" w:firstLineChars="200"/>
              <w:rPr>
                <w:color w:val="auto"/>
                <w:sz w:val="24"/>
              </w:rPr>
            </w:pPr>
            <w:r>
              <w:rPr>
                <w:color w:val="auto"/>
                <w:sz w:val="24"/>
              </w:rPr>
              <w:t xml:space="preserve">③所有危险废物存放在阴凉、干燥、通风、避光的防火建筑中，符合《建筑设计防火规范》（GB50016-2006）的规定，各类物质按存放产品类别、性质、危险程度、灭火方法等分区分类存放，并附上明显标识。危险废物与其他废物、产品分开存放，设有明显标识。在有要求的仓库外设有禁止无关人员入内的告示。 </w:t>
            </w:r>
          </w:p>
          <w:p w14:paraId="1EB748B4">
            <w:pPr>
              <w:wordWrap w:val="0"/>
              <w:snapToGrid w:val="0"/>
              <w:spacing w:line="360" w:lineRule="auto"/>
              <w:ind w:firstLine="480" w:firstLineChars="200"/>
              <w:rPr>
                <w:color w:val="auto"/>
                <w:sz w:val="24"/>
              </w:rPr>
            </w:pPr>
            <w:r>
              <w:rPr>
                <w:color w:val="auto"/>
                <w:sz w:val="24"/>
              </w:rPr>
              <w:t>④安排责任人负责库房地面、门窗、货架等管理清洁工作，要求经常打扫，保护清洁；库区内的杂物、易燃物要及时清理，存放有毒有害物质的库房的地面尽量不要冲洗，如确定需要，不能将这些废水排入雨水沟，应该收集送至有资质处理该库房存放含有的有毒有害物质的环保公司处理处置。</w:t>
            </w:r>
          </w:p>
          <w:p w14:paraId="678EADBE">
            <w:pPr>
              <w:wordWrap w:val="0"/>
              <w:snapToGrid w:val="0"/>
              <w:spacing w:line="360" w:lineRule="auto"/>
              <w:ind w:firstLine="480" w:firstLineChars="200"/>
              <w:rPr>
                <w:color w:val="auto"/>
                <w:sz w:val="24"/>
              </w:rPr>
            </w:pPr>
            <w:r>
              <w:rPr>
                <w:color w:val="auto"/>
                <w:sz w:val="24"/>
              </w:rPr>
              <w:t>⑤公司危险废物的贮存设施，其面与裙脚必须用坚固、防渗（的材料建造，建筑材料与危险废物相容（即不相互反应），有漏液体收集装置、气体导出口及气体净化装置，设施内有安全照明设施观察窗口，有耐腐蚀的硬化地面，且表面无裂隙，设计有堵截泄漏的裙脚，地面裙脚所围建的容积不低于堵截最大容器的最大储量或总储量的五分之一。堆放基础需设防渗，防渗层为至少1m厚粘土层（渗透系数≤10</w:t>
            </w:r>
            <w:r>
              <w:rPr>
                <w:rFonts w:hint="eastAsia"/>
                <w:color w:val="auto"/>
                <w:sz w:val="24"/>
                <w:lang w:eastAsia="zh-CN"/>
              </w:rPr>
              <w:t>—</w:t>
            </w:r>
            <w:r>
              <w:rPr>
                <w:color w:val="auto"/>
                <w:sz w:val="24"/>
                <w:vertAlign w:val="superscript"/>
              </w:rPr>
              <w:t>7</w:t>
            </w:r>
            <w:r>
              <w:rPr>
                <w:color w:val="auto"/>
                <w:sz w:val="24"/>
              </w:rPr>
              <w:t>厘米</w:t>
            </w:r>
            <w:r>
              <w:rPr>
                <w:rFonts w:hint="eastAsia"/>
                <w:color w:val="auto"/>
                <w:sz w:val="24"/>
              </w:rPr>
              <w:t>/</w:t>
            </w:r>
            <w:r>
              <w:rPr>
                <w:color w:val="auto"/>
                <w:sz w:val="24"/>
              </w:rPr>
              <w:t>秒），或2毫米厚密度聚乙烯，或至少2毫米厚的其他人工材料，渗透系数≤10</w:t>
            </w:r>
            <w:r>
              <w:rPr>
                <w:rFonts w:hint="eastAsia"/>
                <w:color w:val="auto"/>
                <w:sz w:val="24"/>
                <w:lang w:eastAsia="zh-CN"/>
              </w:rPr>
              <w:t>—</w:t>
            </w:r>
            <w:r>
              <w:rPr>
                <w:color w:val="auto"/>
                <w:sz w:val="24"/>
                <w:vertAlign w:val="superscript"/>
              </w:rPr>
              <w:t>10</w:t>
            </w:r>
            <w:r>
              <w:rPr>
                <w:color w:val="auto"/>
                <w:sz w:val="24"/>
              </w:rPr>
              <w:t>厘米/秒。建造径流疏导系统，保证能防止25年一遇的暴雨不会流到危险废物堆里。</w:t>
            </w:r>
          </w:p>
          <w:p w14:paraId="7F1907D6">
            <w:pPr>
              <w:wordWrap w:val="0"/>
              <w:snapToGrid w:val="0"/>
              <w:spacing w:line="360" w:lineRule="auto"/>
              <w:ind w:firstLine="480" w:firstLineChars="200"/>
              <w:rPr>
                <w:color w:val="auto"/>
                <w:sz w:val="24"/>
              </w:rPr>
            </w:pPr>
            <w:r>
              <w:rPr>
                <w:color w:val="auto"/>
                <w:sz w:val="24"/>
              </w:rPr>
              <w:t xml:space="preserve">⑥涉及危险固体废物的存放区、通道、道路应做好防腐防渗处理，以免危险物质泄漏进入土壤污染地下水，从而污染周围水体和生态环境。 </w:t>
            </w:r>
          </w:p>
          <w:p w14:paraId="39B5C2E7">
            <w:pPr>
              <w:wordWrap w:val="0"/>
              <w:snapToGrid w:val="0"/>
              <w:spacing w:line="360" w:lineRule="auto"/>
              <w:ind w:firstLine="480" w:firstLineChars="200"/>
              <w:rPr>
                <w:color w:val="auto"/>
                <w:sz w:val="24"/>
              </w:rPr>
            </w:pPr>
            <w:r>
              <w:rPr>
                <w:color w:val="auto"/>
                <w:sz w:val="24"/>
              </w:rPr>
              <w:t>⑦安排专人在日常定期检查各类危险废物的包装、存放，并每天记录在案。</w:t>
            </w:r>
          </w:p>
          <w:p w14:paraId="256965D5">
            <w:pPr>
              <w:wordWrap w:val="0"/>
              <w:snapToGrid w:val="0"/>
              <w:spacing w:line="360" w:lineRule="auto"/>
              <w:ind w:firstLine="482" w:firstLineChars="200"/>
              <w:rPr>
                <w:b/>
                <w:bCs/>
                <w:color w:val="auto"/>
                <w:sz w:val="24"/>
              </w:rPr>
            </w:pPr>
            <w:r>
              <w:rPr>
                <w:b/>
                <w:bCs/>
                <w:color w:val="auto"/>
                <w:sz w:val="24"/>
              </w:rPr>
              <w:t>（</w:t>
            </w:r>
            <w:r>
              <w:rPr>
                <w:rFonts w:hint="eastAsia"/>
                <w:b/>
                <w:bCs/>
                <w:color w:val="auto"/>
                <w:sz w:val="24"/>
                <w:lang w:val="en-US" w:eastAsia="zh-CN"/>
              </w:rPr>
              <w:t>6</w:t>
            </w:r>
            <w:r>
              <w:rPr>
                <w:b/>
                <w:bCs/>
                <w:color w:val="auto"/>
                <w:sz w:val="24"/>
              </w:rPr>
              <w:t>）</w:t>
            </w:r>
            <w:r>
              <w:rPr>
                <w:rFonts w:hint="eastAsia"/>
                <w:b/>
                <w:bCs/>
                <w:color w:val="auto"/>
                <w:sz w:val="24"/>
                <w:lang w:eastAsia="zh-CN"/>
              </w:rPr>
              <w:t>其他风险</w:t>
            </w:r>
            <w:r>
              <w:rPr>
                <w:b/>
                <w:bCs/>
                <w:color w:val="auto"/>
                <w:sz w:val="24"/>
              </w:rPr>
              <w:t>系统防范措施</w:t>
            </w:r>
          </w:p>
          <w:p w14:paraId="2493092C">
            <w:pPr>
              <w:wordWrap w:val="0"/>
              <w:snapToGrid w:val="0"/>
              <w:spacing w:line="360" w:lineRule="auto"/>
              <w:ind w:firstLine="480" w:firstLineChars="200"/>
              <w:rPr>
                <w:color w:val="auto"/>
                <w:sz w:val="24"/>
              </w:rPr>
            </w:pPr>
            <w:r>
              <w:rPr>
                <w:rFonts w:hint="eastAsia"/>
                <w:color w:val="auto"/>
                <w:sz w:val="24"/>
                <w:lang w:val="en-US" w:eastAsia="zh-CN"/>
              </w:rPr>
              <w:t>A.化学品仓库防范措施</w:t>
            </w:r>
          </w:p>
          <w:p w14:paraId="083D9B9F">
            <w:pPr>
              <w:wordWrap w:val="0"/>
              <w:snapToGrid w:val="0"/>
              <w:spacing w:line="360" w:lineRule="auto"/>
              <w:ind w:firstLine="480" w:firstLineChars="200"/>
              <w:rPr>
                <w:color w:val="auto"/>
                <w:sz w:val="24"/>
              </w:rPr>
            </w:pPr>
            <w:r>
              <w:rPr>
                <w:rFonts w:hint="eastAsia"/>
                <w:color w:val="auto"/>
                <w:sz w:val="24"/>
                <w:lang w:val="en-US" w:eastAsia="zh-CN"/>
              </w:rPr>
              <w:t>各类危险化学品不与禁忌物料混合存放，不堆放木材及其他引火化学品，远离火种、热源、氧化剂及酸类。不可与其他危险化学品混放；配备有专业知识的技术人员，设专人管理，管理人员须配备可靠的个人安全防护用品。仓库的消防设施、器材应当有专人管理，负责检查、保养、更新和添置，确保完好有效。对于各种消防设施、器材严禁圈占、埋压和挪用。</w:t>
            </w:r>
          </w:p>
          <w:p w14:paraId="3F396EA4">
            <w:pPr>
              <w:wordWrap w:val="0"/>
              <w:snapToGrid w:val="0"/>
              <w:spacing w:line="360" w:lineRule="auto"/>
              <w:ind w:firstLine="480" w:firstLineChars="200"/>
              <w:rPr>
                <w:color w:val="auto"/>
                <w:sz w:val="24"/>
              </w:rPr>
            </w:pPr>
            <w:r>
              <w:rPr>
                <w:rFonts w:hint="eastAsia"/>
                <w:color w:val="auto"/>
                <w:sz w:val="24"/>
                <w:lang w:val="en-US" w:eastAsia="zh-CN"/>
              </w:rPr>
              <w:t>装卸、搬运化学品时应按照有关规定进行，做到轻装、轻卸。严禁摔、碰、撞击、拖拉、倾倒和滚动。应设置一个空的收集桶，当泄漏事故发生时，将泄漏物料收集至桶内暂存，不能回用的作为危险废物处理。</w:t>
            </w:r>
          </w:p>
          <w:p w14:paraId="1ED00A86">
            <w:pPr>
              <w:wordWrap w:val="0"/>
              <w:snapToGrid w:val="0"/>
              <w:spacing w:line="360" w:lineRule="auto"/>
              <w:ind w:firstLine="480" w:firstLineChars="200"/>
              <w:rPr>
                <w:color w:val="auto"/>
                <w:sz w:val="24"/>
              </w:rPr>
            </w:pPr>
            <w:r>
              <w:rPr>
                <w:rFonts w:hint="eastAsia"/>
                <w:color w:val="auto"/>
                <w:sz w:val="24"/>
                <w:lang w:val="en-US" w:eastAsia="zh-CN"/>
              </w:rPr>
              <w:t xml:space="preserve">如果发生火灾，各种化学品在燃烧过程中会产生不同程度的有毒有害。在灭火和抢救时，应站在上风头，佩戴防毒面具或自救式呼吸器。 </w:t>
            </w:r>
          </w:p>
          <w:p w14:paraId="23D02551">
            <w:pPr>
              <w:wordWrap w:val="0"/>
              <w:snapToGrid w:val="0"/>
              <w:spacing w:line="360" w:lineRule="auto"/>
              <w:ind w:firstLine="480" w:firstLineChars="200"/>
              <w:rPr>
                <w:color w:val="auto"/>
                <w:sz w:val="24"/>
              </w:rPr>
            </w:pPr>
            <w:r>
              <w:rPr>
                <w:rFonts w:hint="eastAsia"/>
                <w:color w:val="auto"/>
                <w:sz w:val="24"/>
                <w:lang w:val="en-US" w:eastAsia="zh-CN"/>
              </w:rPr>
              <w:t>B.危险废物暂存场所风险防范措施</w:t>
            </w:r>
          </w:p>
          <w:p w14:paraId="42C6441B">
            <w:pPr>
              <w:wordWrap w:val="0"/>
              <w:snapToGrid w:val="0"/>
              <w:spacing w:line="360" w:lineRule="auto"/>
              <w:ind w:firstLine="480" w:firstLineChars="200"/>
              <w:rPr>
                <w:color w:val="auto"/>
                <w:sz w:val="24"/>
              </w:rPr>
            </w:pPr>
            <w:r>
              <w:rPr>
                <w:rFonts w:hint="eastAsia"/>
                <w:color w:val="auto"/>
                <w:sz w:val="24"/>
                <w:lang w:val="en-US" w:eastAsia="zh-CN"/>
              </w:rPr>
              <w:t>建设项目按规范建设危险废物暂存场所，全厂各种固废分类收集，盛放，临时存放室内固定场所，不被雨淋、风吹、专车运送，所有固废都得到合适的处置或综合利用，危险废物委托有资质的单位处置，固废实现</w:t>
            </w:r>
            <w:r>
              <w:rPr>
                <w:rFonts w:hint="default"/>
                <w:color w:val="auto"/>
                <w:sz w:val="24"/>
                <w:lang w:val="en-US" w:eastAsia="zh-CN"/>
              </w:rPr>
              <w:t>“</w:t>
            </w:r>
            <w:r>
              <w:rPr>
                <w:rFonts w:hint="eastAsia"/>
                <w:color w:val="auto"/>
                <w:sz w:val="24"/>
                <w:lang w:val="en-US" w:eastAsia="zh-CN"/>
              </w:rPr>
              <w:t>零排放</w:t>
            </w:r>
            <w:r>
              <w:rPr>
                <w:rFonts w:hint="default"/>
                <w:color w:val="auto"/>
                <w:sz w:val="24"/>
                <w:lang w:val="en-US" w:eastAsia="zh-CN"/>
              </w:rPr>
              <w:t>”</w:t>
            </w:r>
            <w:r>
              <w:rPr>
                <w:rFonts w:hint="eastAsia"/>
                <w:color w:val="auto"/>
                <w:sz w:val="24"/>
                <w:lang w:val="en-US" w:eastAsia="zh-CN"/>
              </w:rPr>
              <w:t>。为避免危险废物对环境的危害，建议采用以下措施：</w:t>
            </w:r>
          </w:p>
          <w:p w14:paraId="5A90CE06">
            <w:pPr>
              <w:wordWrap w:val="0"/>
              <w:snapToGrid w:val="0"/>
              <w:spacing w:line="360" w:lineRule="auto"/>
              <w:ind w:firstLine="480" w:firstLineChars="200"/>
              <w:rPr>
                <w:color w:val="auto"/>
                <w:sz w:val="24"/>
              </w:rPr>
            </w:pPr>
            <w:r>
              <w:rPr>
                <w:rFonts w:hint="default"/>
                <w:color w:val="auto"/>
                <w:sz w:val="24"/>
                <w:lang w:val="en-US" w:eastAsia="zh-CN"/>
              </w:rPr>
              <w:t>(1)</w:t>
            </w:r>
            <w:r>
              <w:rPr>
                <w:rFonts w:hint="eastAsia"/>
                <w:color w:val="auto"/>
                <w:sz w:val="24"/>
                <w:lang w:val="en-US" w:eastAsia="zh-CN"/>
              </w:rPr>
              <w:t>危险废物暂存场所配备可燃气体报警器，加强管理。</w:t>
            </w:r>
          </w:p>
          <w:p w14:paraId="05D2BBDC">
            <w:pPr>
              <w:wordWrap w:val="0"/>
              <w:snapToGrid w:val="0"/>
              <w:spacing w:line="360" w:lineRule="auto"/>
              <w:ind w:firstLine="480" w:firstLineChars="200"/>
              <w:rPr>
                <w:color w:val="auto"/>
                <w:sz w:val="24"/>
              </w:rPr>
            </w:pPr>
            <w:r>
              <w:rPr>
                <w:rFonts w:hint="default"/>
                <w:color w:val="auto"/>
                <w:sz w:val="24"/>
                <w:lang w:val="en-US" w:eastAsia="zh-CN"/>
              </w:rPr>
              <w:t>(2)</w:t>
            </w:r>
            <w:r>
              <w:rPr>
                <w:rFonts w:hint="eastAsia"/>
                <w:color w:val="auto"/>
                <w:sz w:val="24"/>
                <w:lang w:val="en-US" w:eastAsia="zh-CN"/>
              </w:rPr>
              <w:t>应急处理设备、器材以及相关的人员防护和急救用品定期检查更新。</w:t>
            </w:r>
          </w:p>
          <w:p w14:paraId="77DCF239">
            <w:pPr>
              <w:wordWrap w:val="0"/>
              <w:snapToGrid w:val="0"/>
              <w:spacing w:line="360" w:lineRule="auto"/>
              <w:ind w:firstLine="480" w:firstLineChars="200"/>
              <w:rPr>
                <w:color w:val="auto"/>
                <w:sz w:val="24"/>
              </w:rPr>
            </w:pPr>
            <w:r>
              <w:rPr>
                <w:rFonts w:hint="default"/>
                <w:color w:val="auto"/>
                <w:sz w:val="24"/>
                <w:lang w:val="en-US" w:eastAsia="zh-CN"/>
              </w:rPr>
              <w:t>(3)</w:t>
            </w:r>
            <w:r>
              <w:rPr>
                <w:rFonts w:hint="eastAsia"/>
                <w:color w:val="auto"/>
                <w:sz w:val="24"/>
                <w:lang w:val="en-US" w:eastAsia="zh-CN"/>
              </w:rPr>
              <w:t>在收集过程中要根据各种危险废物的性质进行分类、分别收集和临时贮存。</w:t>
            </w:r>
          </w:p>
          <w:p w14:paraId="3303B2C1">
            <w:pPr>
              <w:wordWrap w:val="0"/>
              <w:snapToGrid w:val="0"/>
              <w:spacing w:line="360" w:lineRule="auto"/>
              <w:ind w:firstLine="480" w:firstLineChars="200"/>
              <w:rPr>
                <w:color w:val="auto"/>
                <w:sz w:val="24"/>
              </w:rPr>
            </w:pPr>
            <w:r>
              <w:rPr>
                <w:rFonts w:hint="default"/>
                <w:color w:val="auto"/>
                <w:sz w:val="24"/>
                <w:lang w:val="en-US" w:eastAsia="zh-CN"/>
              </w:rPr>
              <w:t>(4)</w:t>
            </w:r>
            <w:r>
              <w:rPr>
                <w:rFonts w:hint="eastAsia"/>
                <w:color w:val="auto"/>
                <w:sz w:val="24"/>
                <w:lang w:val="en-US" w:eastAsia="zh-CN"/>
              </w:rPr>
              <w:t>危险废物转移途中，全程专人押运，责任到人，杜绝发生违法倾倒、填埋事故。运输过程中要注意不同的危险废物要单独运输，固废的包装容器要注意密闭，以免在运输途中发生危险废物的泄漏，从而产生二次污染。</w:t>
            </w:r>
          </w:p>
          <w:p w14:paraId="0BF985D8">
            <w:pPr>
              <w:spacing w:line="360" w:lineRule="auto"/>
              <w:ind w:firstLine="482" w:firstLineChars="200"/>
              <w:contextualSpacing/>
              <w:rPr>
                <w:rFonts w:hint="eastAsia"/>
                <w:b/>
                <w:bCs/>
                <w:color w:val="auto"/>
                <w:sz w:val="24"/>
                <w:lang w:val="en-US" w:eastAsia="zh-CN"/>
              </w:rPr>
            </w:pPr>
            <w:r>
              <w:rPr>
                <w:rFonts w:hint="eastAsia"/>
                <w:b/>
                <w:bCs/>
                <w:color w:val="auto"/>
                <w:sz w:val="24"/>
                <w:lang w:val="en-US" w:eastAsia="zh-CN"/>
              </w:rPr>
              <w:t>8.清洁生产水平</w:t>
            </w:r>
          </w:p>
          <w:p w14:paraId="3D2435FA">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清洁生产是指不断采取改进设计、使用清洁的能源和原料、采用先进的工艺技术与设备、改善管理、综合利用等措施，从源头削减污染，提高资源利用效率，减少或避免生产、服务和产品使用过程中污染物的产生和排放，以减轻或消除对人类健康和环境的危害。它包括清洁的能源及原材料、清洁的生产过程和清洁的产品三方面的内容。《建设项目环境保护管理条例》规定，工业建设项目应当采用能耗物耗小、污染物产生量少的清洁生产工艺，合理利用自然资源，防止环境污染和生态破坏。《中华人民共和国清洁生产促进法》实施后，国家生态环境部在《关于贯彻落实〈清洁生产促进法〉的若干意见》中，明确提出了建设项目应当采用清洁生产技术、工艺和设备要求。</w:t>
            </w:r>
          </w:p>
          <w:p w14:paraId="2765D3A2">
            <w:pPr>
              <w:wordWrap w:val="0"/>
              <w:snapToGrid w:val="0"/>
              <w:spacing w:line="360" w:lineRule="auto"/>
              <w:ind w:firstLine="480" w:firstLineChars="200"/>
              <w:rPr>
                <w:color w:val="auto"/>
                <w:sz w:val="24"/>
              </w:rPr>
            </w:pPr>
            <w:r>
              <w:rPr>
                <w:rFonts w:hint="eastAsia"/>
                <w:color w:val="auto"/>
                <w:sz w:val="24"/>
                <w:lang w:val="en-US" w:eastAsia="zh-CN"/>
              </w:rPr>
              <w:t>清洁生产涉及产品的整个生命周期，不仅要考虑产品的生产过程，还要考虑产品的原材料使用和服务等因素可能对环境造成的影响，是一种全新的污染防治战略。由于目前还没有本行业清洁生产标准，因此本次评价根据原国家环境保护总局（现为中华人民共和国生态环境部）颁发的《清洁生产审计指南》和《清洁生产标准制订技术导则》（</w:t>
            </w:r>
            <w:r>
              <w:rPr>
                <w:rFonts w:hint="default"/>
                <w:color w:val="auto"/>
                <w:sz w:val="24"/>
                <w:lang w:val="en-US" w:eastAsia="zh-CN"/>
              </w:rPr>
              <w:t>HJ/T425-2008</w:t>
            </w:r>
            <w:r>
              <w:rPr>
                <w:rFonts w:hint="eastAsia"/>
                <w:color w:val="auto"/>
                <w:sz w:val="24"/>
                <w:lang w:val="en-US" w:eastAsia="zh-CN"/>
              </w:rPr>
              <w:t>）要求，根据工程特点，从如下几方面分析工程清洁生产水平。</w:t>
            </w:r>
          </w:p>
          <w:p w14:paraId="5D7A96ED">
            <w:pPr>
              <w:wordWrap w:val="0"/>
              <w:snapToGrid w:val="0"/>
              <w:spacing w:line="360" w:lineRule="auto"/>
              <w:ind w:firstLine="480" w:firstLineChars="200"/>
              <w:rPr>
                <w:color w:val="auto"/>
                <w:sz w:val="24"/>
              </w:rPr>
            </w:pPr>
            <w:r>
              <w:rPr>
                <w:rFonts w:hint="default"/>
                <w:color w:val="auto"/>
                <w:sz w:val="24"/>
                <w:lang w:val="en-US" w:eastAsia="zh-CN"/>
              </w:rPr>
              <w:t>1.</w:t>
            </w:r>
            <w:r>
              <w:rPr>
                <w:rFonts w:hint="eastAsia"/>
                <w:color w:val="auto"/>
                <w:sz w:val="24"/>
                <w:lang w:val="en-US" w:eastAsia="zh-CN"/>
              </w:rPr>
              <w:t>能源及原料控制措施</w:t>
            </w:r>
          </w:p>
          <w:p w14:paraId="402770CC">
            <w:pPr>
              <w:wordWrap w:val="0"/>
              <w:snapToGrid w:val="0"/>
              <w:spacing w:line="360" w:lineRule="auto"/>
              <w:ind w:firstLine="480" w:firstLineChars="200"/>
              <w:rPr>
                <w:color w:val="auto"/>
                <w:sz w:val="24"/>
              </w:rPr>
            </w:pPr>
            <w:r>
              <w:rPr>
                <w:rFonts w:hint="eastAsia"/>
                <w:color w:val="auto"/>
                <w:sz w:val="24"/>
                <w:lang w:val="en-US" w:eastAsia="zh-CN"/>
              </w:rPr>
              <w:t>本项目采用国际先进的生产工艺，有合理经济规模的生产装置，在投资、能源利用、管理、污染物产生、污染物治理等方面都存在明显优势。</w:t>
            </w:r>
          </w:p>
          <w:p w14:paraId="6A09B327">
            <w:pPr>
              <w:wordWrap w:val="0"/>
              <w:snapToGrid w:val="0"/>
              <w:spacing w:line="360" w:lineRule="auto"/>
              <w:ind w:firstLine="480" w:firstLineChars="200"/>
              <w:rPr>
                <w:color w:val="auto"/>
                <w:sz w:val="24"/>
              </w:rPr>
            </w:pPr>
            <w:r>
              <w:rPr>
                <w:rFonts w:hint="eastAsia"/>
                <w:color w:val="auto"/>
                <w:sz w:val="24"/>
                <w:lang w:val="en-US" w:eastAsia="zh-CN"/>
              </w:rPr>
              <w:t>由对比可见，本项目在物料的利用率方面较之同类产品较高，很大程度上减少了原料和水的损耗、污染物的排放；同时企业注重对操作员工的教育培训，职工操作水平得到提升，操作工程中失误造成的物料损耗得以减少。本项目胶合板加工项目涂胶工艺使用的胶料在非取用状态时加盖、封口、保持密闭储存。</w:t>
            </w:r>
          </w:p>
          <w:p w14:paraId="645D500A">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建设项目使用环保型的脲醛胶，通过控制施胶量从源头减少VOCs排放。</w:t>
            </w:r>
          </w:p>
          <w:p w14:paraId="41CC1B85">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建设项目生产过程中产生蒸汽冷凝水，冷凝水通常保持较高温度（60-90℃），水质纯净：相较于原水，冷凝水杂质含量低（如硬度、溶解固体较少），处理成本低。回收可减少新鲜水消耗和废水排放量，符合循环经济理念。</w:t>
            </w:r>
          </w:p>
          <w:p w14:paraId="1BC2C53C">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蒸汽冷凝水水质较好</w:t>
            </w:r>
            <w:r>
              <w:rPr>
                <w:rFonts w:hint="default"/>
                <w:color w:val="auto"/>
                <w:sz w:val="24"/>
                <w:lang w:val="en-US" w:eastAsia="zh-CN"/>
              </w:rPr>
              <w:t>：蒸汽冷凝水是蒸汽在热交换过程中冷却凝结而成的水，一般杂质含量较低，硬度、酸碱度等指标相对稳定，且通常不含有毒有害物质。与其他一些工业废水相比，其水质更接近纯水，经过简单的处理后就可以满足许多生产过程的用水要求。</w:t>
            </w:r>
          </w:p>
          <w:p w14:paraId="34A272D5">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蒸汽冷凝水</w:t>
            </w:r>
            <w:r>
              <w:rPr>
                <w:rFonts w:hint="default"/>
                <w:color w:val="auto"/>
                <w:sz w:val="24"/>
                <w:lang w:val="en-US" w:eastAsia="zh-CN"/>
              </w:rPr>
              <w:t>节约水资源：将蒸汽冷凝水回用可以减少对新鲜水资源的取用量，降低企业的用水成本。在水资源日益紧张的情况下，这对于企业的可持续发展具有重要意义，也符合清洁生产中节约用水的原则。</w:t>
            </w:r>
          </w:p>
          <w:p w14:paraId="05D73F2E">
            <w:pPr>
              <w:wordWrap w:val="0"/>
              <w:snapToGrid w:val="0"/>
              <w:spacing w:line="360" w:lineRule="auto"/>
              <w:ind w:firstLine="480" w:firstLineChars="200"/>
              <w:rPr>
                <w:color w:val="auto"/>
                <w:sz w:val="24"/>
              </w:rPr>
            </w:pPr>
            <w:r>
              <w:rPr>
                <w:rFonts w:hint="default"/>
                <w:color w:val="auto"/>
                <w:sz w:val="24"/>
                <w:lang w:val="en-US" w:eastAsia="zh-CN"/>
              </w:rPr>
              <w:t>2.</w:t>
            </w:r>
            <w:r>
              <w:rPr>
                <w:rFonts w:hint="eastAsia"/>
                <w:color w:val="auto"/>
                <w:sz w:val="24"/>
                <w:lang w:val="en-US" w:eastAsia="zh-CN"/>
              </w:rPr>
              <w:t>生产工艺水平</w:t>
            </w:r>
          </w:p>
          <w:p w14:paraId="24285EAB">
            <w:pPr>
              <w:wordWrap w:val="0"/>
              <w:snapToGrid w:val="0"/>
              <w:spacing w:line="360" w:lineRule="auto"/>
              <w:ind w:firstLine="480" w:firstLineChars="200"/>
              <w:rPr>
                <w:color w:val="auto"/>
                <w:sz w:val="24"/>
              </w:rPr>
            </w:pPr>
            <w:r>
              <w:rPr>
                <w:rFonts w:hint="eastAsia"/>
                <w:color w:val="auto"/>
                <w:sz w:val="24"/>
                <w:lang w:val="en-US" w:eastAsia="zh-CN"/>
              </w:rPr>
              <w:t>由于本项目产品属于玩具胶合板，生产工艺较为简单，涂胶工艺主要包括调涂胶机、热压机、拼缝机使用中产生。调涂胶机、热压机均为半密闭操作，集气罩加三面软帘，工艺自动化水平较高，所有涂胶工艺均根据设备、工艺特性采取合理有效的废气收集系统，提高废气收集效率，减少热压、调涂胶废气无组织排放。</w:t>
            </w:r>
          </w:p>
          <w:p w14:paraId="312CB315">
            <w:pPr>
              <w:wordWrap w:val="0"/>
              <w:snapToGrid w:val="0"/>
              <w:spacing w:line="360" w:lineRule="auto"/>
              <w:ind w:firstLine="480" w:firstLineChars="200"/>
              <w:rPr>
                <w:color w:val="auto"/>
                <w:sz w:val="24"/>
              </w:rPr>
            </w:pPr>
            <w:r>
              <w:rPr>
                <w:rFonts w:hint="default"/>
                <w:color w:val="auto"/>
                <w:sz w:val="24"/>
                <w:lang w:val="en-US" w:eastAsia="zh-CN"/>
              </w:rPr>
              <w:t>3.</w:t>
            </w:r>
            <w:r>
              <w:rPr>
                <w:rFonts w:hint="eastAsia"/>
                <w:color w:val="auto"/>
                <w:sz w:val="24"/>
                <w:lang w:val="en-US" w:eastAsia="zh-CN"/>
              </w:rPr>
              <w:t>设备先进性水平</w:t>
            </w:r>
          </w:p>
          <w:p w14:paraId="11D36A67">
            <w:pPr>
              <w:keepNext w:val="0"/>
              <w:keepLines w:val="0"/>
              <w:pageBreakBefore w:val="0"/>
              <w:widowControl w:val="0"/>
              <w:kinsoku/>
              <w:wordWrap w:val="0"/>
              <w:overflowPunct/>
              <w:topLinePunct w:val="0"/>
              <w:autoSpaceDE/>
              <w:autoSpaceDN/>
              <w:bidi w:val="0"/>
              <w:adjustRightInd/>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 xml:space="preserve">本项目所选用的生产设备都是同行业较先进的新型设备，过程控制好，实现生产的稳定运行，由人工操作结合设备机械化操作，将工作效率最大化，节约能源，并提高劳动生产率。 </w:t>
            </w:r>
          </w:p>
          <w:p w14:paraId="0111D534">
            <w:pPr>
              <w:wordWrap w:val="0"/>
              <w:snapToGrid w:val="0"/>
              <w:spacing w:line="360" w:lineRule="auto"/>
              <w:ind w:firstLine="480" w:firstLineChars="200"/>
              <w:rPr>
                <w:color w:val="auto"/>
                <w:sz w:val="24"/>
              </w:rPr>
            </w:pPr>
            <w:r>
              <w:rPr>
                <w:rFonts w:hint="eastAsia"/>
                <w:color w:val="auto"/>
                <w:sz w:val="24"/>
                <w:lang w:val="en-US" w:eastAsia="zh-CN"/>
              </w:rPr>
              <w:t>4</w:t>
            </w:r>
            <w:r>
              <w:rPr>
                <w:rFonts w:hint="default"/>
                <w:color w:val="auto"/>
                <w:sz w:val="24"/>
                <w:lang w:val="en-US" w:eastAsia="zh-CN"/>
              </w:rPr>
              <w:t>.</w:t>
            </w:r>
            <w:r>
              <w:rPr>
                <w:rFonts w:hint="eastAsia"/>
                <w:color w:val="auto"/>
                <w:sz w:val="24"/>
                <w:lang w:val="en-US" w:eastAsia="zh-CN"/>
              </w:rPr>
              <w:t>生产管理</w:t>
            </w:r>
          </w:p>
          <w:p w14:paraId="40FB2BDF">
            <w:pPr>
              <w:wordWrap w:val="0"/>
              <w:snapToGrid w:val="0"/>
              <w:spacing w:line="360" w:lineRule="auto"/>
              <w:ind w:firstLine="480" w:firstLineChars="200"/>
              <w:rPr>
                <w:color w:val="auto"/>
                <w:sz w:val="24"/>
              </w:rPr>
            </w:pPr>
            <w:r>
              <w:rPr>
                <w:rFonts w:hint="eastAsia"/>
                <w:color w:val="auto"/>
                <w:sz w:val="24"/>
                <w:lang w:val="en-US" w:eastAsia="zh-CN"/>
              </w:rPr>
              <w:t>清洁生产是全过程的污染控制，因此，它不仅是安全、生态环境部门的事，也是车间负责人和工程技术人员应负担的职责。产品的生产工艺设计与改造应充分考虑环境保护和清洁生产的要求，从源头控制污染。</w:t>
            </w:r>
          </w:p>
          <w:p w14:paraId="7DC96EE2">
            <w:pPr>
              <w:wordWrap w:val="0"/>
              <w:snapToGrid w:val="0"/>
              <w:spacing w:line="360" w:lineRule="auto"/>
              <w:ind w:firstLine="480" w:firstLineChars="200"/>
              <w:rPr>
                <w:color w:val="auto"/>
                <w:sz w:val="24"/>
              </w:rPr>
            </w:pPr>
            <w:r>
              <w:rPr>
                <w:rFonts w:hint="eastAsia"/>
                <w:color w:val="auto"/>
                <w:sz w:val="24"/>
                <w:lang w:val="en-US" w:eastAsia="zh-CN"/>
              </w:rPr>
              <w:t>在生产管理中要充分考虑清洁生产要素：</w:t>
            </w:r>
          </w:p>
          <w:p w14:paraId="3ABE0B7E">
            <w:pPr>
              <w:wordWrap w:val="0"/>
              <w:snapToGrid w:val="0"/>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 xml:space="preserve">）制定生产工艺规程、岗位操作手法和标准操作规程，不得任意更改。如需要更改时，应按指定的程序办理修订、审批手续。 </w:t>
            </w:r>
          </w:p>
          <w:p w14:paraId="70F8156F">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2</w:t>
            </w:r>
            <w:r>
              <w:rPr>
                <w:rFonts w:hint="eastAsia"/>
                <w:color w:val="auto"/>
                <w:sz w:val="24"/>
                <w:lang w:val="en-US" w:eastAsia="zh-CN"/>
              </w:rPr>
              <w:t>）每批产品应按产品产量和数量的物料平衡进行检查。如有显著差异，必须查明原因，在得出合理解释，确认无潜在质量事故后，方可按正常产品处理。    （</w:t>
            </w:r>
            <w:r>
              <w:rPr>
                <w:rFonts w:hint="default"/>
                <w:color w:val="auto"/>
                <w:sz w:val="24"/>
                <w:lang w:val="en-US" w:eastAsia="zh-CN"/>
              </w:rPr>
              <w:t>3</w:t>
            </w:r>
            <w:r>
              <w:rPr>
                <w:rFonts w:hint="eastAsia"/>
                <w:color w:val="auto"/>
                <w:sz w:val="24"/>
                <w:lang w:val="en-US" w:eastAsia="zh-CN"/>
              </w:rPr>
              <w:t xml:space="preserve">）每批生产记录应字迹清楚、内容真实，数据完整，并由操作人员及复核人员签字。记录应保持整洁，不得撕毁和任意涂改，更改时，在更改处签名，并使原始数据仍可辨认，批生产记录应按批号归档，保存至有效期后一年。 </w:t>
            </w:r>
          </w:p>
          <w:p w14:paraId="1D2694B2">
            <w:pPr>
              <w:wordWrap w:val="0"/>
              <w:snapToGrid w:val="0"/>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4</w:t>
            </w:r>
            <w:r>
              <w:rPr>
                <w:rFonts w:hint="eastAsia"/>
                <w:color w:val="auto"/>
                <w:sz w:val="24"/>
                <w:lang w:val="en-US" w:eastAsia="zh-CN"/>
              </w:rPr>
              <w:t xml:space="preserve">）在规定限度内具有同一性质和质量，并在同一连续生产周期中生产出来的一定数量的产品为一批。每批产品均应编制生产批号。 </w:t>
            </w:r>
          </w:p>
          <w:p w14:paraId="2E1C9361">
            <w:pPr>
              <w:wordWrap w:val="0"/>
              <w:snapToGrid w:val="0"/>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5</w:t>
            </w:r>
            <w:r>
              <w:rPr>
                <w:rFonts w:hint="eastAsia"/>
                <w:color w:val="auto"/>
                <w:sz w:val="24"/>
                <w:lang w:val="en-US" w:eastAsia="zh-CN"/>
              </w:rPr>
              <w:t xml:space="preserve">）建立各种单位质量的能耗（如水、电等），并将指标分解到公司内部各单元，实行经济考核，最大限度地减少水、电、原辅料的消耗。 </w:t>
            </w:r>
          </w:p>
          <w:p w14:paraId="6359A9CB">
            <w:pPr>
              <w:wordWrap w:val="0"/>
              <w:snapToGrid w:val="0"/>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6</w:t>
            </w:r>
            <w:r>
              <w:rPr>
                <w:rFonts w:hint="eastAsia"/>
                <w:color w:val="auto"/>
                <w:sz w:val="24"/>
                <w:lang w:val="en-US" w:eastAsia="zh-CN"/>
              </w:rPr>
              <w:t xml:space="preserve">）督促生产人员做好环保工作，并赋予相应的权力和职权。 </w:t>
            </w:r>
          </w:p>
          <w:p w14:paraId="71B42C6E">
            <w:pPr>
              <w:wordWrap w:val="0"/>
              <w:snapToGrid w:val="0"/>
              <w:spacing w:line="360" w:lineRule="auto"/>
              <w:ind w:firstLine="480" w:firstLineChars="200"/>
              <w:rPr>
                <w:color w:val="auto"/>
                <w:sz w:val="24"/>
              </w:rPr>
            </w:pPr>
            <w:r>
              <w:rPr>
                <w:rFonts w:hint="eastAsia"/>
                <w:color w:val="auto"/>
                <w:sz w:val="24"/>
                <w:lang w:val="en-US" w:eastAsia="zh-CN"/>
              </w:rPr>
              <w:t>5</w:t>
            </w:r>
            <w:r>
              <w:rPr>
                <w:rFonts w:hint="default"/>
                <w:color w:val="auto"/>
                <w:sz w:val="24"/>
                <w:lang w:val="en-US" w:eastAsia="zh-CN"/>
              </w:rPr>
              <w:t>.</w:t>
            </w:r>
            <w:r>
              <w:rPr>
                <w:rFonts w:hint="eastAsia"/>
                <w:color w:val="auto"/>
                <w:sz w:val="24"/>
                <w:lang w:val="en-US" w:eastAsia="zh-CN"/>
              </w:rPr>
              <w:t xml:space="preserve">产品控制措施 </w:t>
            </w:r>
          </w:p>
          <w:p w14:paraId="54A0E629">
            <w:pPr>
              <w:wordWrap w:val="0"/>
              <w:snapToGrid w:val="0"/>
              <w:spacing w:line="360" w:lineRule="auto"/>
              <w:ind w:firstLine="480" w:firstLineChars="200"/>
              <w:rPr>
                <w:color w:val="auto"/>
                <w:sz w:val="24"/>
              </w:rPr>
            </w:pPr>
            <w:r>
              <w:rPr>
                <w:rFonts w:hint="eastAsia"/>
                <w:color w:val="auto"/>
                <w:sz w:val="24"/>
                <w:lang w:val="en-US" w:eastAsia="zh-CN"/>
              </w:rPr>
              <w:t>建设项目产品主要为玩具胶合板，产品本身不对环境造成任何危害，正常使用也不产生污染。不会对周围环境产生影响。</w:t>
            </w:r>
          </w:p>
          <w:p w14:paraId="54E7DD5E">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6</w:t>
            </w:r>
            <w:r>
              <w:rPr>
                <w:rFonts w:hint="default"/>
                <w:color w:val="auto"/>
                <w:sz w:val="24"/>
                <w:lang w:val="en-US" w:eastAsia="zh-CN"/>
              </w:rPr>
              <w:t>.</w:t>
            </w:r>
            <w:r>
              <w:rPr>
                <w:rFonts w:hint="eastAsia"/>
                <w:color w:val="auto"/>
                <w:sz w:val="24"/>
                <w:lang w:val="en-US" w:eastAsia="zh-CN"/>
              </w:rPr>
              <w:t xml:space="preserve">清洁生产建议 </w:t>
            </w:r>
          </w:p>
          <w:p w14:paraId="3B023B9D">
            <w:pPr>
              <w:wordWrap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清洁生产是全过程的污染控制，清洁生产范围不仅仅限于某个工序，而是整个过程的各个环节，包括设备的购置、原料、工艺的选择、生产过程的各个工序以及废水、废气、噪声、固废的处理等。为实现清洁生产的目标，建议企业在项目建设后尽快进行清洁生产审核，提高企业的清洁生产水平。</w:t>
            </w:r>
          </w:p>
          <w:p w14:paraId="5730ABE1">
            <w:pPr>
              <w:spacing w:line="360" w:lineRule="auto"/>
              <w:ind w:firstLine="482" w:firstLineChars="200"/>
              <w:contextualSpacing/>
              <w:rPr>
                <w:b/>
                <w:bCs/>
                <w:color w:val="auto"/>
                <w:sz w:val="24"/>
              </w:rPr>
            </w:pPr>
            <w:r>
              <w:rPr>
                <w:rFonts w:hint="eastAsia"/>
                <w:b/>
                <w:bCs/>
                <w:color w:val="auto"/>
                <w:sz w:val="24"/>
                <w:lang w:val="en-US" w:eastAsia="zh-CN"/>
              </w:rPr>
              <w:t>9</w:t>
            </w:r>
            <w:r>
              <w:rPr>
                <w:b/>
                <w:bCs/>
                <w:color w:val="auto"/>
                <w:sz w:val="24"/>
              </w:rPr>
              <w:t>、电磁辐射</w:t>
            </w:r>
          </w:p>
          <w:p w14:paraId="57596BD5">
            <w:pPr>
              <w:spacing w:line="360" w:lineRule="auto"/>
              <w:ind w:firstLine="480" w:firstLineChars="200"/>
              <w:contextualSpacing/>
              <w:rPr>
                <w:color w:val="auto"/>
                <w:sz w:val="24"/>
              </w:rPr>
            </w:pPr>
            <w:r>
              <w:rPr>
                <w:color w:val="auto"/>
                <w:sz w:val="24"/>
              </w:rPr>
              <w:t>本项目不涉及电磁辐射内容，故无需说明相关电磁辐射的环境环保措施。</w:t>
            </w:r>
          </w:p>
          <w:p w14:paraId="00062E2D">
            <w:pPr>
              <w:spacing w:line="360" w:lineRule="auto"/>
              <w:ind w:firstLine="482" w:firstLineChars="200"/>
              <w:contextualSpacing/>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10.</w:t>
            </w:r>
            <w:r>
              <w:rPr>
                <w:rFonts w:hint="eastAsia" w:cs="Times New Roman"/>
                <w:b/>
                <w:bCs/>
                <w:color w:val="auto"/>
                <w:sz w:val="24"/>
                <w:lang w:val="en-US" w:eastAsia="zh-CN"/>
              </w:rPr>
              <w:t>项目</w:t>
            </w:r>
            <w:r>
              <w:rPr>
                <w:rFonts w:hint="eastAsia" w:ascii="Times New Roman" w:hAnsi="Times New Roman" w:cs="Times New Roman"/>
                <w:b/>
                <w:bCs/>
                <w:color w:val="auto"/>
                <w:sz w:val="24"/>
                <w:lang w:val="en-US" w:eastAsia="zh-CN"/>
              </w:rPr>
              <w:t>环保投资估算和“三同时”验收一览表4.10-1。</w:t>
            </w:r>
          </w:p>
          <w:p w14:paraId="17DCA823">
            <w:pPr>
              <w:spacing w:line="360" w:lineRule="auto"/>
              <w:jc w:val="center"/>
              <w:rPr>
                <w:b/>
                <w:bCs/>
                <w:color w:val="auto"/>
                <w:sz w:val="24"/>
              </w:rPr>
            </w:pPr>
            <w:r>
              <w:rPr>
                <w:b/>
                <w:bCs/>
                <w:color w:val="auto"/>
                <w:sz w:val="24"/>
              </w:rPr>
              <w:t>表</w:t>
            </w:r>
            <w:r>
              <w:rPr>
                <w:rFonts w:hint="eastAsia"/>
                <w:b/>
                <w:bCs/>
                <w:color w:val="auto"/>
                <w:sz w:val="24"/>
                <w:lang w:val="en-US" w:eastAsia="zh-CN"/>
              </w:rPr>
              <w:t>4.10-1</w:t>
            </w:r>
            <w:r>
              <w:rPr>
                <w:b/>
                <w:bCs/>
                <w:color w:val="auto"/>
                <w:sz w:val="24"/>
              </w:rPr>
              <w:t xml:space="preserve"> </w:t>
            </w:r>
            <w:r>
              <w:rPr>
                <w:rFonts w:hint="eastAsia"/>
                <w:b/>
                <w:bCs/>
                <w:color w:val="auto"/>
                <w:sz w:val="24"/>
              </w:rPr>
              <w:t xml:space="preserve"> 项目环保投资估算和“</w:t>
            </w:r>
            <w:r>
              <w:rPr>
                <w:b/>
                <w:bCs/>
                <w:color w:val="auto"/>
                <w:sz w:val="24"/>
              </w:rPr>
              <w:t>三同时</w:t>
            </w:r>
            <w:r>
              <w:rPr>
                <w:rFonts w:hint="eastAsia"/>
                <w:b/>
                <w:bCs/>
                <w:color w:val="auto"/>
                <w:sz w:val="24"/>
              </w:rPr>
              <w:t>”</w:t>
            </w:r>
            <w:r>
              <w:rPr>
                <w:b/>
                <w:bCs/>
                <w:color w:val="auto"/>
                <w:sz w:val="24"/>
              </w:rPr>
              <w:t>验收一览表</w:t>
            </w:r>
          </w:p>
          <w:tbl>
            <w:tblPr>
              <w:tblStyle w:val="4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12"/>
              <w:gridCol w:w="589"/>
              <w:gridCol w:w="1019"/>
              <w:gridCol w:w="1180"/>
              <w:gridCol w:w="1002"/>
              <w:gridCol w:w="1004"/>
              <w:gridCol w:w="2032"/>
              <w:gridCol w:w="745"/>
            </w:tblGrid>
            <w:tr w14:paraId="65792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noWrap w:val="0"/>
                  <w:tcMar>
                    <w:top w:w="0" w:type="dxa"/>
                    <w:left w:w="0" w:type="dxa"/>
                    <w:bottom w:w="0" w:type="dxa"/>
                    <w:right w:w="0" w:type="dxa"/>
                  </w:tcMar>
                  <w:vAlign w:val="center"/>
                </w:tcPr>
                <w:p w14:paraId="4C291FB6">
                  <w:pPr>
                    <w:adjustRightInd w:val="0"/>
                    <w:snapToGrid w:val="0"/>
                    <w:jc w:val="center"/>
                    <w:rPr>
                      <w:b/>
                      <w:bCs/>
                      <w:color w:val="auto"/>
                      <w:szCs w:val="21"/>
                    </w:rPr>
                  </w:pPr>
                  <w:r>
                    <w:rPr>
                      <w:b/>
                      <w:bCs/>
                      <w:color w:val="auto"/>
                    </w:rPr>
                    <w:t>类别</w:t>
                  </w:r>
                </w:p>
              </w:tc>
              <w:tc>
                <w:tcPr>
                  <w:tcW w:w="351" w:type="pct"/>
                  <w:noWrap w:val="0"/>
                  <w:tcMar>
                    <w:top w:w="0" w:type="dxa"/>
                    <w:left w:w="0" w:type="dxa"/>
                    <w:bottom w:w="0" w:type="dxa"/>
                    <w:right w:w="0" w:type="dxa"/>
                  </w:tcMar>
                  <w:vAlign w:val="center"/>
                </w:tcPr>
                <w:p w14:paraId="485012FE">
                  <w:pPr>
                    <w:adjustRightInd w:val="0"/>
                    <w:snapToGrid w:val="0"/>
                    <w:jc w:val="center"/>
                    <w:rPr>
                      <w:color w:val="auto"/>
                      <w:szCs w:val="21"/>
                    </w:rPr>
                  </w:pPr>
                  <w:r>
                    <w:rPr>
                      <w:rFonts w:hint="eastAsia" w:ascii="宋体" w:hAnsi="宋体"/>
                      <w:b/>
                      <w:bCs/>
                      <w:color w:val="auto"/>
                    </w:rPr>
                    <w:t>污染源</w:t>
                  </w:r>
                </w:p>
              </w:tc>
              <w:tc>
                <w:tcPr>
                  <w:tcW w:w="607" w:type="pct"/>
                  <w:noWrap w:val="0"/>
                  <w:tcMar>
                    <w:top w:w="0" w:type="dxa"/>
                    <w:left w:w="0" w:type="dxa"/>
                    <w:bottom w:w="0" w:type="dxa"/>
                    <w:right w:w="0" w:type="dxa"/>
                  </w:tcMar>
                  <w:vAlign w:val="center"/>
                </w:tcPr>
                <w:p w14:paraId="2E403629">
                  <w:pPr>
                    <w:adjustRightInd w:val="0"/>
                    <w:snapToGrid w:val="0"/>
                    <w:jc w:val="center"/>
                    <w:rPr>
                      <w:b/>
                      <w:bCs/>
                      <w:color w:val="auto"/>
                      <w:szCs w:val="21"/>
                    </w:rPr>
                  </w:pPr>
                  <w:r>
                    <w:rPr>
                      <w:rFonts w:hint="eastAsia" w:ascii="宋体" w:hAnsi="宋体"/>
                      <w:b/>
                      <w:bCs/>
                      <w:color w:val="auto"/>
                    </w:rPr>
                    <w:t>污染物</w:t>
                  </w:r>
                </w:p>
              </w:tc>
              <w:tc>
                <w:tcPr>
                  <w:tcW w:w="703" w:type="pct"/>
                  <w:noWrap w:val="0"/>
                  <w:tcMar>
                    <w:top w:w="0" w:type="dxa"/>
                    <w:left w:w="0" w:type="dxa"/>
                    <w:bottom w:w="0" w:type="dxa"/>
                    <w:right w:w="0" w:type="dxa"/>
                  </w:tcMar>
                  <w:vAlign w:val="center"/>
                </w:tcPr>
                <w:p w14:paraId="15768888">
                  <w:pPr>
                    <w:adjustRightInd w:val="0"/>
                    <w:snapToGrid w:val="0"/>
                    <w:spacing w:line="240" w:lineRule="atLeast"/>
                    <w:jc w:val="center"/>
                    <w:rPr>
                      <w:b/>
                      <w:bCs/>
                      <w:color w:val="auto"/>
                      <w:szCs w:val="21"/>
                    </w:rPr>
                  </w:pPr>
                  <w:r>
                    <w:rPr>
                      <w:rFonts w:hint="eastAsia" w:ascii="宋体" w:hAnsi="宋体"/>
                      <w:b/>
                      <w:bCs/>
                      <w:color w:val="auto"/>
                    </w:rPr>
                    <w:t>治理措施</w:t>
                  </w:r>
                </w:p>
              </w:tc>
              <w:tc>
                <w:tcPr>
                  <w:tcW w:w="597" w:type="pct"/>
                  <w:noWrap w:val="0"/>
                  <w:tcMar>
                    <w:top w:w="0" w:type="dxa"/>
                    <w:left w:w="0" w:type="dxa"/>
                    <w:bottom w:w="0" w:type="dxa"/>
                    <w:right w:w="0" w:type="dxa"/>
                  </w:tcMar>
                  <w:vAlign w:val="center"/>
                </w:tcPr>
                <w:p w14:paraId="7E165DCF">
                  <w:pPr>
                    <w:adjustRightInd w:val="0"/>
                    <w:snapToGrid w:val="0"/>
                    <w:jc w:val="center"/>
                    <w:rPr>
                      <w:rFonts w:hint="eastAsia"/>
                      <w:b/>
                      <w:bCs/>
                      <w:color w:val="auto"/>
                    </w:rPr>
                  </w:pPr>
                  <w:r>
                    <w:rPr>
                      <w:rFonts w:hint="eastAsia"/>
                      <w:b/>
                      <w:bCs/>
                      <w:color w:val="auto"/>
                    </w:rPr>
                    <w:t>环保估算（万元）</w:t>
                  </w:r>
                </w:p>
              </w:tc>
              <w:tc>
                <w:tcPr>
                  <w:tcW w:w="598" w:type="pct"/>
                  <w:noWrap w:val="0"/>
                  <w:tcMar>
                    <w:top w:w="0" w:type="dxa"/>
                    <w:left w:w="0" w:type="dxa"/>
                    <w:bottom w:w="0" w:type="dxa"/>
                    <w:right w:w="0" w:type="dxa"/>
                  </w:tcMar>
                  <w:vAlign w:val="center"/>
                </w:tcPr>
                <w:p w14:paraId="7932E2C8">
                  <w:pPr>
                    <w:adjustRightInd w:val="0"/>
                    <w:snapToGrid w:val="0"/>
                    <w:jc w:val="center"/>
                    <w:rPr>
                      <w:b/>
                      <w:bCs/>
                      <w:color w:val="auto"/>
                      <w:szCs w:val="21"/>
                    </w:rPr>
                  </w:pPr>
                  <w:r>
                    <w:rPr>
                      <w:b/>
                      <w:bCs/>
                      <w:color w:val="auto"/>
                    </w:rPr>
                    <w:t>效果</w:t>
                  </w:r>
                </w:p>
              </w:tc>
              <w:tc>
                <w:tcPr>
                  <w:tcW w:w="1211" w:type="pct"/>
                  <w:noWrap w:val="0"/>
                  <w:tcMar>
                    <w:top w:w="0" w:type="dxa"/>
                    <w:left w:w="0" w:type="dxa"/>
                    <w:bottom w:w="0" w:type="dxa"/>
                    <w:right w:w="0" w:type="dxa"/>
                  </w:tcMar>
                  <w:vAlign w:val="center"/>
                </w:tcPr>
                <w:p w14:paraId="326F2683">
                  <w:pPr>
                    <w:adjustRightInd w:val="0"/>
                    <w:snapToGrid w:val="0"/>
                    <w:jc w:val="center"/>
                    <w:rPr>
                      <w:b/>
                      <w:bCs/>
                      <w:color w:val="auto"/>
                      <w:szCs w:val="21"/>
                    </w:rPr>
                  </w:pPr>
                  <w:r>
                    <w:rPr>
                      <w:rFonts w:hint="eastAsia" w:ascii="宋体" w:hAnsi="宋体"/>
                      <w:b/>
                      <w:bCs/>
                      <w:color w:val="auto"/>
                    </w:rPr>
                    <w:t>验收标准</w:t>
                  </w:r>
                </w:p>
              </w:tc>
              <w:tc>
                <w:tcPr>
                  <w:tcW w:w="444" w:type="pct"/>
                  <w:noWrap w:val="0"/>
                  <w:tcMar>
                    <w:top w:w="0" w:type="dxa"/>
                    <w:left w:w="0" w:type="dxa"/>
                    <w:bottom w:w="0" w:type="dxa"/>
                    <w:right w:w="0" w:type="dxa"/>
                  </w:tcMar>
                  <w:vAlign w:val="center"/>
                </w:tcPr>
                <w:p w14:paraId="712123E2">
                  <w:pPr>
                    <w:adjustRightInd w:val="0"/>
                    <w:snapToGrid w:val="0"/>
                    <w:jc w:val="center"/>
                    <w:rPr>
                      <w:b/>
                      <w:bCs/>
                      <w:color w:val="auto"/>
                      <w:szCs w:val="21"/>
                    </w:rPr>
                  </w:pPr>
                  <w:r>
                    <w:rPr>
                      <w:b/>
                      <w:bCs/>
                      <w:color w:val="auto"/>
                    </w:rPr>
                    <w:t>备注</w:t>
                  </w:r>
                </w:p>
              </w:tc>
            </w:tr>
            <w:tr w14:paraId="5A5AC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noWrap w:val="0"/>
                  <w:tcMar>
                    <w:top w:w="0" w:type="dxa"/>
                    <w:left w:w="0" w:type="dxa"/>
                    <w:bottom w:w="0" w:type="dxa"/>
                    <w:right w:w="0" w:type="dxa"/>
                  </w:tcMar>
                  <w:vAlign w:val="center"/>
                </w:tcPr>
                <w:p w14:paraId="34821F58">
                  <w:pPr>
                    <w:adjustRightInd w:val="0"/>
                    <w:snapToGrid w:val="0"/>
                    <w:jc w:val="center"/>
                    <w:rPr>
                      <w:color w:val="auto"/>
                      <w:szCs w:val="21"/>
                    </w:rPr>
                  </w:pPr>
                  <w:r>
                    <w:rPr>
                      <w:color w:val="auto"/>
                    </w:rPr>
                    <w:t>废水</w:t>
                  </w:r>
                </w:p>
              </w:tc>
              <w:tc>
                <w:tcPr>
                  <w:tcW w:w="351" w:type="pct"/>
                  <w:noWrap w:val="0"/>
                  <w:tcMar>
                    <w:top w:w="0" w:type="dxa"/>
                    <w:left w:w="0" w:type="dxa"/>
                    <w:bottom w:w="0" w:type="dxa"/>
                    <w:right w:w="0" w:type="dxa"/>
                  </w:tcMar>
                  <w:vAlign w:val="center"/>
                </w:tcPr>
                <w:p w14:paraId="455D796E">
                  <w:pPr>
                    <w:adjustRightInd w:val="0"/>
                    <w:snapToGrid w:val="0"/>
                    <w:jc w:val="center"/>
                    <w:rPr>
                      <w:color w:val="auto"/>
                      <w:szCs w:val="21"/>
                    </w:rPr>
                  </w:pPr>
                  <w:r>
                    <w:rPr>
                      <w:rFonts w:hint="eastAsia" w:ascii="宋体" w:hAnsi="宋体"/>
                      <w:color w:val="auto"/>
                    </w:rPr>
                    <w:t>生活污水</w:t>
                  </w:r>
                </w:p>
              </w:tc>
              <w:tc>
                <w:tcPr>
                  <w:tcW w:w="607" w:type="pct"/>
                  <w:noWrap w:val="0"/>
                  <w:tcMar>
                    <w:top w:w="0" w:type="dxa"/>
                    <w:left w:w="0" w:type="dxa"/>
                    <w:bottom w:w="0" w:type="dxa"/>
                    <w:right w:w="0" w:type="dxa"/>
                  </w:tcMar>
                  <w:vAlign w:val="center"/>
                </w:tcPr>
                <w:p w14:paraId="193956E9">
                  <w:pPr>
                    <w:adjustRightInd w:val="0"/>
                    <w:snapToGrid w:val="0"/>
                    <w:spacing w:line="240" w:lineRule="atLeast"/>
                    <w:jc w:val="center"/>
                    <w:rPr>
                      <w:color w:val="auto"/>
                      <w:szCs w:val="21"/>
                    </w:rPr>
                  </w:pPr>
                  <w:r>
                    <w:rPr>
                      <w:color w:val="auto"/>
                    </w:rPr>
                    <w:t>COD</w:t>
                  </w:r>
                  <w:r>
                    <w:rPr>
                      <w:rFonts w:ascii="宋体" w:hAnsi="宋体"/>
                      <w:color w:val="auto"/>
                    </w:rPr>
                    <w:t>、</w:t>
                  </w:r>
                  <w:r>
                    <w:rPr>
                      <w:color w:val="auto"/>
                    </w:rPr>
                    <w:t>NH</w:t>
                  </w:r>
                  <w:r>
                    <w:rPr>
                      <w:color w:val="auto"/>
                      <w:vertAlign w:val="subscript"/>
                    </w:rPr>
                    <w:t>3</w:t>
                  </w:r>
                  <w:r>
                    <w:rPr>
                      <w:color w:val="auto"/>
                    </w:rPr>
                    <w:t>-N</w:t>
                  </w:r>
                </w:p>
                <w:p w14:paraId="191DFB90">
                  <w:pPr>
                    <w:adjustRightInd w:val="0"/>
                    <w:snapToGrid w:val="0"/>
                    <w:spacing w:line="240" w:lineRule="atLeast"/>
                    <w:jc w:val="center"/>
                    <w:rPr>
                      <w:color w:val="auto"/>
                      <w:szCs w:val="21"/>
                    </w:rPr>
                  </w:pPr>
                  <w:r>
                    <w:rPr>
                      <w:rFonts w:hint="eastAsia" w:ascii="宋体" w:hAnsi="宋体"/>
                      <w:color w:val="auto"/>
                    </w:rPr>
                    <w:t>等</w:t>
                  </w:r>
                </w:p>
              </w:tc>
              <w:tc>
                <w:tcPr>
                  <w:tcW w:w="703" w:type="pct"/>
                  <w:noWrap w:val="0"/>
                  <w:tcMar>
                    <w:top w:w="0" w:type="dxa"/>
                    <w:left w:w="0" w:type="dxa"/>
                    <w:bottom w:w="0" w:type="dxa"/>
                    <w:right w:w="0" w:type="dxa"/>
                  </w:tcMar>
                  <w:vAlign w:val="center"/>
                </w:tcPr>
                <w:p w14:paraId="052749D8">
                  <w:pPr>
                    <w:adjustRightInd w:val="0"/>
                    <w:snapToGrid w:val="0"/>
                    <w:jc w:val="center"/>
                    <w:rPr>
                      <w:color w:val="auto"/>
                      <w:szCs w:val="21"/>
                    </w:rPr>
                  </w:pPr>
                  <w:r>
                    <w:rPr>
                      <w:color w:val="auto"/>
                    </w:rPr>
                    <w:t>化粪池</w:t>
                  </w:r>
                </w:p>
              </w:tc>
              <w:tc>
                <w:tcPr>
                  <w:tcW w:w="597" w:type="pct"/>
                  <w:noWrap w:val="0"/>
                  <w:tcMar>
                    <w:top w:w="0" w:type="dxa"/>
                    <w:left w:w="0" w:type="dxa"/>
                    <w:bottom w:w="0" w:type="dxa"/>
                    <w:right w:w="0" w:type="dxa"/>
                  </w:tcMar>
                  <w:vAlign w:val="center"/>
                </w:tcPr>
                <w:p w14:paraId="4EED31F3">
                  <w:pPr>
                    <w:adjustRightInd w:val="0"/>
                    <w:snapToGrid w:val="0"/>
                    <w:jc w:val="center"/>
                    <w:rPr>
                      <w:rFonts w:hint="eastAsia" w:eastAsia="宋体"/>
                      <w:color w:val="auto"/>
                      <w:lang w:eastAsia="zh-CN"/>
                    </w:rPr>
                  </w:pPr>
                  <w:r>
                    <w:rPr>
                      <w:rFonts w:hint="eastAsia"/>
                      <w:color w:val="auto"/>
                      <w:lang w:val="en-US" w:eastAsia="zh-CN"/>
                    </w:rPr>
                    <w:t>2</w:t>
                  </w:r>
                </w:p>
              </w:tc>
              <w:tc>
                <w:tcPr>
                  <w:tcW w:w="598" w:type="pct"/>
                  <w:noWrap w:val="0"/>
                  <w:tcMar>
                    <w:top w:w="0" w:type="dxa"/>
                    <w:left w:w="0" w:type="dxa"/>
                    <w:bottom w:w="0" w:type="dxa"/>
                    <w:right w:w="0" w:type="dxa"/>
                  </w:tcMar>
                  <w:vAlign w:val="center"/>
                </w:tcPr>
                <w:p w14:paraId="2C4FEB13">
                  <w:pPr>
                    <w:adjustRightInd w:val="0"/>
                    <w:snapToGrid w:val="0"/>
                    <w:jc w:val="center"/>
                    <w:rPr>
                      <w:rFonts w:hint="eastAsia" w:ascii="Times New Roman" w:hAnsi="Times New Roman" w:cs="Times New Roman" w:eastAsiaTheme="minorEastAsia"/>
                      <w:color w:val="auto"/>
                      <w:szCs w:val="21"/>
                    </w:rPr>
                  </w:pPr>
                  <w:r>
                    <w:rPr>
                      <w:rFonts w:hint="eastAsia" w:cs="Times New Roman" w:eastAsiaTheme="minorEastAsia"/>
                      <w:color w:val="auto"/>
                      <w:szCs w:val="21"/>
                      <w:lang w:eastAsia="zh-CN"/>
                    </w:rPr>
                    <w:t>化粪池</w:t>
                  </w:r>
                </w:p>
              </w:tc>
              <w:tc>
                <w:tcPr>
                  <w:tcW w:w="1211" w:type="pct"/>
                  <w:noWrap w:val="0"/>
                  <w:tcMar>
                    <w:top w:w="0" w:type="dxa"/>
                    <w:left w:w="0" w:type="dxa"/>
                    <w:bottom w:w="0" w:type="dxa"/>
                    <w:right w:w="0" w:type="dxa"/>
                  </w:tcMar>
                  <w:vAlign w:val="center"/>
                </w:tcPr>
                <w:p w14:paraId="5D5A4CAB">
                  <w:pPr>
                    <w:adjustRightInd w:val="0"/>
                    <w:snapToGrid w:val="0"/>
                    <w:jc w:val="center"/>
                    <w:rPr>
                      <w:rFonts w:hint="eastAsia"/>
                      <w:color w:val="auto"/>
                    </w:rPr>
                  </w:pPr>
                  <w:r>
                    <w:rPr>
                      <w:rFonts w:hint="eastAsia" w:ascii="Times New Roman" w:hAnsi="Times New Roman" w:cs="Times New Roman" w:eastAsiaTheme="minorEastAsia"/>
                      <w:color w:val="auto"/>
                      <w:szCs w:val="21"/>
                    </w:rPr>
                    <w:t>《城镇污水处理厂污染物排放标准》（GB18918-2002）</w:t>
                  </w:r>
                </w:p>
              </w:tc>
              <w:tc>
                <w:tcPr>
                  <w:tcW w:w="444" w:type="pct"/>
                  <w:noWrap w:val="0"/>
                  <w:tcMar>
                    <w:top w:w="0" w:type="dxa"/>
                    <w:left w:w="0" w:type="dxa"/>
                    <w:bottom w:w="0" w:type="dxa"/>
                    <w:right w:w="0" w:type="dxa"/>
                  </w:tcMar>
                  <w:vAlign w:val="center"/>
                </w:tcPr>
                <w:p w14:paraId="3483ADF6">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6BD7E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restart"/>
                  <w:noWrap w:val="0"/>
                  <w:tcMar>
                    <w:top w:w="0" w:type="dxa"/>
                    <w:left w:w="0" w:type="dxa"/>
                    <w:bottom w:w="0" w:type="dxa"/>
                    <w:right w:w="0" w:type="dxa"/>
                  </w:tcMar>
                  <w:vAlign w:val="center"/>
                </w:tcPr>
                <w:p w14:paraId="74478289">
                  <w:pPr>
                    <w:adjustRightInd w:val="0"/>
                    <w:snapToGrid w:val="0"/>
                    <w:jc w:val="center"/>
                    <w:rPr>
                      <w:color w:val="auto"/>
                      <w:szCs w:val="21"/>
                    </w:rPr>
                  </w:pPr>
                  <w:r>
                    <w:rPr>
                      <w:color w:val="auto"/>
                    </w:rPr>
                    <w:t>废气</w:t>
                  </w:r>
                </w:p>
              </w:tc>
              <w:tc>
                <w:tcPr>
                  <w:tcW w:w="351" w:type="pct"/>
                  <w:noWrap w:val="0"/>
                  <w:tcMar>
                    <w:top w:w="0" w:type="dxa"/>
                    <w:left w:w="0" w:type="dxa"/>
                    <w:bottom w:w="0" w:type="dxa"/>
                    <w:right w:w="0" w:type="dxa"/>
                  </w:tcMar>
                  <w:vAlign w:val="center"/>
                </w:tcPr>
                <w:p w14:paraId="4CD2179E">
                  <w:pPr>
                    <w:adjustRightInd w:val="0"/>
                    <w:snapToGrid w:val="0"/>
                    <w:jc w:val="center"/>
                    <w:rPr>
                      <w:color w:val="auto"/>
                      <w:szCs w:val="21"/>
                    </w:rPr>
                  </w:pPr>
                  <w:r>
                    <w:rPr>
                      <w:color w:val="auto"/>
                    </w:rPr>
                    <w:t>1</w:t>
                  </w:r>
                  <w:r>
                    <w:rPr>
                      <w:rFonts w:hint="eastAsia"/>
                      <w:color w:val="auto"/>
                    </w:rPr>
                    <w:t>#</w:t>
                  </w:r>
                  <w:r>
                    <w:rPr>
                      <w:rFonts w:hint="eastAsia" w:ascii="宋体" w:hAnsi="宋体"/>
                      <w:color w:val="auto"/>
                    </w:rPr>
                    <w:t>排气筒</w:t>
                  </w:r>
                </w:p>
              </w:tc>
              <w:tc>
                <w:tcPr>
                  <w:tcW w:w="607" w:type="pct"/>
                  <w:noWrap w:val="0"/>
                  <w:tcMar>
                    <w:top w:w="0" w:type="dxa"/>
                    <w:left w:w="0" w:type="dxa"/>
                    <w:bottom w:w="0" w:type="dxa"/>
                    <w:right w:w="0" w:type="dxa"/>
                  </w:tcMar>
                  <w:vAlign w:val="center"/>
                </w:tcPr>
                <w:p w14:paraId="03C7ECE9">
                  <w:pPr>
                    <w:adjustRightInd w:val="0"/>
                    <w:snapToGrid w:val="0"/>
                    <w:jc w:val="center"/>
                    <w:rPr>
                      <w:rFonts w:hint="eastAsia" w:eastAsia="宋体"/>
                      <w:color w:val="auto"/>
                      <w:szCs w:val="21"/>
                      <w:lang w:eastAsia="zh-CN"/>
                    </w:rPr>
                  </w:pPr>
                  <w:r>
                    <w:rPr>
                      <w:rFonts w:hint="eastAsia"/>
                      <w:color w:val="auto"/>
                      <w:lang w:val="en-US" w:eastAsia="zh-CN"/>
                    </w:rPr>
                    <w:t>非甲烷总烃</w:t>
                  </w:r>
                </w:p>
              </w:tc>
              <w:tc>
                <w:tcPr>
                  <w:tcW w:w="703" w:type="pct"/>
                  <w:noWrap w:val="0"/>
                  <w:tcMar>
                    <w:top w:w="0" w:type="dxa"/>
                    <w:left w:w="0" w:type="dxa"/>
                    <w:bottom w:w="0" w:type="dxa"/>
                    <w:right w:w="0" w:type="dxa"/>
                  </w:tcMar>
                  <w:vAlign w:val="center"/>
                </w:tcPr>
                <w:p w14:paraId="391116B6">
                  <w:pPr>
                    <w:adjustRightInd w:val="0"/>
                    <w:snapToGrid w:val="0"/>
                    <w:jc w:val="center"/>
                    <w:rPr>
                      <w:rFonts w:hint="eastAsia"/>
                      <w:color w:val="auto"/>
                      <w:szCs w:val="21"/>
                    </w:rPr>
                  </w:pPr>
                  <w:r>
                    <w:rPr>
                      <w:rFonts w:hint="default" w:ascii="Times New Roman" w:hAnsi="Times New Roman" w:cs="Times New Roman"/>
                      <w:color w:val="auto"/>
                      <w:sz w:val="21"/>
                      <w:szCs w:val="21"/>
                    </w:rPr>
                    <w:t>集尘罩+</w:t>
                  </w:r>
                  <w:r>
                    <w:rPr>
                      <w:rFonts w:hint="eastAsia" w:cs="Times New Roman"/>
                      <w:color w:val="auto"/>
                      <w:sz w:val="21"/>
                      <w:szCs w:val="21"/>
                      <w:lang w:eastAsia="zh-CN"/>
                    </w:rPr>
                    <w:t>水喷淋</w:t>
                  </w:r>
                  <w:r>
                    <w:rPr>
                      <w:rFonts w:hint="eastAsia" w:cs="Times New Roman"/>
                      <w:color w:val="auto"/>
                      <w:sz w:val="21"/>
                      <w:szCs w:val="21"/>
                      <w:lang w:val="en-US" w:eastAsia="zh-CN"/>
                    </w:rPr>
                    <w:t>+</w:t>
                  </w:r>
                  <w:r>
                    <w:rPr>
                      <w:rFonts w:hint="eastAsia" w:cs="Times New Roman"/>
                      <w:color w:val="auto"/>
                      <w:sz w:val="21"/>
                      <w:szCs w:val="21"/>
                      <w:lang w:eastAsia="zh-CN"/>
                    </w:rPr>
                    <w:t>布袋除尘</w:t>
                  </w:r>
                  <w:r>
                    <w:rPr>
                      <w:rFonts w:hint="eastAsia" w:cs="Times New Roman"/>
                      <w:color w:val="auto"/>
                      <w:sz w:val="21"/>
                      <w:szCs w:val="21"/>
                      <w:lang w:val="en-US" w:eastAsia="zh-CN"/>
                    </w:rPr>
                    <w:t>+</w:t>
                  </w:r>
                  <w:r>
                    <w:rPr>
                      <w:rFonts w:hint="eastAsia" w:ascii="Times New Roman" w:hAnsi="Times New Roman" w:cs="Times New Roman"/>
                      <w:color w:val="auto"/>
                      <w:sz w:val="21"/>
                      <w:szCs w:val="21"/>
                      <w:lang w:eastAsia="zh-CN"/>
                    </w:rPr>
                    <w:t>二级</w:t>
                  </w:r>
                  <w:r>
                    <w:rPr>
                      <w:rFonts w:hint="eastAsia" w:ascii="Times New Roman" w:hAnsi="Times New Roman" w:cs="Times New Roman"/>
                      <w:color w:val="auto"/>
                      <w:sz w:val="21"/>
                      <w:szCs w:val="21"/>
                      <w:lang w:val="en-US" w:eastAsia="zh-CN"/>
                    </w:rPr>
                    <w:t>活性炭吸附</w:t>
                  </w:r>
                  <w:r>
                    <w:rPr>
                      <w:rFonts w:hint="default" w:ascii="Times New Roman" w:hAnsi="Times New Roman" w:cs="Times New Roman"/>
                      <w:color w:val="auto"/>
                      <w:sz w:val="21"/>
                      <w:szCs w:val="21"/>
                    </w:rPr>
                    <w:t>+15m排气筒</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597" w:type="pct"/>
                  <w:vMerge w:val="restart"/>
                  <w:noWrap w:val="0"/>
                  <w:tcMar>
                    <w:top w:w="0" w:type="dxa"/>
                    <w:left w:w="0" w:type="dxa"/>
                    <w:bottom w:w="0" w:type="dxa"/>
                    <w:right w:w="0" w:type="dxa"/>
                  </w:tcMar>
                  <w:vAlign w:val="center"/>
                </w:tcPr>
                <w:p w14:paraId="7256D2B2">
                  <w:pPr>
                    <w:adjustRightInd w:val="0"/>
                    <w:snapToGrid w:val="0"/>
                    <w:jc w:val="center"/>
                    <w:rPr>
                      <w:rFonts w:hint="default" w:eastAsia="宋体"/>
                      <w:color w:val="auto"/>
                      <w:lang w:val="en-US" w:eastAsia="zh-CN"/>
                    </w:rPr>
                  </w:pPr>
                  <w:r>
                    <w:rPr>
                      <w:rFonts w:hint="eastAsia"/>
                      <w:color w:val="auto"/>
                      <w:lang w:val="en-US" w:eastAsia="zh-CN"/>
                    </w:rPr>
                    <w:t>23.5</w:t>
                  </w:r>
                </w:p>
              </w:tc>
              <w:tc>
                <w:tcPr>
                  <w:tcW w:w="598" w:type="pct"/>
                  <w:noWrap w:val="0"/>
                  <w:tcMar>
                    <w:top w:w="0" w:type="dxa"/>
                    <w:left w:w="0" w:type="dxa"/>
                    <w:bottom w:w="0" w:type="dxa"/>
                    <w:right w:w="0" w:type="dxa"/>
                  </w:tcMar>
                  <w:vAlign w:val="center"/>
                </w:tcPr>
                <w:p w14:paraId="6478533C">
                  <w:pPr>
                    <w:adjustRightInd w:val="0"/>
                    <w:snapToGrid w:val="0"/>
                    <w:jc w:val="center"/>
                    <w:rPr>
                      <w:color w:val="auto"/>
                      <w:szCs w:val="21"/>
                    </w:rPr>
                  </w:pPr>
                  <w:r>
                    <w:rPr>
                      <w:color w:val="auto"/>
                      <w:sz w:val="21"/>
                      <w:szCs w:val="21"/>
                    </w:rPr>
                    <w:t>净化效率9</w:t>
                  </w:r>
                  <w:r>
                    <w:rPr>
                      <w:rFonts w:hint="eastAsia"/>
                      <w:color w:val="auto"/>
                      <w:sz w:val="21"/>
                      <w:szCs w:val="21"/>
                      <w:lang w:val="en-US" w:eastAsia="zh-CN"/>
                    </w:rPr>
                    <w:t>0</w:t>
                  </w:r>
                  <w:r>
                    <w:rPr>
                      <w:color w:val="auto"/>
                      <w:sz w:val="21"/>
                      <w:szCs w:val="21"/>
                    </w:rPr>
                    <w:t>%</w:t>
                  </w:r>
                </w:p>
              </w:tc>
              <w:tc>
                <w:tcPr>
                  <w:tcW w:w="1211" w:type="pct"/>
                  <w:noWrap w:val="0"/>
                  <w:tcMar>
                    <w:top w:w="0" w:type="dxa"/>
                    <w:left w:w="0" w:type="dxa"/>
                    <w:bottom w:w="0" w:type="dxa"/>
                    <w:right w:w="0" w:type="dxa"/>
                  </w:tcMar>
                  <w:vAlign w:val="center"/>
                </w:tcPr>
                <w:p w14:paraId="58412EFE">
                  <w:pPr>
                    <w:adjustRightInd w:val="0"/>
                    <w:snapToGrid w:val="0"/>
                    <w:jc w:val="center"/>
                    <w:rPr>
                      <w:rFonts w:hint="eastAsia"/>
                      <w:color w:val="auto"/>
                      <w:kern w:val="0"/>
                      <w:szCs w:val="21"/>
                    </w:rPr>
                  </w:pPr>
                  <w:r>
                    <w:rPr>
                      <w:rFonts w:hint="eastAsia" w:eastAsiaTheme="minorEastAsia"/>
                      <w:color w:val="auto"/>
                      <w:szCs w:val="21"/>
                    </w:rPr>
                    <w:t>《木材加工行业大气污染物排放标准》（DB32/4436-2022）</w:t>
                  </w:r>
                  <w:r>
                    <w:rPr>
                      <w:rFonts w:hint="eastAsia"/>
                      <w:color w:val="auto"/>
                      <w:kern w:val="0"/>
                      <w:szCs w:val="21"/>
                    </w:rPr>
                    <w:t>表</w:t>
                  </w:r>
                  <w:r>
                    <w:rPr>
                      <w:color w:val="auto"/>
                      <w:kern w:val="0"/>
                      <w:szCs w:val="21"/>
                    </w:rPr>
                    <w:t>1</w:t>
                  </w:r>
                  <w:r>
                    <w:rPr>
                      <w:rFonts w:hint="eastAsia"/>
                      <w:color w:val="auto"/>
                      <w:kern w:val="0"/>
                      <w:szCs w:val="21"/>
                    </w:rPr>
                    <w:t>中标准限值</w:t>
                  </w:r>
                </w:p>
                <w:p w14:paraId="3A8AD496">
                  <w:pPr>
                    <w:pStyle w:val="30"/>
                    <w:rPr>
                      <w:color w:val="auto"/>
                    </w:rPr>
                  </w:pPr>
                  <w:r>
                    <w:rPr>
                      <w:rFonts w:hint="default" w:ascii="Times New Roman" w:hAnsi="Times New Roman" w:cs="Times New Roman" w:eastAsiaTheme="minorEastAsia"/>
                      <w:color w:val="auto"/>
                      <w:kern w:val="2"/>
                      <w:sz w:val="21"/>
                      <w:szCs w:val="21"/>
                      <w:lang w:val="en-US" w:eastAsia="zh-CN" w:bidi="ar-SA"/>
                    </w:rPr>
                    <w:t>《恶臭污染物排放标准》表2</w:t>
                  </w:r>
                  <w:r>
                    <w:rPr>
                      <w:rFonts w:hint="eastAsia" w:cs="Times New Roman" w:eastAsiaTheme="minorEastAsia"/>
                      <w:color w:val="auto"/>
                      <w:kern w:val="2"/>
                      <w:sz w:val="21"/>
                      <w:szCs w:val="21"/>
                      <w:lang w:val="en-US" w:eastAsia="zh-CN" w:bidi="ar-SA"/>
                    </w:rPr>
                    <w:t>标准限值</w:t>
                  </w:r>
                </w:p>
              </w:tc>
              <w:tc>
                <w:tcPr>
                  <w:tcW w:w="444" w:type="pct"/>
                  <w:vMerge w:val="restart"/>
                  <w:noWrap w:val="0"/>
                  <w:tcMar>
                    <w:top w:w="0" w:type="dxa"/>
                    <w:left w:w="0" w:type="dxa"/>
                    <w:bottom w:w="0" w:type="dxa"/>
                    <w:right w:w="0" w:type="dxa"/>
                  </w:tcMar>
                  <w:vAlign w:val="center"/>
                </w:tcPr>
                <w:p w14:paraId="63AD3E93">
                  <w:pPr>
                    <w:adjustRightInd w:val="0"/>
                    <w:snapToGrid w:val="0"/>
                    <w:jc w:val="center"/>
                    <w:rPr>
                      <w:rFonts w:hint="eastAsia"/>
                      <w:color w:val="auto"/>
                      <w:szCs w:val="21"/>
                    </w:rPr>
                  </w:pPr>
                  <w:r>
                    <w:rPr>
                      <w:rFonts w:hint="eastAsia"/>
                      <w:color w:val="auto"/>
                      <w:szCs w:val="21"/>
                    </w:rPr>
                    <w:t>新建</w:t>
                  </w:r>
                </w:p>
              </w:tc>
            </w:tr>
            <w:tr w14:paraId="30A3B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582" w:hRule="atLeast"/>
                <w:jc w:val="center"/>
              </w:trPr>
              <w:tc>
                <w:tcPr>
                  <w:tcW w:w="484" w:type="pct"/>
                  <w:vMerge w:val="continue"/>
                  <w:noWrap w:val="0"/>
                  <w:vAlign w:val="center"/>
                </w:tcPr>
                <w:p w14:paraId="5CFF548D">
                  <w:pPr>
                    <w:widowControl/>
                    <w:jc w:val="center"/>
                    <w:rPr>
                      <w:color w:val="auto"/>
                      <w:szCs w:val="21"/>
                    </w:rPr>
                  </w:pPr>
                </w:p>
              </w:tc>
              <w:tc>
                <w:tcPr>
                  <w:tcW w:w="351" w:type="pct"/>
                  <w:noWrap w:val="0"/>
                  <w:tcMar>
                    <w:top w:w="0" w:type="dxa"/>
                    <w:left w:w="0" w:type="dxa"/>
                    <w:bottom w:w="0" w:type="dxa"/>
                    <w:right w:w="0" w:type="dxa"/>
                  </w:tcMar>
                  <w:vAlign w:val="center"/>
                </w:tcPr>
                <w:p w14:paraId="0DFA3C60">
                  <w:pPr>
                    <w:adjustRightInd w:val="0"/>
                    <w:snapToGrid w:val="0"/>
                    <w:jc w:val="center"/>
                    <w:rPr>
                      <w:color w:val="auto"/>
                      <w:szCs w:val="21"/>
                    </w:rPr>
                  </w:pPr>
                  <w:r>
                    <w:rPr>
                      <w:rFonts w:hint="eastAsia"/>
                      <w:color w:val="auto"/>
                      <w:lang w:val="en-US" w:eastAsia="zh-CN"/>
                    </w:rPr>
                    <w:t>2</w:t>
                  </w:r>
                  <w:r>
                    <w:rPr>
                      <w:rFonts w:hint="eastAsia"/>
                      <w:color w:val="auto"/>
                    </w:rPr>
                    <w:t>#</w:t>
                  </w:r>
                  <w:r>
                    <w:rPr>
                      <w:rFonts w:hint="eastAsia" w:ascii="宋体" w:hAnsi="宋体"/>
                      <w:color w:val="auto"/>
                    </w:rPr>
                    <w:t>排气筒</w:t>
                  </w:r>
                </w:p>
              </w:tc>
              <w:tc>
                <w:tcPr>
                  <w:tcW w:w="607" w:type="pct"/>
                  <w:noWrap w:val="0"/>
                  <w:tcMar>
                    <w:top w:w="0" w:type="dxa"/>
                    <w:left w:w="0" w:type="dxa"/>
                    <w:bottom w:w="0" w:type="dxa"/>
                    <w:right w:w="0" w:type="dxa"/>
                  </w:tcMar>
                  <w:vAlign w:val="center"/>
                </w:tcPr>
                <w:p w14:paraId="66BB82B4">
                  <w:pPr>
                    <w:adjustRightInd w:val="0"/>
                    <w:snapToGrid w:val="0"/>
                    <w:jc w:val="center"/>
                    <w:rPr>
                      <w:rFonts w:hint="eastAsia" w:eastAsia="宋体"/>
                      <w:color w:val="auto"/>
                      <w:szCs w:val="21"/>
                      <w:lang w:eastAsia="zh-CN"/>
                    </w:rPr>
                  </w:pPr>
                  <w:r>
                    <w:rPr>
                      <w:rFonts w:hint="eastAsia" w:ascii="宋体" w:hAnsi="宋体"/>
                      <w:color w:val="auto"/>
                      <w:lang w:eastAsia="zh-CN"/>
                    </w:rPr>
                    <w:t>颗粒物</w:t>
                  </w:r>
                </w:p>
              </w:tc>
              <w:tc>
                <w:tcPr>
                  <w:tcW w:w="703" w:type="pct"/>
                  <w:noWrap w:val="0"/>
                  <w:tcMar>
                    <w:top w:w="0" w:type="dxa"/>
                    <w:left w:w="0" w:type="dxa"/>
                    <w:bottom w:w="0" w:type="dxa"/>
                    <w:right w:w="0" w:type="dxa"/>
                  </w:tcMar>
                  <w:vAlign w:val="center"/>
                </w:tcPr>
                <w:p w14:paraId="64EC9EE8">
                  <w:pPr>
                    <w:adjustRightInd w:val="0"/>
                    <w:snapToGrid w:val="0"/>
                    <w:jc w:val="center"/>
                    <w:rPr>
                      <w:rFonts w:hint="eastAsia"/>
                      <w:color w:val="auto"/>
                      <w:szCs w:val="21"/>
                    </w:rPr>
                  </w:pPr>
                  <w:r>
                    <w:rPr>
                      <w:rFonts w:hint="eastAsia" w:ascii="宋体" w:hAnsi="宋体"/>
                      <w:color w:val="auto"/>
                      <w:sz w:val="21"/>
                      <w:szCs w:val="21"/>
                    </w:rPr>
                    <w:t>集尘罩</w:t>
                  </w:r>
                  <w:r>
                    <w:rPr>
                      <w:rFonts w:hint="eastAsia"/>
                      <w:color w:val="auto"/>
                      <w:sz w:val="21"/>
                      <w:szCs w:val="21"/>
                    </w:rPr>
                    <w:t>+</w:t>
                  </w:r>
                  <w:r>
                    <w:rPr>
                      <w:rFonts w:hint="eastAsia" w:ascii="宋体" w:hAnsi="宋体"/>
                      <w:color w:val="auto"/>
                      <w:sz w:val="21"/>
                      <w:szCs w:val="21"/>
                      <w:lang w:eastAsia="zh-CN"/>
                    </w:rPr>
                    <w:t>布袋</w:t>
                  </w:r>
                  <w:r>
                    <w:rPr>
                      <w:rFonts w:hint="eastAsia" w:ascii="宋体" w:hAnsi="宋体"/>
                      <w:color w:val="auto"/>
                      <w:sz w:val="21"/>
                      <w:szCs w:val="21"/>
                    </w:rPr>
                    <w:t>除尘器</w:t>
                  </w:r>
                  <w:r>
                    <w:rPr>
                      <w:rFonts w:hint="eastAsia"/>
                      <w:color w:val="auto"/>
                      <w:sz w:val="21"/>
                      <w:szCs w:val="21"/>
                    </w:rPr>
                    <w:t>+15m</w:t>
                  </w:r>
                  <w:r>
                    <w:rPr>
                      <w:rFonts w:hint="eastAsia" w:ascii="宋体" w:hAnsi="宋体"/>
                      <w:color w:val="auto"/>
                      <w:sz w:val="21"/>
                      <w:szCs w:val="21"/>
                    </w:rPr>
                    <w:t>排气筒</w:t>
                  </w:r>
                  <w:r>
                    <w:rPr>
                      <w:rFonts w:hint="eastAsia"/>
                      <w:color w:val="auto"/>
                      <w:sz w:val="21"/>
                      <w:szCs w:val="21"/>
                      <w:lang w:val="en-US" w:eastAsia="zh-CN"/>
                    </w:rPr>
                    <w:t>2</w:t>
                  </w:r>
                  <w:r>
                    <w:rPr>
                      <w:rFonts w:hint="eastAsia"/>
                      <w:color w:val="auto"/>
                      <w:sz w:val="21"/>
                      <w:szCs w:val="21"/>
                    </w:rPr>
                    <w:t>#</w:t>
                  </w:r>
                </w:p>
              </w:tc>
              <w:tc>
                <w:tcPr>
                  <w:tcW w:w="597" w:type="pct"/>
                  <w:vMerge w:val="continue"/>
                  <w:noWrap w:val="0"/>
                  <w:vAlign w:val="center"/>
                </w:tcPr>
                <w:p w14:paraId="0C6471B4">
                  <w:pPr>
                    <w:widowControl/>
                    <w:jc w:val="center"/>
                    <w:rPr>
                      <w:rFonts w:hint="eastAsia"/>
                      <w:color w:val="auto"/>
                      <w:szCs w:val="21"/>
                    </w:rPr>
                  </w:pPr>
                </w:p>
              </w:tc>
              <w:tc>
                <w:tcPr>
                  <w:tcW w:w="598" w:type="pct"/>
                  <w:noWrap w:val="0"/>
                  <w:vAlign w:val="center"/>
                </w:tcPr>
                <w:p w14:paraId="428C7850">
                  <w:pPr>
                    <w:widowControl/>
                    <w:jc w:val="center"/>
                    <w:rPr>
                      <w:color w:val="auto"/>
                    </w:rPr>
                  </w:pPr>
                  <w:r>
                    <w:rPr>
                      <w:color w:val="auto"/>
                      <w:sz w:val="21"/>
                      <w:szCs w:val="21"/>
                    </w:rPr>
                    <w:t>净化效率</w:t>
                  </w:r>
                  <w:r>
                    <w:rPr>
                      <w:rFonts w:hint="eastAsia"/>
                      <w:color w:val="auto"/>
                      <w:sz w:val="21"/>
                      <w:szCs w:val="21"/>
                      <w:lang w:val="en-US" w:eastAsia="zh-CN"/>
                    </w:rPr>
                    <w:t>9</w:t>
                  </w:r>
                  <w:r>
                    <w:rPr>
                      <w:color w:val="auto"/>
                      <w:sz w:val="21"/>
                      <w:szCs w:val="21"/>
                    </w:rPr>
                    <w:t>0%</w:t>
                  </w:r>
                </w:p>
              </w:tc>
              <w:tc>
                <w:tcPr>
                  <w:tcW w:w="1211" w:type="pct"/>
                  <w:noWrap w:val="0"/>
                  <w:vAlign w:val="center"/>
                </w:tcPr>
                <w:p w14:paraId="064CC620">
                  <w:pPr>
                    <w:adjustRightInd w:val="0"/>
                    <w:snapToGrid w:val="0"/>
                    <w:jc w:val="center"/>
                    <w:rPr>
                      <w:color w:val="auto"/>
                      <w:szCs w:val="21"/>
                    </w:rPr>
                  </w:pPr>
                  <w:r>
                    <w:rPr>
                      <w:rFonts w:hint="eastAsia" w:eastAsiaTheme="minorEastAsia"/>
                      <w:color w:val="auto"/>
                      <w:szCs w:val="21"/>
                    </w:rPr>
                    <w:t>《木材加工行业大气污染物排放标准》（DB32/4436-2022）</w:t>
                  </w:r>
                  <w:r>
                    <w:rPr>
                      <w:rFonts w:hint="eastAsia"/>
                      <w:color w:val="auto"/>
                      <w:kern w:val="0"/>
                      <w:szCs w:val="21"/>
                    </w:rPr>
                    <w:t>表</w:t>
                  </w:r>
                  <w:r>
                    <w:rPr>
                      <w:color w:val="auto"/>
                      <w:kern w:val="0"/>
                      <w:szCs w:val="21"/>
                    </w:rPr>
                    <w:t>1</w:t>
                  </w:r>
                  <w:r>
                    <w:rPr>
                      <w:rFonts w:hint="eastAsia"/>
                      <w:color w:val="auto"/>
                      <w:kern w:val="0"/>
                      <w:szCs w:val="21"/>
                    </w:rPr>
                    <w:t>中标准限值</w:t>
                  </w:r>
                </w:p>
              </w:tc>
              <w:tc>
                <w:tcPr>
                  <w:tcW w:w="444" w:type="pct"/>
                  <w:vMerge w:val="continue"/>
                  <w:noWrap w:val="0"/>
                  <w:vAlign w:val="center"/>
                </w:tcPr>
                <w:p w14:paraId="5BF0D4D7">
                  <w:pPr>
                    <w:widowControl/>
                    <w:jc w:val="center"/>
                    <w:rPr>
                      <w:color w:val="auto"/>
                      <w:szCs w:val="21"/>
                    </w:rPr>
                  </w:pPr>
                </w:p>
              </w:tc>
            </w:tr>
            <w:tr w14:paraId="6F24F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noWrap w:val="0"/>
                  <w:tcMar>
                    <w:top w:w="0" w:type="dxa"/>
                    <w:left w:w="0" w:type="dxa"/>
                    <w:bottom w:w="0" w:type="dxa"/>
                    <w:right w:w="0" w:type="dxa"/>
                  </w:tcMar>
                  <w:vAlign w:val="center"/>
                </w:tcPr>
                <w:p w14:paraId="38EE2B57">
                  <w:pPr>
                    <w:adjustRightInd w:val="0"/>
                    <w:snapToGrid w:val="0"/>
                    <w:jc w:val="center"/>
                    <w:rPr>
                      <w:color w:val="auto"/>
                      <w:szCs w:val="21"/>
                    </w:rPr>
                  </w:pPr>
                  <w:r>
                    <w:rPr>
                      <w:color w:val="auto"/>
                    </w:rPr>
                    <w:t>噪声</w:t>
                  </w:r>
                </w:p>
              </w:tc>
              <w:tc>
                <w:tcPr>
                  <w:tcW w:w="351" w:type="pct"/>
                  <w:noWrap w:val="0"/>
                  <w:tcMar>
                    <w:top w:w="0" w:type="dxa"/>
                    <w:left w:w="0" w:type="dxa"/>
                    <w:bottom w:w="0" w:type="dxa"/>
                    <w:right w:w="0" w:type="dxa"/>
                  </w:tcMar>
                  <w:vAlign w:val="center"/>
                </w:tcPr>
                <w:p w14:paraId="5F3B426E">
                  <w:pPr>
                    <w:adjustRightInd w:val="0"/>
                    <w:snapToGrid w:val="0"/>
                    <w:jc w:val="center"/>
                    <w:rPr>
                      <w:color w:val="auto"/>
                      <w:szCs w:val="21"/>
                    </w:rPr>
                  </w:pPr>
                  <w:r>
                    <w:rPr>
                      <w:rFonts w:hint="eastAsia"/>
                      <w:color w:val="auto"/>
                      <w:szCs w:val="21"/>
                    </w:rPr>
                    <w:t>旋切机、四面锯、热压机、砂光机</w:t>
                  </w:r>
                  <w:r>
                    <w:rPr>
                      <w:color w:val="auto"/>
                      <w:szCs w:val="21"/>
                    </w:rPr>
                    <w:t>、涂胶机以及风机</w:t>
                  </w:r>
                  <w:r>
                    <w:rPr>
                      <w:rFonts w:hint="eastAsia" w:ascii="宋体" w:hAnsi="宋体"/>
                      <w:color w:val="auto"/>
                    </w:rPr>
                    <w:t>等设备</w:t>
                  </w:r>
                </w:p>
              </w:tc>
              <w:tc>
                <w:tcPr>
                  <w:tcW w:w="607" w:type="pct"/>
                  <w:noWrap w:val="0"/>
                  <w:tcMar>
                    <w:top w:w="0" w:type="dxa"/>
                    <w:left w:w="0" w:type="dxa"/>
                    <w:bottom w:w="0" w:type="dxa"/>
                    <w:right w:w="0" w:type="dxa"/>
                  </w:tcMar>
                  <w:vAlign w:val="center"/>
                </w:tcPr>
                <w:p w14:paraId="663A61CC">
                  <w:pPr>
                    <w:adjustRightInd w:val="0"/>
                    <w:snapToGrid w:val="0"/>
                    <w:jc w:val="center"/>
                    <w:rPr>
                      <w:color w:val="auto"/>
                      <w:szCs w:val="21"/>
                    </w:rPr>
                  </w:pPr>
                  <w:r>
                    <w:rPr>
                      <w:rFonts w:hint="eastAsia" w:ascii="宋体" w:hAnsi="宋体"/>
                      <w:color w:val="auto"/>
                    </w:rPr>
                    <w:t>—</w:t>
                  </w:r>
                </w:p>
              </w:tc>
              <w:tc>
                <w:tcPr>
                  <w:tcW w:w="703" w:type="pct"/>
                  <w:noWrap w:val="0"/>
                  <w:tcMar>
                    <w:top w:w="0" w:type="dxa"/>
                    <w:left w:w="0" w:type="dxa"/>
                    <w:bottom w:w="0" w:type="dxa"/>
                    <w:right w:w="0" w:type="dxa"/>
                  </w:tcMar>
                  <w:vAlign w:val="center"/>
                </w:tcPr>
                <w:p w14:paraId="24DA1428">
                  <w:pPr>
                    <w:adjustRightInd w:val="0"/>
                    <w:snapToGrid w:val="0"/>
                    <w:jc w:val="center"/>
                    <w:rPr>
                      <w:color w:val="auto"/>
                      <w:szCs w:val="21"/>
                    </w:rPr>
                  </w:pPr>
                  <w:r>
                    <w:rPr>
                      <w:color w:val="auto"/>
                    </w:rPr>
                    <w:t>隔声、消声</w:t>
                  </w:r>
                </w:p>
                <w:p w14:paraId="414508E4">
                  <w:pPr>
                    <w:adjustRightInd w:val="0"/>
                    <w:snapToGrid w:val="0"/>
                    <w:jc w:val="center"/>
                    <w:rPr>
                      <w:color w:val="auto"/>
                      <w:szCs w:val="21"/>
                    </w:rPr>
                  </w:pPr>
                  <w:r>
                    <w:rPr>
                      <w:color w:val="auto"/>
                    </w:rPr>
                    <w:t>防治措施</w:t>
                  </w:r>
                </w:p>
              </w:tc>
              <w:tc>
                <w:tcPr>
                  <w:tcW w:w="597" w:type="pct"/>
                  <w:noWrap w:val="0"/>
                  <w:tcMar>
                    <w:top w:w="0" w:type="dxa"/>
                    <w:left w:w="0" w:type="dxa"/>
                    <w:bottom w:w="0" w:type="dxa"/>
                    <w:right w:w="0" w:type="dxa"/>
                  </w:tcMar>
                  <w:vAlign w:val="center"/>
                </w:tcPr>
                <w:p w14:paraId="0F9DC30C">
                  <w:pPr>
                    <w:adjustRightInd w:val="0"/>
                    <w:snapToGrid w:val="0"/>
                    <w:jc w:val="center"/>
                    <w:rPr>
                      <w:rFonts w:hint="default" w:eastAsia="宋体"/>
                      <w:color w:val="auto"/>
                      <w:lang w:val="en-US" w:eastAsia="zh-CN"/>
                    </w:rPr>
                  </w:pPr>
                  <w:r>
                    <w:rPr>
                      <w:rFonts w:hint="eastAsia"/>
                      <w:color w:val="auto"/>
                      <w:lang w:val="en-US" w:eastAsia="zh-CN"/>
                    </w:rPr>
                    <w:t>1</w:t>
                  </w:r>
                </w:p>
              </w:tc>
              <w:tc>
                <w:tcPr>
                  <w:tcW w:w="598" w:type="pct"/>
                  <w:noWrap w:val="0"/>
                  <w:tcMar>
                    <w:top w:w="0" w:type="dxa"/>
                    <w:left w:w="0" w:type="dxa"/>
                    <w:bottom w:w="0" w:type="dxa"/>
                    <w:right w:w="0" w:type="dxa"/>
                  </w:tcMar>
                  <w:vAlign w:val="center"/>
                </w:tcPr>
                <w:p w14:paraId="032A4440">
                  <w:pPr>
                    <w:adjustRightInd w:val="0"/>
                    <w:snapToGrid w:val="0"/>
                    <w:jc w:val="center"/>
                    <w:rPr>
                      <w:rFonts w:hint="eastAsia" w:eastAsiaTheme="minorEastAsia"/>
                      <w:color w:val="auto"/>
                      <w:szCs w:val="21"/>
                    </w:rPr>
                  </w:pPr>
                  <w:r>
                    <w:rPr>
                      <w:rFonts w:hint="eastAsia" w:eastAsiaTheme="minorEastAsia"/>
                      <w:color w:val="auto"/>
                      <w:szCs w:val="21"/>
                    </w:rPr>
                    <w:t>达标排放</w:t>
                  </w:r>
                </w:p>
              </w:tc>
              <w:tc>
                <w:tcPr>
                  <w:tcW w:w="1211" w:type="pct"/>
                  <w:noWrap w:val="0"/>
                  <w:tcMar>
                    <w:top w:w="0" w:type="dxa"/>
                    <w:left w:w="0" w:type="dxa"/>
                    <w:bottom w:w="0" w:type="dxa"/>
                    <w:right w:w="0" w:type="dxa"/>
                  </w:tcMar>
                  <w:vAlign w:val="center"/>
                </w:tcPr>
                <w:p w14:paraId="7C5B1D25">
                  <w:pPr>
                    <w:adjustRightInd w:val="0"/>
                    <w:snapToGrid w:val="0"/>
                    <w:jc w:val="center"/>
                    <w:rPr>
                      <w:rFonts w:hint="eastAsia" w:eastAsiaTheme="minorEastAsia"/>
                      <w:color w:val="auto"/>
                      <w:szCs w:val="21"/>
                    </w:rPr>
                  </w:pPr>
                  <w:r>
                    <w:rPr>
                      <w:rFonts w:hint="eastAsia" w:eastAsiaTheme="minorEastAsia"/>
                      <w:color w:val="auto"/>
                      <w:szCs w:val="21"/>
                    </w:rPr>
                    <w:t>《工业企业厂界环境噪声排放标准》（GB12348-2008）中</w:t>
                  </w:r>
                  <w:r>
                    <w:rPr>
                      <w:rFonts w:hint="eastAsia" w:eastAsiaTheme="minorEastAsia"/>
                      <w:color w:val="auto"/>
                      <w:szCs w:val="21"/>
                      <w:lang w:val="en-US" w:eastAsia="zh-CN"/>
                    </w:rPr>
                    <w:t>2</w:t>
                  </w:r>
                  <w:r>
                    <w:rPr>
                      <w:rFonts w:hint="eastAsia" w:eastAsiaTheme="minorEastAsia"/>
                      <w:color w:val="auto"/>
                      <w:szCs w:val="21"/>
                    </w:rPr>
                    <w:t>类</w:t>
                  </w:r>
                </w:p>
              </w:tc>
              <w:tc>
                <w:tcPr>
                  <w:tcW w:w="444" w:type="pct"/>
                  <w:noWrap w:val="0"/>
                  <w:tcMar>
                    <w:top w:w="0" w:type="dxa"/>
                    <w:left w:w="0" w:type="dxa"/>
                    <w:bottom w:w="0" w:type="dxa"/>
                    <w:right w:w="0" w:type="dxa"/>
                  </w:tcMar>
                  <w:vAlign w:val="center"/>
                </w:tcPr>
                <w:p w14:paraId="6987463B">
                  <w:pPr>
                    <w:adjustRightInd w:val="0"/>
                    <w:snapToGrid w:val="0"/>
                    <w:jc w:val="center"/>
                    <w:rPr>
                      <w:color w:val="auto"/>
                      <w:szCs w:val="21"/>
                    </w:rPr>
                  </w:pPr>
                  <w:r>
                    <w:rPr>
                      <w:color w:val="auto"/>
                    </w:rPr>
                    <w:t>新建</w:t>
                  </w:r>
                </w:p>
              </w:tc>
            </w:tr>
            <w:tr w14:paraId="0D06A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restart"/>
                  <w:noWrap w:val="0"/>
                  <w:tcMar>
                    <w:top w:w="0" w:type="dxa"/>
                    <w:left w:w="0" w:type="dxa"/>
                    <w:bottom w:w="0" w:type="dxa"/>
                    <w:right w:w="0" w:type="dxa"/>
                  </w:tcMar>
                  <w:vAlign w:val="center"/>
                </w:tcPr>
                <w:p w14:paraId="1124C9BE">
                  <w:pPr>
                    <w:adjustRightInd w:val="0"/>
                    <w:snapToGrid w:val="0"/>
                    <w:jc w:val="center"/>
                    <w:rPr>
                      <w:color w:val="auto"/>
                      <w:szCs w:val="21"/>
                    </w:rPr>
                  </w:pPr>
                  <w:r>
                    <w:rPr>
                      <w:color w:val="auto"/>
                    </w:rPr>
                    <w:t>固废</w:t>
                  </w:r>
                </w:p>
              </w:tc>
              <w:tc>
                <w:tcPr>
                  <w:tcW w:w="351" w:type="pct"/>
                  <w:vMerge w:val="restart"/>
                  <w:noWrap w:val="0"/>
                  <w:tcMar>
                    <w:top w:w="0" w:type="dxa"/>
                    <w:left w:w="0" w:type="dxa"/>
                    <w:bottom w:w="0" w:type="dxa"/>
                    <w:right w:w="0" w:type="dxa"/>
                  </w:tcMar>
                  <w:vAlign w:val="center"/>
                </w:tcPr>
                <w:p w14:paraId="1CBA29F2">
                  <w:pPr>
                    <w:adjustRightInd w:val="0"/>
                    <w:snapToGrid w:val="0"/>
                    <w:jc w:val="center"/>
                    <w:rPr>
                      <w:color w:val="auto"/>
                      <w:szCs w:val="21"/>
                    </w:rPr>
                  </w:pPr>
                  <w:r>
                    <w:rPr>
                      <w:rFonts w:hint="eastAsia" w:ascii="宋体" w:hAnsi="宋体"/>
                      <w:color w:val="auto"/>
                    </w:rPr>
                    <w:t>生活</w:t>
                  </w:r>
                </w:p>
              </w:tc>
              <w:tc>
                <w:tcPr>
                  <w:tcW w:w="607" w:type="pct"/>
                  <w:noWrap w:val="0"/>
                  <w:tcMar>
                    <w:top w:w="0" w:type="dxa"/>
                    <w:left w:w="0" w:type="dxa"/>
                    <w:bottom w:w="0" w:type="dxa"/>
                    <w:right w:w="0" w:type="dxa"/>
                  </w:tcMar>
                  <w:vAlign w:val="center"/>
                </w:tcPr>
                <w:p w14:paraId="5D5A89A0">
                  <w:pPr>
                    <w:adjustRightInd w:val="0"/>
                    <w:snapToGrid w:val="0"/>
                    <w:jc w:val="center"/>
                    <w:rPr>
                      <w:color w:val="auto"/>
                      <w:szCs w:val="21"/>
                    </w:rPr>
                  </w:pPr>
                  <w:r>
                    <w:rPr>
                      <w:rFonts w:hint="eastAsia" w:ascii="宋体" w:hAnsi="宋体"/>
                      <w:color w:val="auto"/>
                      <w:sz w:val="21"/>
                      <w:szCs w:val="21"/>
                    </w:rPr>
                    <w:t>生活垃圾</w:t>
                  </w:r>
                </w:p>
              </w:tc>
              <w:tc>
                <w:tcPr>
                  <w:tcW w:w="703" w:type="pct"/>
                  <w:vMerge w:val="restart"/>
                  <w:noWrap w:val="0"/>
                  <w:tcMar>
                    <w:top w:w="0" w:type="dxa"/>
                    <w:left w:w="0" w:type="dxa"/>
                    <w:bottom w:w="0" w:type="dxa"/>
                    <w:right w:w="0" w:type="dxa"/>
                  </w:tcMar>
                  <w:vAlign w:val="center"/>
                </w:tcPr>
                <w:p w14:paraId="6C808A63">
                  <w:pPr>
                    <w:adjustRightInd w:val="0"/>
                    <w:snapToGrid w:val="0"/>
                    <w:jc w:val="center"/>
                    <w:rPr>
                      <w:color w:val="auto"/>
                      <w:szCs w:val="21"/>
                    </w:rPr>
                  </w:pPr>
                  <w:r>
                    <w:rPr>
                      <w:rFonts w:hint="eastAsia" w:ascii="宋体" w:hAnsi="宋体"/>
                      <w:color w:val="auto"/>
                    </w:rPr>
                    <w:t>由环卫部门定期清运</w:t>
                  </w:r>
                </w:p>
              </w:tc>
              <w:tc>
                <w:tcPr>
                  <w:tcW w:w="597" w:type="pct"/>
                  <w:vMerge w:val="restart"/>
                  <w:noWrap w:val="0"/>
                  <w:tcMar>
                    <w:top w:w="0" w:type="dxa"/>
                    <w:left w:w="0" w:type="dxa"/>
                    <w:bottom w:w="0" w:type="dxa"/>
                    <w:right w:w="0" w:type="dxa"/>
                  </w:tcMar>
                  <w:vAlign w:val="center"/>
                </w:tcPr>
                <w:p w14:paraId="2956400E">
                  <w:pPr>
                    <w:adjustRightInd w:val="0"/>
                    <w:snapToGrid w:val="0"/>
                    <w:jc w:val="center"/>
                    <w:rPr>
                      <w:rFonts w:hint="eastAsia" w:ascii="宋体" w:hAnsi="宋体" w:eastAsia="宋体"/>
                      <w:color w:val="auto"/>
                      <w:lang w:val="en-US" w:eastAsia="zh-CN"/>
                    </w:rPr>
                  </w:pPr>
                  <w:r>
                    <w:rPr>
                      <w:rFonts w:hint="eastAsia" w:ascii="宋体" w:hAnsi="宋体"/>
                      <w:color w:val="auto"/>
                      <w:lang w:val="en-US" w:eastAsia="zh-CN"/>
                    </w:rPr>
                    <w:t>4</w:t>
                  </w:r>
                </w:p>
              </w:tc>
              <w:tc>
                <w:tcPr>
                  <w:tcW w:w="598" w:type="pct"/>
                  <w:vMerge w:val="restart"/>
                  <w:noWrap w:val="0"/>
                  <w:tcMar>
                    <w:top w:w="0" w:type="dxa"/>
                    <w:left w:w="0" w:type="dxa"/>
                    <w:bottom w:w="0" w:type="dxa"/>
                    <w:right w:w="0" w:type="dxa"/>
                  </w:tcMar>
                  <w:vAlign w:val="center"/>
                </w:tcPr>
                <w:p w14:paraId="3887EFCD">
                  <w:pPr>
                    <w:adjustRightInd w:val="0"/>
                    <w:snapToGrid w:val="0"/>
                    <w:jc w:val="center"/>
                    <w:rPr>
                      <w:color w:val="auto"/>
                      <w:szCs w:val="21"/>
                    </w:rPr>
                  </w:pPr>
                  <w:r>
                    <w:rPr>
                      <w:rFonts w:hint="eastAsia" w:ascii="宋体" w:hAnsi="宋体"/>
                      <w:color w:val="auto"/>
                    </w:rPr>
                    <w:t>安全暂存、有效处置</w:t>
                  </w:r>
                </w:p>
              </w:tc>
              <w:tc>
                <w:tcPr>
                  <w:tcW w:w="1211" w:type="pct"/>
                  <w:vMerge w:val="restart"/>
                  <w:noWrap w:val="0"/>
                  <w:tcMar>
                    <w:top w:w="0" w:type="dxa"/>
                    <w:left w:w="0" w:type="dxa"/>
                    <w:bottom w:w="0" w:type="dxa"/>
                    <w:right w:w="0" w:type="dxa"/>
                  </w:tcMar>
                  <w:vAlign w:val="center"/>
                </w:tcPr>
                <w:p w14:paraId="7AFA6AE9">
                  <w:pPr>
                    <w:adjustRightInd w:val="0"/>
                    <w:snapToGrid w:val="0"/>
                    <w:jc w:val="center"/>
                    <w:rPr>
                      <w:rStyle w:val="86"/>
                      <w:rFonts w:ascii="Times New Roman" w:hAnsi="Times New Roman" w:cs="Times New Roman"/>
                      <w:color w:val="auto"/>
                      <w:sz w:val="21"/>
                      <w:szCs w:val="21"/>
                    </w:rPr>
                  </w:pPr>
                  <w:r>
                    <w:rPr>
                      <w:rStyle w:val="86"/>
                      <w:rFonts w:ascii="Times New Roman" w:hAnsi="Times New Roman" w:cs="Times New Roman"/>
                      <w:color w:val="auto"/>
                      <w:sz w:val="21"/>
                      <w:szCs w:val="21"/>
                    </w:rPr>
                    <w:t>《城市生活垃圾管理办法》</w:t>
                  </w:r>
                </w:p>
              </w:tc>
              <w:tc>
                <w:tcPr>
                  <w:tcW w:w="444" w:type="pct"/>
                  <w:vMerge w:val="restart"/>
                  <w:noWrap w:val="0"/>
                  <w:tcMar>
                    <w:top w:w="0" w:type="dxa"/>
                    <w:left w:w="0" w:type="dxa"/>
                    <w:bottom w:w="0" w:type="dxa"/>
                    <w:right w:w="0" w:type="dxa"/>
                  </w:tcMar>
                  <w:vAlign w:val="center"/>
                </w:tcPr>
                <w:p w14:paraId="441BE701">
                  <w:pPr>
                    <w:adjustRightInd w:val="0"/>
                    <w:snapToGrid w:val="0"/>
                    <w:jc w:val="center"/>
                    <w:rPr>
                      <w:rFonts w:hint="eastAsia"/>
                      <w:color w:val="auto"/>
                      <w:szCs w:val="21"/>
                    </w:rPr>
                  </w:pPr>
                  <w:r>
                    <w:rPr>
                      <w:rFonts w:hint="eastAsia"/>
                      <w:color w:val="auto"/>
                      <w:szCs w:val="21"/>
                    </w:rPr>
                    <w:t>新建</w:t>
                  </w:r>
                </w:p>
              </w:tc>
            </w:tr>
            <w:tr w14:paraId="510CF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tcMar>
                    <w:top w:w="0" w:type="dxa"/>
                    <w:left w:w="0" w:type="dxa"/>
                    <w:bottom w:w="0" w:type="dxa"/>
                    <w:right w:w="0" w:type="dxa"/>
                  </w:tcMar>
                  <w:vAlign w:val="center"/>
                </w:tcPr>
                <w:p w14:paraId="75AD8237">
                  <w:pPr>
                    <w:adjustRightInd w:val="0"/>
                    <w:snapToGrid w:val="0"/>
                    <w:jc w:val="center"/>
                    <w:rPr>
                      <w:color w:val="auto"/>
                    </w:rPr>
                  </w:pPr>
                </w:p>
              </w:tc>
              <w:tc>
                <w:tcPr>
                  <w:tcW w:w="351" w:type="pct"/>
                  <w:vMerge w:val="continue"/>
                  <w:noWrap w:val="0"/>
                  <w:tcMar>
                    <w:top w:w="0" w:type="dxa"/>
                    <w:left w:w="0" w:type="dxa"/>
                    <w:bottom w:w="0" w:type="dxa"/>
                    <w:right w:w="0" w:type="dxa"/>
                  </w:tcMar>
                  <w:vAlign w:val="center"/>
                </w:tcPr>
                <w:p w14:paraId="144BD955">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14FC30D6">
                  <w:pPr>
                    <w:adjustRightInd w:val="0"/>
                    <w:snapToGrid w:val="0"/>
                    <w:jc w:val="center"/>
                    <w:rPr>
                      <w:rFonts w:hint="eastAsia" w:ascii="宋体" w:hAnsi="宋体"/>
                      <w:color w:val="auto"/>
                      <w:sz w:val="21"/>
                      <w:szCs w:val="21"/>
                    </w:rPr>
                  </w:pPr>
                  <w:r>
                    <w:rPr>
                      <w:rFonts w:hint="eastAsia" w:eastAsiaTheme="minorEastAsia"/>
                      <w:color w:val="auto"/>
                      <w:szCs w:val="21"/>
                    </w:rPr>
                    <w:t>化粪池污泥</w:t>
                  </w:r>
                </w:p>
              </w:tc>
              <w:tc>
                <w:tcPr>
                  <w:tcW w:w="703" w:type="pct"/>
                  <w:vMerge w:val="continue"/>
                  <w:noWrap w:val="0"/>
                  <w:tcMar>
                    <w:top w:w="0" w:type="dxa"/>
                    <w:left w:w="0" w:type="dxa"/>
                    <w:bottom w:w="0" w:type="dxa"/>
                    <w:right w:w="0" w:type="dxa"/>
                  </w:tcMar>
                  <w:vAlign w:val="center"/>
                </w:tcPr>
                <w:p w14:paraId="1EA10FF8">
                  <w:pPr>
                    <w:adjustRightInd w:val="0"/>
                    <w:snapToGrid w:val="0"/>
                    <w:jc w:val="center"/>
                    <w:rPr>
                      <w:rFonts w:hint="eastAsia" w:ascii="宋体" w:hAnsi="宋体"/>
                      <w:color w:val="auto"/>
                    </w:rPr>
                  </w:pPr>
                </w:p>
              </w:tc>
              <w:tc>
                <w:tcPr>
                  <w:tcW w:w="597" w:type="pct"/>
                  <w:vMerge w:val="continue"/>
                  <w:noWrap w:val="0"/>
                  <w:tcMar>
                    <w:top w:w="0" w:type="dxa"/>
                    <w:left w:w="0" w:type="dxa"/>
                    <w:bottom w:w="0" w:type="dxa"/>
                    <w:right w:w="0" w:type="dxa"/>
                  </w:tcMar>
                  <w:vAlign w:val="center"/>
                </w:tcPr>
                <w:p w14:paraId="151B7849">
                  <w:pPr>
                    <w:adjustRightInd w:val="0"/>
                    <w:snapToGrid w:val="0"/>
                    <w:jc w:val="center"/>
                    <w:rPr>
                      <w:rFonts w:hint="eastAsia" w:ascii="宋体" w:hAnsi="宋体"/>
                      <w:color w:val="auto"/>
                      <w:lang w:val="en-US" w:eastAsia="zh-CN"/>
                    </w:rPr>
                  </w:pPr>
                </w:p>
              </w:tc>
              <w:tc>
                <w:tcPr>
                  <w:tcW w:w="598" w:type="pct"/>
                  <w:vMerge w:val="continue"/>
                  <w:noWrap w:val="0"/>
                  <w:tcMar>
                    <w:top w:w="0" w:type="dxa"/>
                    <w:left w:w="0" w:type="dxa"/>
                    <w:bottom w:w="0" w:type="dxa"/>
                    <w:right w:w="0" w:type="dxa"/>
                  </w:tcMar>
                  <w:vAlign w:val="center"/>
                </w:tcPr>
                <w:p w14:paraId="29AEC11F">
                  <w:pPr>
                    <w:adjustRightInd w:val="0"/>
                    <w:snapToGrid w:val="0"/>
                    <w:jc w:val="center"/>
                    <w:rPr>
                      <w:rFonts w:hint="eastAsia" w:ascii="宋体" w:hAnsi="宋体"/>
                      <w:color w:val="auto"/>
                    </w:rPr>
                  </w:pPr>
                </w:p>
              </w:tc>
              <w:tc>
                <w:tcPr>
                  <w:tcW w:w="1211" w:type="pct"/>
                  <w:vMerge w:val="continue"/>
                  <w:noWrap w:val="0"/>
                  <w:tcMar>
                    <w:top w:w="0" w:type="dxa"/>
                    <w:left w:w="0" w:type="dxa"/>
                    <w:bottom w:w="0" w:type="dxa"/>
                    <w:right w:w="0" w:type="dxa"/>
                  </w:tcMar>
                  <w:vAlign w:val="center"/>
                </w:tcPr>
                <w:p w14:paraId="6368CF07">
                  <w:pPr>
                    <w:adjustRightInd w:val="0"/>
                    <w:snapToGrid w:val="0"/>
                    <w:jc w:val="center"/>
                    <w:rPr>
                      <w:rStyle w:val="86"/>
                      <w:rFonts w:ascii="Times New Roman" w:hAnsi="Times New Roman" w:cs="Times New Roman"/>
                      <w:color w:val="auto"/>
                      <w:sz w:val="21"/>
                      <w:szCs w:val="21"/>
                    </w:rPr>
                  </w:pPr>
                </w:p>
              </w:tc>
              <w:tc>
                <w:tcPr>
                  <w:tcW w:w="444" w:type="pct"/>
                  <w:vMerge w:val="continue"/>
                  <w:noWrap w:val="0"/>
                  <w:tcMar>
                    <w:top w:w="0" w:type="dxa"/>
                    <w:left w:w="0" w:type="dxa"/>
                    <w:bottom w:w="0" w:type="dxa"/>
                    <w:right w:w="0" w:type="dxa"/>
                  </w:tcMar>
                  <w:vAlign w:val="center"/>
                </w:tcPr>
                <w:p w14:paraId="52DD09F6">
                  <w:pPr>
                    <w:adjustRightInd w:val="0"/>
                    <w:snapToGrid w:val="0"/>
                    <w:jc w:val="center"/>
                    <w:rPr>
                      <w:rFonts w:hint="eastAsia"/>
                      <w:color w:val="auto"/>
                      <w:szCs w:val="21"/>
                    </w:rPr>
                  </w:pPr>
                </w:p>
              </w:tc>
            </w:tr>
            <w:tr w14:paraId="192FE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7B4BC8A0">
                  <w:pPr>
                    <w:widowControl/>
                    <w:jc w:val="center"/>
                    <w:rPr>
                      <w:color w:val="auto"/>
                      <w:szCs w:val="21"/>
                    </w:rPr>
                  </w:pPr>
                </w:p>
              </w:tc>
              <w:tc>
                <w:tcPr>
                  <w:tcW w:w="351" w:type="pct"/>
                  <w:vMerge w:val="restart"/>
                  <w:noWrap w:val="0"/>
                  <w:tcMar>
                    <w:top w:w="0" w:type="dxa"/>
                    <w:left w:w="0" w:type="dxa"/>
                    <w:bottom w:w="0" w:type="dxa"/>
                    <w:right w:w="0" w:type="dxa"/>
                  </w:tcMar>
                  <w:vAlign w:val="center"/>
                </w:tcPr>
                <w:p w14:paraId="5C810413">
                  <w:pPr>
                    <w:adjustRightInd w:val="0"/>
                    <w:snapToGrid w:val="0"/>
                    <w:jc w:val="center"/>
                    <w:rPr>
                      <w:color w:val="auto"/>
                      <w:szCs w:val="21"/>
                    </w:rPr>
                  </w:pPr>
                  <w:r>
                    <w:rPr>
                      <w:rFonts w:hint="eastAsia" w:ascii="宋体" w:hAnsi="宋体"/>
                      <w:color w:val="auto"/>
                    </w:rPr>
                    <w:t>生产</w:t>
                  </w:r>
                </w:p>
              </w:tc>
              <w:tc>
                <w:tcPr>
                  <w:tcW w:w="607" w:type="pct"/>
                  <w:noWrap w:val="0"/>
                  <w:tcMar>
                    <w:top w:w="0" w:type="dxa"/>
                    <w:left w:w="0" w:type="dxa"/>
                    <w:bottom w:w="0" w:type="dxa"/>
                    <w:right w:w="0" w:type="dxa"/>
                  </w:tcMar>
                  <w:vAlign w:val="center"/>
                </w:tcPr>
                <w:p w14:paraId="58630CEF">
                  <w:pPr>
                    <w:jc w:val="center"/>
                    <w:rPr>
                      <w:color w:val="auto"/>
                      <w:szCs w:val="21"/>
                    </w:rPr>
                  </w:pPr>
                  <w:r>
                    <w:rPr>
                      <w:rFonts w:hint="eastAsia" w:eastAsiaTheme="minorEastAsia"/>
                      <w:color w:val="auto"/>
                      <w:szCs w:val="21"/>
                    </w:rPr>
                    <w:t>废活性炭</w:t>
                  </w:r>
                </w:p>
              </w:tc>
              <w:tc>
                <w:tcPr>
                  <w:tcW w:w="703" w:type="pct"/>
                  <w:vMerge w:val="restart"/>
                  <w:noWrap w:val="0"/>
                  <w:tcMar>
                    <w:top w:w="0" w:type="dxa"/>
                    <w:left w:w="0" w:type="dxa"/>
                    <w:bottom w:w="0" w:type="dxa"/>
                    <w:right w:w="0" w:type="dxa"/>
                  </w:tcMar>
                  <w:vAlign w:val="center"/>
                </w:tcPr>
                <w:p w14:paraId="0F8EC830">
                  <w:pPr>
                    <w:adjustRightInd w:val="0"/>
                    <w:snapToGrid w:val="0"/>
                    <w:jc w:val="center"/>
                    <w:rPr>
                      <w:color w:val="auto"/>
                      <w:szCs w:val="21"/>
                    </w:rPr>
                  </w:pPr>
                  <w:r>
                    <w:rPr>
                      <w:rFonts w:eastAsiaTheme="minorEastAsia"/>
                      <w:color w:val="auto"/>
                      <w:szCs w:val="21"/>
                    </w:rPr>
                    <w:t>有资质单位安全处置</w:t>
                  </w:r>
                </w:p>
              </w:tc>
              <w:tc>
                <w:tcPr>
                  <w:tcW w:w="597" w:type="pct"/>
                  <w:vMerge w:val="continue"/>
                  <w:noWrap w:val="0"/>
                  <w:vAlign w:val="center"/>
                </w:tcPr>
                <w:p w14:paraId="69581D43">
                  <w:pPr>
                    <w:widowControl/>
                    <w:jc w:val="center"/>
                    <w:rPr>
                      <w:color w:val="auto"/>
                      <w:szCs w:val="21"/>
                    </w:rPr>
                  </w:pPr>
                </w:p>
              </w:tc>
              <w:tc>
                <w:tcPr>
                  <w:tcW w:w="598" w:type="pct"/>
                  <w:vMerge w:val="continue"/>
                  <w:noWrap w:val="0"/>
                  <w:vAlign w:val="center"/>
                </w:tcPr>
                <w:p w14:paraId="291AEDCE">
                  <w:pPr>
                    <w:widowControl/>
                    <w:jc w:val="center"/>
                    <w:rPr>
                      <w:color w:val="auto"/>
                      <w:szCs w:val="21"/>
                    </w:rPr>
                  </w:pPr>
                </w:p>
              </w:tc>
              <w:tc>
                <w:tcPr>
                  <w:tcW w:w="1211" w:type="pct"/>
                  <w:vMerge w:val="restart"/>
                  <w:noWrap w:val="0"/>
                  <w:vAlign w:val="center"/>
                </w:tcPr>
                <w:p w14:paraId="63C92992">
                  <w:pPr>
                    <w:adjustRightInd w:val="0"/>
                    <w:snapToGrid w:val="0"/>
                    <w:jc w:val="center"/>
                    <w:rPr>
                      <w:rStyle w:val="86"/>
                      <w:rFonts w:ascii="Times New Roman" w:hAnsi="Times New Roman" w:cs="Times New Roman"/>
                      <w:color w:val="auto"/>
                      <w:sz w:val="21"/>
                      <w:szCs w:val="21"/>
                    </w:rPr>
                  </w:pPr>
                  <w:r>
                    <w:rPr>
                      <w:rStyle w:val="86"/>
                      <w:rFonts w:ascii="Times New Roman" w:hAnsi="Times New Roman" w:cs="Times New Roman"/>
                      <w:color w:val="auto"/>
                      <w:sz w:val="21"/>
                      <w:szCs w:val="21"/>
                    </w:rPr>
                    <w:t>《危险废物贮存污染物控制标准》（GB18597</w:t>
                  </w:r>
                  <w:r>
                    <w:rPr>
                      <w:rStyle w:val="86"/>
                      <w:rFonts w:hint="eastAsia" w:ascii="Times New Roman" w:hAnsi="Times New Roman" w:cs="Times New Roman"/>
                      <w:color w:val="auto"/>
                      <w:sz w:val="21"/>
                      <w:szCs w:val="21"/>
                    </w:rPr>
                    <w:t>-</w:t>
                  </w:r>
                  <w:r>
                    <w:rPr>
                      <w:rStyle w:val="86"/>
                      <w:rFonts w:ascii="Times New Roman" w:hAnsi="Times New Roman" w:cs="Times New Roman"/>
                      <w:color w:val="auto"/>
                      <w:sz w:val="21"/>
                      <w:szCs w:val="21"/>
                    </w:rPr>
                    <w:t>2023）</w:t>
                  </w:r>
                </w:p>
              </w:tc>
              <w:tc>
                <w:tcPr>
                  <w:tcW w:w="444" w:type="pct"/>
                  <w:vMerge w:val="continue"/>
                  <w:noWrap w:val="0"/>
                  <w:vAlign w:val="center"/>
                </w:tcPr>
                <w:p w14:paraId="0CFD32F0">
                  <w:pPr>
                    <w:widowControl/>
                    <w:jc w:val="center"/>
                    <w:rPr>
                      <w:color w:val="auto"/>
                      <w:szCs w:val="21"/>
                    </w:rPr>
                  </w:pPr>
                </w:p>
              </w:tc>
            </w:tr>
            <w:tr w14:paraId="31A1E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2744649B">
                  <w:pPr>
                    <w:widowControl/>
                    <w:jc w:val="center"/>
                    <w:rPr>
                      <w:color w:val="auto"/>
                      <w:szCs w:val="21"/>
                    </w:rPr>
                  </w:pPr>
                </w:p>
              </w:tc>
              <w:tc>
                <w:tcPr>
                  <w:tcW w:w="351" w:type="pct"/>
                  <w:vMerge w:val="continue"/>
                  <w:noWrap w:val="0"/>
                  <w:vAlign w:val="center"/>
                </w:tcPr>
                <w:p w14:paraId="1A7CACE5">
                  <w:pPr>
                    <w:widowControl/>
                    <w:jc w:val="center"/>
                    <w:rPr>
                      <w:color w:val="auto"/>
                      <w:szCs w:val="21"/>
                    </w:rPr>
                  </w:pPr>
                </w:p>
              </w:tc>
              <w:tc>
                <w:tcPr>
                  <w:tcW w:w="607" w:type="pct"/>
                  <w:noWrap w:val="0"/>
                  <w:tcMar>
                    <w:top w:w="0" w:type="dxa"/>
                    <w:left w:w="0" w:type="dxa"/>
                    <w:bottom w:w="0" w:type="dxa"/>
                    <w:right w:w="0" w:type="dxa"/>
                  </w:tcMar>
                  <w:vAlign w:val="center"/>
                </w:tcPr>
                <w:p w14:paraId="1E8368ED">
                  <w:pPr>
                    <w:jc w:val="center"/>
                    <w:rPr>
                      <w:color w:val="auto"/>
                      <w:szCs w:val="21"/>
                    </w:rPr>
                  </w:pPr>
                  <w:r>
                    <w:rPr>
                      <w:rFonts w:hint="eastAsia" w:eastAsiaTheme="minorEastAsia"/>
                      <w:color w:val="auto"/>
                      <w:szCs w:val="21"/>
                    </w:rPr>
                    <w:t>废油桶</w:t>
                  </w:r>
                </w:p>
              </w:tc>
              <w:tc>
                <w:tcPr>
                  <w:tcW w:w="703" w:type="pct"/>
                  <w:vMerge w:val="continue"/>
                  <w:noWrap w:val="0"/>
                  <w:tcMar>
                    <w:top w:w="0" w:type="dxa"/>
                    <w:left w:w="0" w:type="dxa"/>
                    <w:bottom w:w="0" w:type="dxa"/>
                    <w:right w:w="0" w:type="dxa"/>
                  </w:tcMar>
                  <w:vAlign w:val="center"/>
                </w:tcPr>
                <w:p w14:paraId="1596C403">
                  <w:pPr>
                    <w:adjustRightInd w:val="0"/>
                    <w:snapToGrid w:val="0"/>
                    <w:jc w:val="center"/>
                    <w:rPr>
                      <w:color w:val="auto"/>
                      <w:szCs w:val="21"/>
                    </w:rPr>
                  </w:pPr>
                </w:p>
              </w:tc>
              <w:tc>
                <w:tcPr>
                  <w:tcW w:w="597" w:type="pct"/>
                  <w:vMerge w:val="continue"/>
                  <w:noWrap w:val="0"/>
                  <w:vAlign w:val="center"/>
                </w:tcPr>
                <w:p w14:paraId="7D6C4F1D">
                  <w:pPr>
                    <w:widowControl/>
                    <w:jc w:val="center"/>
                    <w:rPr>
                      <w:color w:val="auto"/>
                      <w:szCs w:val="21"/>
                    </w:rPr>
                  </w:pPr>
                </w:p>
              </w:tc>
              <w:tc>
                <w:tcPr>
                  <w:tcW w:w="598" w:type="pct"/>
                  <w:vMerge w:val="continue"/>
                  <w:noWrap w:val="0"/>
                  <w:vAlign w:val="center"/>
                </w:tcPr>
                <w:p w14:paraId="6192193F">
                  <w:pPr>
                    <w:widowControl/>
                    <w:jc w:val="center"/>
                    <w:rPr>
                      <w:color w:val="auto"/>
                      <w:szCs w:val="21"/>
                    </w:rPr>
                  </w:pPr>
                </w:p>
              </w:tc>
              <w:tc>
                <w:tcPr>
                  <w:tcW w:w="1211" w:type="pct"/>
                  <w:vMerge w:val="continue"/>
                  <w:noWrap w:val="0"/>
                  <w:vAlign w:val="center"/>
                </w:tcPr>
                <w:p w14:paraId="5DD8813E">
                  <w:pPr>
                    <w:adjustRightInd w:val="0"/>
                    <w:snapToGrid w:val="0"/>
                    <w:jc w:val="center"/>
                    <w:rPr>
                      <w:rStyle w:val="86"/>
                      <w:rFonts w:ascii="Times New Roman" w:hAnsi="Times New Roman" w:cs="Times New Roman"/>
                      <w:color w:val="auto"/>
                      <w:sz w:val="21"/>
                      <w:szCs w:val="21"/>
                    </w:rPr>
                  </w:pPr>
                </w:p>
              </w:tc>
              <w:tc>
                <w:tcPr>
                  <w:tcW w:w="444" w:type="pct"/>
                  <w:vMerge w:val="continue"/>
                  <w:noWrap w:val="0"/>
                  <w:vAlign w:val="center"/>
                </w:tcPr>
                <w:p w14:paraId="098B5B1E">
                  <w:pPr>
                    <w:widowControl/>
                    <w:jc w:val="center"/>
                    <w:rPr>
                      <w:color w:val="auto"/>
                      <w:szCs w:val="21"/>
                    </w:rPr>
                  </w:pPr>
                </w:p>
              </w:tc>
            </w:tr>
            <w:tr w14:paraId="1D46C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0B5BD541">
                  <w:pPr>
                    <w:adjustRightInd w:val="0"/>
                    <w:snapToGrid w:val="0"/>
                    <w:jc w:val="center"/>
                    <w:rPr>
                      <w:color w:val="auto"/>
                    </w:rPr>
                  </w:pPr>
                </w:p>
              </w:tc>
              <w:tc>
                <w:tcPr>
                  <w:tcW w:w="351" w:type="pct"/>
                  <w:vMerge w:val="continue"/>
                  <w:noWrap w:val="0"/>
                  <w:vAlign w:val="center"/>
                </w:tcPr>
                <w:p w14:paraId="43586FF5">
                  <w:pPr>
                    <w:adjustRightInd w:val="0"/>
                    <w:snapToGrid w:val="0"/>
                    <w:jc w:val="center"/>
                    <w:rPr>
                      <w:color w:val="auto"/>
                    </w:rPr>
                  </w:pPr>
                </w:p>
              </w:tc>
              <w:tc>
                <w:tcPr>
                  <w:tcW w:w="607" w:type="pct"/>
                  <w:noWrap w:val="0"/>
                  <w:tcMar>
                    <w:top w:w="0" w:type="dxa"/>
                    <w:left w:w="0" w:type="dxa"/>
                    <w:bottom w:w="0" w:type="dxa"/>
                    <w:right w:w="0" w:type="dxa"/>
                  </w:tcMar>
                  <w:vAlign w:val="center"/>
                </w:tcPr>
                <w:p w14:paraId="02DEC222">
                  <w:pPr>
                    <w:jc w:val="center"/>
                    <w:rPr>
                      <w:rFonts w:hint="eastAsia" w:ascii="宋体" w:hAnsi="宋体"/>
                      <w:color w:val="auto"/>
                    </w:rPr>
                  </w:pPr>
                  <w:r>
                    <w:rPr>
                      <w:rFonts w:hint="eastAsia" w:eastAsiaTheme="minorEastAsia"/>
                      <w:color w:val="auto"/>
                      <w:szCs w:val="21"/>
                    </w:rPr>
                    <w:t>废胶桶</w:t>
                  </w:r>
                </w:p>
              </w:tc>
              <w:tc>
                <w:tcPr>
                  <w:tcW w:w="703" w:type="pct"/>
                  <w:vMerge w:val="continue"/>
                  <w:noWrap w:val="0"/>
                  <w:tcMar>
                    <w:top w:w="0" w:type="dxa"/>
                    <w:left w:w="0" w:type="dxa"/>
                    <w:bottom w:w="0" w:type="dxa"/>
                    <w:right w:w="0" w:type="dxa"/>
                  </w:tcMar>
                  <w:vAlign w:val="center"/>
                </w:tcPr>
                <w:p w14:paraId="49A5DE1B">
                  <w:pPr>
                    <w:adjustRightInd w:val="0"/>
                    <w:snapToGrid w:val="0"/>
                    <w:jc w:val="center"/>
                    <w:rPr>
                      <w:rFonts w:hint="eastAsia" w:ascii="宋体" w:hAnsi="宋体"/>
                      <w:color w:val="auto"/>
                    </w:rPr>
                  </w:pPr>
                </w:p>
              </w:tc>
              <w:tc>
                <w:tcPr>
                  <w:tcW w:w="597" w:type="pct"/>
                  <w:vMerge w:val="continue"/>
                  <w:noWrap w:val="0"/>
                  <w:vAlign w:val="center"/>
                </w:tcPr>
                <w:p w14:paraId="01713AE7">
                  <w:pPr>
                    <w:adjustRightInd w:val="0"/>
                    <w:snapToGrid w:val="0"/>
                    <w:jc w:val="center"/>
                    <w:rPr>
                      <w:color w:val="auto"/>
                    </w:rPr>
                  </w:pPr>
                </w:p>
              </w:tc>
              <w:tc>
                <w:tcPr>
                  <w:tcW w:w="598" w:type="pct"/>
                  <w:vMerge w:val="continue"/>
                  <w:noWrap w:val="0"/>
                  <w:vAlign w:val="center"/>
                </w:tcPr>
                <w:p w14:paraId="46AE0EDF">
                  <w:pPr>
                    <w:adjustRightInd w:val="0"/>
                    <w:snapToGrid w:val="0"/>
                    <w:jc w:val="center"/>
                    <w:rPr>
                      <w:rFonts w:hint="eastAsia" w:ascii="宋体" w:hAnsi="宋体"/>
                      <w:color w:val="auto"/>
                    </w:rPr>
                  </w:pPr>
                </w:p>
              </w:tc>
              <w:tc>
                <w:tcPr>
                  <w:tcW w:w="1211" w:type="pct"/>
                  <w:vMerge w:val="continue"/>
                  <w:noWrap w:val="0"/>
                  <w:vAlign w:val="center"/>
                </w:tcPr>
                <w:p w14:paraId="4C3CA3B8">
                  <w:pPr>
                    <w:adjustRightInd w:val="0"/>
                    <w:snapToGrid w:val="0"/>
                    <w:jc w:val="center"/>
                    <w:rPr>
                      <w:rStyle w:val="86"/>
                      <w:rFonts w:hint="eastAsia" w:ascii="Times New Roman" w:hAnsi="Times New Roman" w:cs="Times New Roman"/>
                      <w:color w:val="auto"/>
                      <w:sz w:val="21"/>
                      <w:szCs w:val="21"/>
                    </w:rPr>
                  </w:pPr>
                </w:p>
              </w:tc>
              <w:tc>
                <w:tcPr>
                  <w:tcW w:w="444" w:type="pct"/>
                  <w:vMerge w:val="continue"/>
                  <w:noWrap w:val="0"/>
                  <w:vAlign w:val="center"/>
                </w:tcPr>
                <w:p w14:paraId="50B5FEB5">
                  <w:pPr>
                    <w:adjustRightInd w:val="0"/>
                    <w:snapToGrid w:val="0"/>
                    <w:jc w:val="center"/>
                    <w:rPr>
                      <w:rFonts w:hint="eastAsia" w:ascii="宋体" w:hAnsi="宋体"/>
                      <w:color w:val="auto"/>
                    </w:rPr>
                  </w:pPr>
                </w:p>
              </w:tc>
            </w:tr>
            <w:tr w14:paraId="46DA1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766B597C">
                  <w:pPr>
                    <w:adjustRightInd w:val="0"/>
                    <w:snapToGrid w:val="0"/>
                    <w:jc w:val="center"/>
                    <w:rPr>
                      <w:rFonts w:hint="eastAsia" w:ascii="宋体" w:hAnsi="宋体"/>
                      <w:color w:val="auto"/>
                    </w:rPr>
                  </w:pPr>
                </w:p>
              </w:tc>
              <w:tc>
                <w:tcPr>
                  <w:tcW w:w="351" w:type="pct"/>
                  <w:vMerge w:val="continue"/>
                  <w:noWrap w:val="0"/>
                  <w:vAlign w:val="center"/>
                </w:tcPr>
                <w:p w14:paraId="527252AD">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5B99542F">
                  <w:pPr>
                    <w:adjustRightInd w:val="0"/>
                    <w:snapToGrid w:val="0"/>
                    <w:jc w:val="center"/>
                    <w:rPr>
                      <w:rFonts w:hint="eastAsia" w:ascii="宋体" w:hAnsi="宋体"/>
                      <w:color w:val="auto"/>
                    </w:rPr>
                  </w:pPr>
                  <w:r>
                    <w:rPr>
                      <w:color w:val="auto"/>
                      <w:szCs w:val="21"/>
                    </w:rPr>
                    <w:t>含油抹布和手套</w:t>
                  </w:r>
                </w:p>
              </w:tc>
              <w:tc>
                <w:tcPr>
                  <w:tcW w:w="703" w:type="pct"/>
                  <w:vMerge w:val="continue"/>
                  <w:noWrap w:val="0"/>
                  <w:tcMar>
                    <w:top w:w="0" w:type="dxa"/>
                    <w:left w:w="0" w:type="dxa"/>
                    <w:bottom w:w="0" w:type="dxa"/>
                    <w:right w:w="0" w:type="dxa"/>
                  </w:tcMar>
                  <w:vAlign w:val="center"/>
                </w:tcPr>
                <w:p w14:paraId="49FC80D4">
                  <w:pPr>
                    <w:adjustRightInd w:val="0"/>
                    <w:snapToGrid w:val="0"/>
                    <w:jc w:val="center"/>
                    <w:rPr>
                      <w:rFonts w:hint="eastAsia" w:ascii="宋体" w:hAnsi="宋体"/>
                      <w:color w:val="auto"/>
                    </w:rPr>
                  </w:pPr>
                </w:p>
              </w:tc>
              <w:tc>
                <w:tcPr>
                  <w:tcW w:w="597" w:type="pct"/>
                  <w:vMerge w:val="continue"/>
                  <w:noWrap w:val="0"/>
                  <w:vAlign w:val="center"/>
                </w:tcPr>
                <w:p w14:paraId="26D13C8A">
                  <w:pPr>
                    <w:adjustRightInd w:val="0"/>
                    <w:snapToGrid w:val="0"/>
                    <w:jc w:val="center"/>
                    <w:rPr>
                      <w:color w:val="auto"/>
                    </w:rPr>
                  </w:pPr>
                </w:p>
              </w:tc>
              <w:tc>
                <w:tcPr>
                  <w:tcW w:w="598" w:type="pct"/>
                  <w:vMerge w:val="continue"/>
                  <w:noWrap w:val="0"/>
                  <w:vAlign w:val="center"/>
                </w:tcPr>
                <w:p w14:paraId="6B880802">
                  <w:pPr>
                    <w:adjustRightInd w:val="0"/>
                    <w:snapToGrid w:val="0"/>
                    <w:jc w:val="center"/>
                    <w:rPr>
                      <w:rFonts w:hint="eastAsia" w:ascii="宋体" w:hAnsi="宋体"/>
                      <w:color w:val="auto"/>
                    </w:rPr>
                  </w:pPr>
                </w:p>
              </w:tc>
              <w:tc>
                <w:tcPr>
                  <w:tcW w:w="1211" w:type="pct"/>
                  <w:vMerge w:val="continue"/>
                  <w:noWrap w:val="0"/>
                  <w:vAlign w:val="center"/>
                </w:tcPr>
                <w:p w14:paraId="290213B0">
                  <w:pPr>
                    <w:adjustRightInd w:val="0"/>
                    <w:snapToGrid w:val="0"/>
                    <w:jc w:val="center"/>
                    <w:rPr>
                      <w:rStyle w:val="86"/>
                      <w:rFonts w:hint="eastAsia" w:ascii="Times New Roman" w:hAnsi="Times New Roman" w:cs="Times New Roman"/>
                      <w:color w:val="auto"/>
                      <w:sz w:val="21"/>
                      <w:szCs w:val="21"/>
                    </w:rPr>
                  </w:pPr>
                </w:p>
              </w:tc>
              <w:tc>
                <w:tcPr>
                  <w:tcW w:w="444" w:type="pct"/>
                  <w:vMerge w:val="continue"/>
                  <w:noWrap w:val="0"/>
                  <w:vAlign w:val="center"/>
                </w:tcPr>
                <w:p w14:paraId="117000A6">
                  <w:pPr>
                    <w:adjustRightInd w:val="0"/>
                    <w:snapToGrid w:val="0"/>
                    <w:jc w:val="center"/>
                    <w:rPr>
                      <w:rFonts w:hint="eastAsia" w:ascii="宋体" w:hAnsi="宋体"/>
                      <w:color w:val="auto"/>
                    </w:rPr>
                  </w:pPr>
                </w:p>
              </w:tc>
            </w:tr>
            <w:tr w14:paraId="7A2AD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71699592">
                  <w:pPr>
                    <w:adjustRightInd w:val="0"/>
                    <w:snapToGrid w:val="0"/>
                    <w:jc w:val="center"/>
                    <w:rPr>
                      <w:rFonts w:hint="eastAsia" w:ascii="宋体" w:hAnsi="宋体"/>
                      <w:color w:val="auto"/>
                    </w:rPr>
                  </w:pPr>
                </w:p>
              </w:tc>
              <w:tc>
                <w:tcPr>
                  <w:tcW w:w="351" w:type="pct"/>
                  <w:vMerge w:val="continue"/>
                  <w:noWrap w:val="0"/>
                  <w:vAlign w:val="center"/>
                </w:tcPr>
                <w:p w14:paraId="33AECDCB">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1C6EE3C8">
                  <w:pPr>
                    <w:adjustRightInd w:val="0"/>
                    <w:snapToGrid w:val="0"/>
                    <w:jc w:val="center"/>
                    <w:rPr>
                      <w:rFonts w:hint="eastAsia" w:eastAsia="宋体"/>
                      <w:color w:val="auto"/>
                      <w:szCs w:val="21"/>
                      <w:lang w:eastAsia="zh-CN"/>
                    </w:rPr>
                  </w:pPr>
                  <w:r>
                    <w:rPr>
                      <w:rFonts w:hint="eastAsia"/>
                      <w:color w:val="auto"/>
                      <w:szCs w:val="21"/>
                      <w:lang w:eastAsia="zh-CN"/>
                    </w:rPr>
                    <w:t>清洗废水</w:t>
                  </w:r>
                </w:p>
              </w:tc>
              <w:tc>
                <w:tcPr>
                  <w:tcW w:w="703" w:type="pct"/>
                  <w:vMerge w:val="continue"/>
                  <w:noWrap w:val="0"/>
                  <w:tcMar>
                    <w:top w:w="0" w:type="dxa"/>
                    <w:left w:w="0" w:type="dxa"/>
                    <w:bottom w:w="0" w:type="dxa"/>
                    <w:right w:w="0" w:type="dxa"/>
                  </w:tcMar>
                  <w:vAlign w:val="center"/>
                </w:tcPr>
                <w:p w14:paraId="267BD3DA">
                  <w:pPr>
                    <w:adjustRightInd w:val="0"/>
                    <w:snapToGrid w:val="0"/>
                    <w:jc w:val="center"/>
                    <w:rPr>
                      <w:rFonts w:hint="eastAsia" w:ascii="宋体" w:hAnsi="宋体"/>
                      <w:color w:val="auto"/>
                    </w:rPr>
                  </w:pPr>
                </w:p>
              </w:tc>
              <w:tc>
                <w:tcPr>
                  <w:tcW w:w="597" w:type="pct"/>
                  <w:vMerge w:val="continue"/>
                  <w:noWrap w:val="0"/>
                  <w:vAlign w:val="center"/>
                </w:tcPr>
                <w:p w14:paraId="382FDFF3">
                  <w:pPr>
                    <w:adjustRightInd w:val="0"/>
                    <w:snapToGrid w:val="0"/>
                    <w:jc w:val="center"/>
                    <w:rPr>
                      <w:color w:val="auto"/>
                    </w:rPr>
                  </w:pPr>
                </w:p>
              </w:tc>
              <w:tc>
                <w:tcPr>
                  <w:tcW w:w="598" w:type="pct"/>
                  <w:vMerge w:val="continue"/>
                  <w:noWrap w:val="0"/>
                  <w:vAlign w:val="center"/>
                </w:tcPr>
                <w:p w14:paraId="15E136F3">
                  <w:pPr>
                    <w:adjustRightInd w:val="0"/>
                    <w:snapToGrid w:val="0"/>
                    <w:jc w:val="center"/>
                    <w:rPr>
                      <w:rFonts w:hint="eastAsia" w:ascii="宋体" w:hAnsi="宋体"/>
                      <w:color w:val="auto"/>
                    </w:rPr>
                  </w:pPr>
                </w:p>
              </w:tc>
              <w:tc>
                <w:tcPr>
                  <w:tcW w:w="1211" w:type="pct"/>
                  <w:vMerge w:val="continue"/>
                  <w:noWrap w:val="0"/>
                  <w:vAlign w:val="center"/>
                </w:tcPr>
                <w:p w14:paraId="397B7353">
                  <w:pPr>
                    <w:adjustRightInd w:val="0"/>
                    <w:snapToGrid w:val="0"/>
                    <w:jc w:val="center"/>
                    <w:rPr>
                      <w:rStyle w:val="86"/>
                      <w:rFonts w:hint="eastAsia" w:ascii="Times New Roman" w:hAnsi="Times New Roman" w:cs="Times New Roman"/>
                      <w:color w:val="auto"/>
                      <w:sz w:val="21"/>
                      <w:szCs w:val="21"/>
                    </w:rPr>
                  </w:pPr>
                </w:p>
              </w:tc>
              <w:tc>
                <w:tcPr>
                  <w:tcW w:w="444" w:type="pct"/>
                  <w:vMerge w:val="continue"/>
                  <w:noWrap w:val="0"/>
                  <w:vAlign w:val="center"/>
                </w:tcPr>
                <w:p w14:paraId="560CC746">
                  <w:pPr>
                    <w:adjustRightInd w:val="0"/>
                    <w:snapToGrid w:val="0"/>
                    <w:jc w:val="center"/>
                    <w:rPr>
                      <w:rFonts w:hint="eastAsia" w:ascii="宋体" w:hAnsi="宋体"/>
                      <w:color w:val="auto"/>
                    </w:rPr>
                  </w:pPr>
                </w:p>
              </w:tc>
            </w:tr>
            <w:tr w14:paraId="3502F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3D3A9042">
                  <w:pPr>
                    <w:adjustRightInd w:val="0"/>
                    <w:snapToGrid w:val="0"/>
                    <w:jc w:val="center"/>
                    <w:rPr>
                      <w:rFonts w:hint="eastAsia" w:ascii="宋体" w:hAnsi="宋体"/>
                      <w:color w:val="auto"/>
                    </w:rPr>
                  </w:pPr>
                </w:p>
              </w:tc>
              <w:tc>
                <w:tcPr>
                  <w:tcW w:w="351" w:type="pct"/>
                  <w:vMerge w:val="continue"/>
                  <w:noWrap w:val="0"/>
                  <w:vAlign w:val="center"/>
                </w:tcPr>
                <w:p w14:paraId="6B6707CE">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5DEB0DAD">
                  <w:pPr>
                    <w:jc w:val="center"/>
                    <w:rPr>
                      <w:rFonts w:hint="eastAsia" w:eastAsia="宋体"/>
                      <w:color w:val="auto"/>
                      <w:lang w:eastAsia="zh-CN"/>
                    </w:rPr>
                  </w:pPr>
                  <w:r>
                    <w:rPr>
                      <w:rFonts w:hint="eastAsia" w:eastAsiaTheme="minorEastAsia"/>
                      <w:color w:val="auto"/>
                      <w:szCs w:val="21"/>
                    </w:rPr>
                    <w:t>边角料</w:t>
                  </w:r>
                </w:p>
              </w:tc>
              <w:tc>
                <w:tcPr>
                  <w:tcW w:w="703" w:type="pct"/>
                  <w:vMerge w:val="restart"/>
                  <w:noWrap w:val="0"/>
                  <w:tcMar>
                    <w:top w:w="0" w:type="dxa"/>
                    <w:left w:w="0" w:type="dxa"/>
                    <w:bottom w:w="0" w:type="dxa"/>
                    <w:right w:w="0" w:type="dxa"/>
                  </w:tcMar>
                  <w:vAlign w:val="center"/>
                </w:tcPr>
                <w:p w14:paraId="6C4974DC">
                  <w:pPr>
                    <w:adjustRightInd w:val="0"/>
                    <w:snapToGrid w:val="0"/>
                    <w:jc w:val="center"/>
                    <w:rPr>
                      <w:rFonts w:hint="eastAsia" w:ascii="宋体" w:hAnsi="宋体" w:eastAsia="宋体"/>
                      <w:color w:val="auto"/>
                      <w:lang w:eastAsia="zh-CN"/>
                    </w:rPr>
                  </w:pPr>
                  <w:r>
                    <w:rPr>
                      <w:rFonts w:eastAsiaTheme="minorEastAsia"/>
                      <w:color w:val="auto"/>
                      <w:szCs w:val="21"/>
                    </w:rPr>
                    <w:t>有资质单位安全处置</w:t>
                  </w:r>
                </w:p>
              </w:tc>
              <w:tc>
                <w:tcPr>
                  <w:tcW w:w="597" w:type="pct"/>
                  <w:vMerge w:val="continue"/>
                  <w:noWrap w:val="0"/>
                  <w:vAlign w:val="center"/>
                </w:tcPr>
                <w:p w14:paraId="008F6F90">
                  <w:pPr>
                    <w:adjustRightInd w:val="0"/>
                    <w:snapToGrid w:val="0"/>
                    <w:jc w:val="center"/>
                    <w:rPr>
                      <w:rFonts w:hint="eastAsia" w:eastAsia="宋体"/>
                      <w:color w:val="auto"/>
                      <w:lang w:val="en-US" w:eastAsia="zh-CN"/>
                    </w:rPr>
                  </w:pPr>
                </w:p>
              </w:tc>
              <w:tc>
                <w:tcPr>
                  <w:tcW w:w="598" w:type="pct"/>
                  <w:vMerge w:val="continue"/>
                  <w:noWrap w:val="0"/>
                  <w:vAlign w:val="center"/>
                </w:tcPr>
                <w:p w14:paraId="5E4BEF68">
                  <w:pPr>
                    <w:adjustRightInd w:val="0"/>
                    <w:snapToGrid w:val="0"/>
                    <w:jc w:val="center"/>
                    <w:rPr>
                      <w:rFonts w:hint="eastAsia" w:ascii="宋体" w:hAnsi="宋体"/>
                      <w:color w:val="auto"/>
                    </w:rPr>
                  </w:pPr>
                </w:p>
              </w:tc>
              <w:tc>
                <w:tcPr>
                  <w:tcW w:w="1211" w:type="pct"/>
                  <w:vMerge w:val="continue"/>
                  <w:noWrap w:val="0"/>
                  <w:vAlign w:val="center"/>
                </w:tcPr>
                <w:p w14:paraId="0EA26E66">
                  <w:pPr>
                    <w:adjustRightInd w:val="0"/>
                    <w:snapToGrid w:val="0"/>
                    <w:jc w:val="center"/>
                    <w:rPr>
                      <w:rStyle w:val="86"/>
                      <w:rFonts w:hint="eastAsia" w:ascii="Times New Roman" w:hAnsi="Times New Roman" w:cs="Times New Roman"/>
                      <w:color w:val="auto"/>
                      <w:sz w:val="21"/>
                      <w:szCs w:val="21"/>
                    </w:rPr>
                  </w:pPr>
                </w:p>
              </w:tc>
              <w:tc>
                <w:tcPr>
                  <w:tcW w:w="444" w:type="pct"/>
                  <w:vMerge w:val="continue"/>
                  <w:noWrap w:val="0"/>
                  <w:vAlign w:val="center"/>
                </w:tcPr>
                <w:p w14:paraId="59C37D6D">
                  <w:pPr>
                    <w:adjustRightInd w:val="0"/>
                    <w:snapToGrid w:val="0"/>
                    <w:jc w:val="center"/>
                    <w:rPr>
                      <w:rFonts w:hint="eastAsia" w:ascii="宋体" w:hAnsi="宋体"/>
                      <w:color w:val="auto"/>
                    </w:rPr>
                  </w:pPr>
                </w:p>
              </w:tc>
            </w:tr>
            <w:tr w14:paraId="29135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17968744">
                  <w:pPr>
                    <w:adjustRightInd w:val="0"/>
                    <w:snapToGrid w:val="0"/>
                    <w:jc w:val="center"/>
                    <w:rPr>
                      <w:rFonts w:hint="eastAsia" w:ascii="宋体" w:hAnsi="宋体"/>
                      <w:color w:val="auto"/>
                    </w:rPr>
                  </w:pPr>
                </w:p>
              </w:tc>
              <w:tc>
                <w:tcPr>
                  <w:tcW w:w="351" w:type="pct"/>
                  <w:vMerge w:val="continue"/>
                  <w:noWrap w:val="0"/>
                  <w:vAlign w:val="center"/>
                </w:tcPr>
                <w:p w14:paraId="0DA4FB53">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0B987BEF">
                  <w:pPr>
                    <w:jc w:val="center"/>
                    <w:rPr>
                      <w:rFonts w:hint="eastAsia" w:ascii="宋体" w:hAnsi="宋体"/>
                      <w:color w:val="auto"/>
                    </w:rPr>
                  </w:pPr>
                  <w:r>
                    <w:rPr>
                      <w:rFonts w:hint="eastAsia" w:eastAsiaTheme="minorEastAsia"/>
                      <w:color w:val="auto"/>
                      <w:szCs w:val="21"/>
                    </w:rPr>
                    <w:t>不合格胶合板</w:t>
                  </w:r>
                </w:p>
              </w:tc>
              <w:tc>
                <w:tcPr>
                  <w:tcW w:w="703" w:type="pct"/>
                  <w:vMerge w:val="continue"/>
                  <w:noWrap w:val="0"/>
                  <w:tcMar>
                    <w:top w:w="0" w:type="dxa"/>
                    <w:left w:w="0" w:type="dxa"/>
                    <w:bottom w:w="0" w:type="dxa"/>
                    <w:right w:w="0" w:type="dxa"/>
                  </w:tcMar>
                  <w:vAlign w:val="center"/>
                </w:tcPr>
                <w:p w14:paraId="52D68514">
                  <w:pPr>
                    <w:adjustRightInd w:val="0"/>
                    <w:snapToGrid w:val="0"/>
                    <w:jc w:val="center"/>
                    <w:rPr>
                      <w:rFonts w:hint="eastAsia" w:ascii="宋体" w:hAnsi="宋体"/>
                      <w:color w:val="auto"/>
                    </w:rPr>
                  </w:pPr>
                </w:p>
              </w:tc>
              <w:tc>
                <w:tcPr>
                  <w:tcW w:w="597" w:type="pct"/>
                  <w:vMerge w:val="continue"/>
                  <w:noWrap w:val="0"/>
                  <w:vAlign w:val="center"/>
                </w:tcPr>
                <w:p w14:paraId="19C70E1A">
                  <w:pPr>
                    <w:adjustRightInd w:val="0"/>
                    <w:snapToGrid w:val="0"/>
                    <w:jc w:val="center"/>
                    <w:rPr>
                      <w:rFonts w:hint="eastAsia" w:ascii="宋体" w:hAnsi="宋体"/>
                      <w:color w:val="auto"/>
                    </w:rPr>
                  </w:pPr>
                </w:p>
              </w:tc>
              <w:tc>
                <w:tcPr>
                  <w:tcW w:w="598" w:type="pct"/>
                  <w:vMerge w:val="continue"/>
                  <w:noWrap w:val="0"/>
                  <w:vAlign w:val="center"/>
                </w:tcPr>
                <w:p w14:paraId="05BFADCF">
                  <w:pPr>
                    <w:adjustRightInd w:val="0"/>
                    <w:snapToGrid w:val="0"/>
                    <w:jc w:val="center"/>
                    <w:rPr>
                      <w:rFonts w:hint="eastAsia" w:ascii="宋体" w:hAnsi="宋体"/>
                      <w:color w:val="auto"/>
                    </w:rPr>
                  </w:pPr>
                </w:p>
              </w:tc>
              <w:tc>
                <w:tcPr>
                  <w:tcW w:w="1211" w:type="pct"/>
                  <w:vMerge w:val="restart"/>
                  <w:noWrap w:val="0"/>
                  <w:vAlign w:val="center"/>
                </w:tcPr>
                <w:p w14:paraId="0FCC4A33">
                  <w:pPr>
                    <w:adjustRightInd w:val="0"/>
                    <w:snapToGrid w:val="0"/>
                    <w:jc w:val="center"/>
                    <w:rPr>
                      <w:rStyle w:val="86"/>
                      <w:rFonts w:hint="eastAsia" w:ascii="Times New Roman" w:hAnsi="Times New Roman" w:cs="Times New Roman"/>
                      <w:color w:val="auto"/>
                      <w:sz w:val="21"/>
                      <w:szCs w:val="21"/>
                    </w:rPr>
                  </w:pPr>
                  <w:r>
                    <w:rPr>
                      <w:rStyle w:val="86"/>
                      <w:rFonts w:ascii="Times New Roman" w:hAnsi="Times New Roman" w:cs="Times New Roman"/>
                      <w:color w:val="auto"/>
                      <w:sz w:val="21"/>
                      <w:szCs w:val="21"/>
                    </w:rPr>
                    <w:t>《一般工业固体废物贮存和填埋污染控制标准》（GB18599-2020）</w:t>
                  </w:r>
                </w:p>
              </w:tc>
              <w:tc>
                <w:tcPr>
                  <w:tcW w:w="444" w:type="pct"/>
                  <w:vMerge w:val="continue"/>
                  <w:noWrap w:val="0"/>
                  <w:vAlign w:val="center"/>
                </w:tcPr>
                <w:p w14:paraId="012BA434">
                  <w:pPr>
                    <w:adjustRightInd w:val="0"/>
                    <w:snapToGrid w:val="0"/>
                    <w:jc w:val="center"/>
                    <w:rPr>
                      <w:rFonts w:hint="eastAsia" w:ascii="宋体" w:hAnsi="宋体"/>
                      <w:color w:val="auto"/>
                    </w:rPr>
                  </w:pPr>
                </w:p>
              </w:tc>
            </w:tr>
            <w:tr w14:paraId="7F9E1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3341E525">
                  <w:pPr>
                    <w:adjustRightInd w:val="0"/>
                    <w:snapToGrid w:val="0"/>
                    <w:jc w:val="center"/>
                    <w:rPr>
                      <w:rFonts w:hint="eastAsia" w:ascii="宋体" w:hAnsi="宋体"/>
                      <w:color w:val="auto"/>
                    </w:rPr>
                  </w:pPr>
                </w:p>
              </w:tc>
              <w:tc>
                <w:tcPr>
                  <w:tcW w:w="351" w:type="pct"/>
                  <w:vMerge w:val="continue"/>
                  <w:noWrap w:val="0"/>
                  <w:vAlign w:val="center"/>
                </w:tcPr>
                <w:p w14:paraId="3EBF4FEB">
                  <w:pPr>
                    <w:adjustRightInd w:val="0"/>
                    <w:snapToGrid w:val="0"/>
                    <w:jc w:val="center"/>
                    <w:rPr>
                      <w:rFonts w:hint="eastAsia" w:ascii="宋体" w:hAnsi="宋体"/>
                      <w:color w:val="auto"/>
                    </w:rPr>
                  </w:pPr>
                </w:p>
              </w:tc>
              <w:tc>
                <w:tcPr>
                  <w:tcW w:w="607" w:type="pct"/>
                  <w:noWrap w:val="0"/>
                  <w:tcMar>
                    <w:top w:w="0" w:type="dxa"/>
                    <w:left w:w="0" w:type="dxa"/>
                    <w:bottom w:w="0" w:type="dxa"/>
                    <w:right w:w="0" w:type="dxa"/>
                  </w:tcMar>
                  <w:vAlign w:val="center"/>
                </w:tcPr>
                <w:p w14:paraId="14E54A35">
                  <w:pPr>
                    <w:jc w:val="center"/>
                    <w:rPr>
                      <w:color w:val="auto"/>
                    </w:rPr>
                  </w:pPr>
                  <w:r>
                    <w:rPr>
                      <w:rFonts w:hint="eastAsia" w:eastAsiaTheme="minorEastAsia"/>
                      <w:color w:val="auto"/>
                      <w:szCs w:val="21"/>
                    </w:rPr>
                    <w:t>收集灰</w:t>
                  </w:r>
                </w:p>
              </w:tc>
              <w:tc>
                <w:tcPr>
                  <w:tcW w:w="703" w:type="pct"/>
                  <w:vMerge w:val="continue"/>
                  <w:noWrap w:val="0"/>
                  <w:tcMar>
                    <w:top w:w="0" w:type="dxa"/>
                    <w:left w:w="0" w:type="dxa"/>
                    <w:bottom w:w="0" w:type="dxa"/>
                    <w:right w:w="0" w:type="dxa"/>
                  </w:tcMar>
                  <w:vAlign w:val="center"/>
                </w:tcPr>
                <w:p w14:paraId="48ABBE0A">
                  <w:pPr>
                    <w:adjustRightInd w:val="0"/>
                    <w:snapToGrid w:val="0"/>
                    <w:jc w:val="center"/>
                    <w:rPr>
                      <w:rFonts w:hint="eastAsia" w:ascii="宋体" w:hAnsi="宋体"/>
                      <w:color w:val="auto"/>
                    </w:rPr>
                  </w:pPr>
                </w:p>
              </w:tc>
              <w:tc>
                <w:tcPr>
                  <w:tcW w:w="597" w:type="pct"/>
                  <w:vMerge w:val="continue"/>
                  <w:noWrap w:val="0"/>
                  <w:vAlign w:val="center"/>
                </w:tcPr>
                <w:p w14:paraId="0C05570E">
                  <w:pPr>
                    <w:adjustRightInd w:val="0"/>
                    <w:snapToGrid w:val="0"/>
                    <w:jc w:val="center"/>
                    <w:rPr>
                      <w:rFonts w:hint="eastAsia" w:ascii="宋体" w:hAnsi="宋体"/>
                      <w:color w:val="auto"/>
                    </w:rPr>
                  </w:pPr>
                </w:p>
              </w:tc>
              <w:tc>
                <w:tcPr>
                  <w:tcW w:w="598" w:type="pct"/>
                  <w:vMerge w:val="continue"/>
                  <w:noWrap w:val="0"/>
                  <w:vAlign w:val="center"/>
                </w:tcPr>
                <w:p w14:paraId="62863257">
                  <w:pPr>
                    <w:adjustRightInd w:val="0"/>
                    <w:snapToGrid w:val="0"/>
                    <w:jc w:val="center"/>
                    <w:rPr>
                      <w:rFonts w:hint="eastAsia" w:ascii="宋体" w:hAnsi="宋体"/>
                      <w:color w:val="auto"/>
                    </w:rPr>
                  </w:pPr>
                </w:p>
              </w:tc>
              <w:tc>
                <w:tcPr>
                  <w:tcW w:w="1211" w:type="pct"/>
                  <w:vMerge w:val="continue"/>
                  <w:noWrap w:val="0"/>
                  <w:vAlign w:val="center"/>
                </w:tcPr>
                <w:p w14:paraId="2987E3D4">
                  <w:pPr>
                    <w:adjustRightInd w:val="0"/>
                    <w:snapToGrid w:val="0"/>
                    <w:jc w:val="center"/>
                    <w:rPr>
                      <w:rFonts w:ascii="宋体" w:hAnsi="宋体"/>
                      <w:color w:val="auto"/>
                      <w:szCs w:val="21"/>
                    </w:rPr>
                  </w:pPr>
                </w:p>
              </w:tc>
              <w:tc>
                <w:tcPr>
                  <w:tcW w:w="444" w:type="pct"/>
                  <w:vMerge w:val="continue"/>
                  <w:noWrap w:val="0"/>
                  <w:vAlign w:val="center"/>
                </w:tcPr>
                <w:p w14:paraId="708AF9DD">
                  <w:pPr>
                    <w:adjustRightInd w:val="0"/>
                    <w:snapToGrid w:val="0"/>
                    <w:jc w:val="center"/>
                    <w:rPr>
                      <w:rFonts w:hint="eastAsia" w:ascii="宋体" w:hAnsi="宋体"/>
                      <w:color w:val="auto"/>
                    </w:rPr>
                  </w:pPr>
                </w:p>
              </w:tc>
            </w:tr>
            <w:tr w14:paraId="25DF9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1EBAFB99">
                  <w:pPr>
                    <w:adjustRightInd w:val="0"/>
                    <w:snapToGrid w:val="0"/>
                    <w:jc w:val="center"/>
                    <w:rPr>
                      <w:color w:val="auto"/>
                    </w:rPr>
                  </w:pPr>
                </w:p>
              </w:tc>
              <w:tc>
                <w:tcPr>
                  <w:tcW w:w="351" w:type="pct"/>
                  <w:vMerge w:val="continue"/>
                  <w:noWrap w:val="0"/>
                  <w:vAlign w:val="center"/>
                </w:tcPr>
                <w:p w14:paraId="564F810F">
                  <w:pPr>
                    <w:adjustRightInd w:val="0"/>
                    <w:snapToGrid w:val="0"/>
                    <w:jc w:val="center"/>
                    <w:rPr>
                      <w:color w:val="auto"/>
                    </w:rPr>
                  </w:pPr>
                </w:p>
              </w:tc>
              <w:tc>
                <w:tcPr>
                  <w:tcW w:w="607" w:type="pct"/>
                  <w:noWrap w:val="0"/>
                  <w:tcMar>
                    <w:top w:w="0" w:type="dxa"/>
                    <w:left w:w="0" w:type="dxa"/>
                    <w:bottom w:w="0" w:type="dxa"/>
                    <w:right w:w="0" w:type="dxa"/>
                  </w:tcMar>
                  <w:vAlign w:val="center"/>
                </w:tcPr>
                <w:p w14:paraId="701C7D60">
                  <w:pPr>
                    <w:jc w:val="center"/>
                    <w:rPr>
                      <w:rFonts w:hint="eastAsia" w:ascii="宋体" w:hAnsi="宋体"/>
                      <w:color w:val="auto"/>
                    </w:rPr>
                  </w:pPr>
                  <w:r>
                    <w:rPr>
                      <w:rFonts w:hint="eastAsia" w:eastAsiaTheme="minorEastAsia"/>
                      <w:color w:val="auto"/>
                      <w:szCs w:val="21"/>
                    </w:rPr>
                    <w:t>废布袋</w:t>
                  </w:r>
                </w:p>
              </w:tc>
              <w:tc>
                <w:tcPr>
                  <w:tcW w:w="703" w:type="pct"/>
                  <w:vMerge w:val="continue"/>
                  <w:noWrap w:val="0"/>
                  <w:tcMar>
                    <w:top w:w="0" w:type="dxa"/>
                    <w:left w:w="0" w:type="dxa"/>
                    <w:bottom w:w="0" w:type="dxa"/>
                    <w:right w:w="0" w:type="dxa"/>
                  </w:tcMar>
                  <w:vAlign w:val="center"/>
                </w:tcPr>
                <w:p w14:paraId="703894E2">
                  <w:pPr>
                    <w:adjustRightInd w:val="0"/>
                    <w:snapToGrid w:val="0"/>
                    <w:jc w:val="center"/>
                    <w:rPr>
                      <w:rFonts w:hint="eastAsia" w:ascii="宋体" w:hAnsi="宋体"/>
                      <w:color w:val="auto"/>
                    </w:rPr>
                  </w:pPr>
                </w:p>
              </w:tc>
              <w:tc>
                <w:tcPr>
                  <w:tcW w:w="597" w:type="pct"/>
                  <w:vMerge w:val="continue"/>
                  <w:noWrap w:val="0"/>
                  <w:vAlign w:val="center"/>
                </w:tcPr>
                <w:p w14:paraId="6F32E1CE">
                  <w:pPr>
                    <w:adjustRightInd w:val="0"/>
                    <w:snapToGrid w:val="0"/>
                    <w:jc w:val="center"/>
                    <w:rPr>
                      <w:rFonts w:hint="eastAsia" w:ascii="宋体" w:hAnsi="宋体"/>
                      <w:color w:val="auto"/>
                    </w:rPr>
                  </w:pPr>
                </w:p>
              </w:tc>
              <w:tc>
                <w:tcPr>
                  <w:tcW w:w="598" w:type="pct"/>
                  <w:vMerge w:val="continue"/>
                  <w:noWrap w:val="0"/>
                  <w:vAlign w:val="center"/>
                </w:tcPr>
                <w:p w14:paraId="750DD3EB">
                  <w:pPr>
                    <w:adjustRightInd w:val="0"/>
                    <w:snapToGrid w:val="0"/>
                    <w:jc w:val="center"/>
                    <w:rPr>
                      <w:rFonts w:hint="eastAsia" w:ascii="宋体" w:hAnsi="宋体"/>
                      <w:color w:val="auto"/>
                    </w:rPr>
                  </w:pPr>
                </w:p>
              </w:tc>
              <w:tc>
                <w:tcPr>
                  <w:tcW w:w="1211" w:type="pct"/>
                  <w:vMerge w:val="continue"/>
                  <w:noWrap w:val="0"/>
                  <w:vAlign w:val="center"/>
                </w:tcPr>
                <w:p w14:paraId="05E57997">
                  <w:pPr>
                    <w:adjustRightInd w:val="0"/>
                    <w:snapToGrid w:val="0"/>
                    <w:jc w:val="center"/>
                    <w:rPr>
                      <w:rFonts w:hint="eastAsia" w:ascii="宋体" w:hAnsi="宋体"/>
                      <w:color w:val="auto"/>
                    </w:rPr>
                  </w:pPr>
                </w:p>
              </w:tc>
              <w:tc>
                <w:tcPr>
                  <w:tcW w:w="444" w:type="pct"/>
                  <w:vMerge w:val="continue"/>
                  <w:noWrap w:val="0"/>
                  <w:vAlign w:val="center"/>
                </w:tcPr>
                <w:p w14:paraId="18C20A7E">
                  <w:pPr>
                    <w:adjustRightInd w:val="0"/>
                    <w:snapToGrid w:val="0"/>
                    <w:jc w:val="center"/>
                    <w:rPr>
                      <w:rFonts w:hint="eastAsia" w:ascii="宋体" w:hAnsi="宋体"/>
                      <w:color w:val="auto"/>
                    </w:rPr>
                  </w:pPr>
                </w:p>
              </w:tc>
            </w:tr>
            <w:tr w14:paraId="47392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42503445">
                  <w:pPr>
                    <w:adjustRightInd w:val="0"/>
                    <w:snapToGrid w:val="0"/>
                    <w:jc w:val="center"/>
                    <w:rPr>
                      <w:color w:val="auto"/>
                    </w:rPr>
                  </w:pPr>
                </w:p>
              </w:tc>
              <w:tc>
                <w:tcPr>
                  <w:tcW w:w="351" w:type="pct"/>
                  <w:vMerge w:val="continue"/>
                  <w:noWrap w:val="0"/>
                  <w:vAlign w:val="center"/>
                </w:tcPr>
                <w:p w14:paraId="0CB2EA0D">
                  <w:pPr>
                    <w:adjustRightInd w:val="0"/>
                    <w:snapToGrid w:val="0"/>
                    <w:jc w:val="center"/>
                    <w:rPr>
                      <w:color w:val="auto"/>
                    </w:rPr>
                  </w:pPr>
                </w:p>
              </w:tc>
              <w:tc>
                <w:tcPr>
                  <w:tcW w:w="607" w:type="pct"/>
                  <w:noWrap w:val="0"/>
                  <w:tcMar>
                    <w:top w:w="0" w:type="dxa"/>
                    <w:left w:w="0" w:type="dxa"/>
                    <w:bottom w:w="0" w:type="dxa"/>
                    <w:right w:w="0" w:type="dxa"/>
                  </w:tcMar>
                  <w:vAlign w:val="center"/>
                </w:tcPr>
                <w:p w14:paraId="6381D69A">
                  <w:pPr>
                    <w:jc w:val="center"/>
                    <w:rPr>
                      <w:rFonts w:hint="eastAsia"/>
                      <w:color w:val="auto"/>
                      <w:sz w:val="21"/>
                      <w:szCs w:val="21"/>
                      <w:lang w:eastAsia="zh-CN"/>
                    </w:rPr>
                  </w:pPr>
                  <w:r>
                    <w:rPr>
                      <w:rFonts w:hint="eastAsia" w:eastAsiaTheme="minorEastAsia"/>
                      <w:color w:val="auto"/>
                      <w:szCs w:val="21"/>
                    </w:rPr>
                    <w:t>废包装袋</w:t>
                  </w:r>
                </w:p>
              </w:tc>
              <w:tc>
                <w:tcPr>
                  <w:tcW w:w="703" w:type="pct"/>
                  <w:vMerge w:val="continue"/>
                  <w:noWrap w:val="0"/>
                  <w:tcMar>
                    <w:top w:w="0" w:type="dxa"/>
                    <w:left w:w="0" w:type="dxa"/>
                    <w:bottom w:w="0" w:type="dxa"/>
                    <w:right w:w="0" w:type="dxa"/>
                  </w:tcMar>
                  <w:vAlign w:val="center"/>
                </w:tcPr>
                <w:p w14:paraId="6C89A2D6">
                  <w:pPr>
                    <w:adjustRightInd w:val="0"/>
                    <w:snapToGrid w:val="0"/>
                    <w:jc w:val="center"/>
                    <w:rPr>
                      <w:rFonts w:hint="eastAsia" w:ascii="宋体" w:hAnsi="宋体"/>
                      <w:color w:val="auto"/>
                    </w:rPr>
                  </w:pPr>
                </w:p>
              </w:tc>
              <w:tc>
                <w:tcPr>
                  <w:tcW w:w="597" w:type="pct"/>
                  <w:vMerge w:val="continue"/>
                  <w:noWrap w:val="0"/>
                  <w:vAlign w:val="center"/>
                </w:tcPr>
                <w:p w14:paraId="44199E33">
                  <w:pPr>
                    <w:adjustRightInd w:val="0"/>
                    <w:snapToGrid w:val="0"/>
                    <w:jc w:val="center"/>
                    <w:rPr>
                      <w:rFonts w:hint="eastAsia" w:ascii="宋体" w:hAnsi="宋体"/>
                      <w:color w:val="auto"/>
                    </w:rPr>
                  </w:pPr>
                </w:p>
              </w:tc>
              <w:tc>
                <w:tcPr>
                  <w:tcW w:w="598" w:type="pct"/>
                  <w:vMerge w:val="continue"/>
                  <w:noWrap w:val="0"/>
                  <w:vAlign w:val="center"/>
                </w:tcPr>
                <w:p w14:paraId="75F651D7">
                  <w:pPr>
                    <w:adjustRightInd w:val="0"/>
                    <w:snapToGrid w:val="0"/>
                    <w:jc w:val="center"/>
                    <w:rPr>
                      <w:rFonts w:hint="eastAsia" w:ascii="宋体" w:hAnsi="宋体"/>
                      <w:color w:val="auto"/>
                    </w:rPr>
                  </w:pPr>
                </w:p>
              </w:tc>
              <w:tc>
                <w:tcPr>
                  <w:tcW w:w="1211" w:type="pct"/>
                  <w:vMerge w:val="continue"/>
                  <w:noWrap w:val="0"/>
                  <w:vAlign w:val="center"/>
                </w:tcPr>
                <w:p w14:paraId="1B4B4A78">
                  <w:pPr>
                    <w:adjustRightInd w:val="0"/>
                    <w:snapToGrid w:val="0"/>
                    <w:jc w:val="center"/>
                    <w:rPr>
                      <w:rFonts w:hint="eastAsia" w:ascii="宋体" w:hAnsi="宋体"/>
                      <w:color w:val="auto"/>
                    </w:rPr>
                  </w:pPr>
                </w:p>
              </w:tc>
              <w:tc>
                <w:tcPr>
                  <w:tcW w:w="444" w:type="pct"/>
                  <w:vMerge w:val="continue"/>
                  <w:noWrap w:val="0"/>
                  <w:vAlign w:val="center"/>
                </w:tcPr>
                <w:p w14:paraId="45E2C55F">
                  <w:pPr>
                    <w:adjustRightInd w:val="0"/>
                    <w:snapToGrid w:val="0"/>
                    <w:jc w:val="center"/>
                    <w:rPr>
                      <w:rFonts w:hint="eastAsia" w:ascii="宋体" w:hAnsi="宋体"/>
                      <w:color w:val="auto"/>
                    </w:rPr>
                  </w:pPr>
                </w:p>
              </w:tc>
            </w:tr>
            <w:tr w14:paraId="7E0CC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31552B00">
                  <w:pPr>
                    <w:adjustRightInd w:val="0"/>
                    <w:snapToGrid w:val="0"/>
                    <w:jc w:val="center"/>
                    <w:rPr>
                      <w:color w:val="auto"/>
                    </w:rPr>
                  </w:pPr>
                </w:p>
              </w:tc>
              <w:tc>
                <w:tcPr>
                  <w:tcW w:w="351" w:type="pct"/>
                  <w:vMerge w:val="continue"/>
                  <w:noWrap w:val="0"/>
                  <w:vAlign w:val="center"/>
                </w:tcPr>
                <w:p w14:paraId="1995F4A4">
                  <w:pPr>
                    <w:adjustRightInd w:val="0"/>
                    <w:snapToGrid w:val="0"/>
                    <w:jc w:val="center"/>
                    <w:rPr>
                      <w:color w:val="auto"/>
                    </w:rPr>
                  </w:pPr>
                </w:p>
              </w:tc>
              <w:tc>
                <w:tcPr>
                  <w:tcW w:w="607" w:type="pct"/>
                  <w:noWrap w:val="0"/>
                  <w:tcMar>
                    <w:top w:w="0" w:type="dxa"/>
                    <w:left w:w="0" w:type="dxa"/>
                    <w:bottom w:w="0" w:type="dxa"/>
                    <w:right w:w="0" w:type="dxa"/>
                  </w:tcMar>
                  <w:vAlign w:val="center"/>
                </w:tcPr>
                <w:p w14:paraId="72FECAF0">
                  <w:pPr>
                    <w:jc w:val="center"/>
                    <w:rPr>
                      <w:rFonts w:hint="eastAsia"/>
                      <w:color w:val="auto"/>
                      <w:sz w:val="21"/>
                      <w:szCs w:val="21"/>
                      <w:lang w:eastAsia="zh-CN"/>
                    </w:rPr>
                  </w:pPr>
                  <w:r>
                    <w:rPr>
                      <w:rFonts w:hint="eastAsia" w:eastAsiaTheme="minorEastAsia"/>
                      <w:color w:val="auto"/>
                      <w:szCs w:val="21"/>
                    </w:rPr>
                    <w:t>废砂轮片</w:t>
                  </w:r>
                </w:p>
              </w:tc>
              <w:tc>
                <w:tcPr>
                  <w:tcW w:w="703" w:type="pct"/>
                  <w:vMerge w:val="continue"/>
                  <w:noWrap w:val="0"/>
                  <w:tcMar>
                    <w:top w:w="0" w:type="dxa"/>
                    <w:left w:w="0" w:type="dxa"/>
                    <w:bottom w:w="0" w:type="dxa"/>
                    <w:right w:w="0" w:type="dxa"/>
                  </w:tcMar>
                  <w:vAlign w:val="center"/>
                </w:tcPr>
                <w:p w14:paraId="19117832">
                  <w:pPr>
                    <w:adjustRightInd w:val="0"/>
                    <w:snapToGrid w:val="0"/>
                    <w:jc w:val="center"/>
                    <w:rPr>
                      <w:rFonts w:hint="eastAsia" w:ascii="宋体" w:hAnsi="宋体"/>
                      <w:color w:val="auto"/>
                    </w:rPr>
                  </w:pPr>
                </w:p>
              </w:tc>
              <w:tc>
                <w:tcPr>
                  <w:tcW w:w="597" w:type="pct"/>
                  <w:vMerge w:val="continue"/>
                  <w:noWrap w:val="0"/>
                  <w:vAlign w:val="center"/>
                </w:tcPr>
                <w:p w14:paraId="4B58B3C0">
                  <w:pPr>
                    <w:adjustRightInd w:val="0"/>
                    <w:snapToGrid w:val="0"/>
                    <w:jc w:val="center"/>
                    <w:rPr>
                      <w:rFonts w:hint="eastAsia" w:ascii="宋体" w:hAnsi="宋体"/>
                      <w:color w:val="auto"/>
                    </w:rPr>
                  </w:pPr>
                </w:p>
              </w:tc>
              <w:tc>
                <w:tcPr>
                  <w:tcW w:w="598" w:type="pct"/>
                  <w:vMerge w:val="continue"/>
                  <w:noWrap w:val="0"/>
                  <w:vAlign w:val="center"/>
                </w:tcPr>
                <w:p w14:paraId="1D0239B4">
                  <w:pPr>
                    <w:adjustRightInd w:val="0"/>
                    <w:snapToGrid w:val="0"/>
                    <w:jc w:val="center"/>
                    <w:rPr>
                      <w:rFonts w:hint="eastAsia" w:ascii="宋体" w:hAnsi="宋体"/>
                      <w:color w:val="auto"/>
                    </w:rPr>
                  </w:pPr>
                </w:p>
              </w:tc>
              <w:tc>
                <w:tcPr>
                  <w:tcW w:w="1211" w:type="pct"/>
                  <w:vMerge w:val="continue"/>
                  <w:noWrap w:val="0"/>
                  <w:vAlign w:val="center"/>
                </w:tcPr>
                <w:p w14:paraId="08AA9567">
                  <w:pPr>
                    <w:adjustRightInd w:val="0"/>
                    <w:snapToGrid w:val="0"/>
                    <w:jc w:val="center"/>
                    <w:rPr>
                      <w:rFonts w:hint="eastAsia" w:ascii="宋体" w:hAnsi="宋体"/>
                      <w:color w:val="auto"/>
                    </w:rPr>
                  </w:pPr>
                </w:p>
              </w:tc>
              <w:tc>
                <w:tcPr>
                  <w:tcW w:w="444" w:type="pct"/>
                  <w:vMerge w:val="continue"/>
                  <w:noWrap w:val="0"/>
                  <w:vAlign w:val="center"/>
                </w:tcPr>
                <w:p w14:paraId="17F2F2A0">
                  <w:pPr>
                    <w:adjustRightInd w:val="0"/>
                    <w:snapToGrid w:val="0"/>
                    <w:jc w:val="center"/>
                    <w:rPr>
                      <w:rFonts w:hint="eastAsia" w:ascii="宋体" w:hAnsi="宋体"/>
                      <w:color w:val="auto"/>
                    </w:rPr>
                  </w:pPr>
                </w:p>
              </w:tc>
            </w:tr>
            <w:tr w14:paraId="403E2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5A29F18E">
                  <w:pPr>
                    <w:adjustRightInd w:val="0"/>
                    <w:snapToGrid w:val="0"/>
                    <w:jc w:val="center"/>
                    <w:rPr>
                      <w:color w:val="auto"/>
                    </w:rPr>
                  </w:pPr>
                </w:p>
              </w:tc>
              <w:tc>
                <w:tcPr>
                  <w:tcW w:w="351" w:type="pct"/>
                  <w:vMerge w:val="continue"/>
                  <w:noWrap w:val="0"/>
                  <w:vAlign w:val="center"/>
                </w:tcPr>
                <w:p w14:paraId="2EF14DC8">
                  <w:pPr>
                    <w:adjustRightInd w:val="0"/>
                    <w:snapToGrid w:val="0"/>
                    <w:jc w:val="center"/>
                    <w:rPr>
                      <w:color w:val="auto"/>
                    </w:rPr>
                  </w:pPr>
                </w:p>
              </w:tc>
              <w:tc>
                <w:tcPr>
                  <w:tcW w:w="607" w:type="pct"/>
                  <w:noWrap w:val="0"/>
                  <w:tcMar>
                    <w:top w:w="0" w:type="dxa"/>
                    <w:left w:w="0" w:type="dxa"/>
                    <w:bottom w:w="0" w:type="dxa"/>
                    <w:right w:w="0" w:type="dxa"/>
                  </w:tcMar>
                  <w:vAlign w:val="center"/>
                </w:tcPr>
                <w:p w14:paraId="560E568D">
                  <w:pPr>
                    <w:jc w:val="center"/>
                    <w:rPr>
                      <w:rFonts w:hint="eastAsia"/>
                      <w:color w:val="auto"/>
                    </w:rPr>
                  </w:pPr>
                  <w:r>
                    <w:rPr>
                      <w:rFonts w:hint="eastAsia" w:eastAsiaTheme="minorEastAsia"/>
                      <w:color w:val="auto"/>
                      <w:szCs w:val="21"/>
                    </w:rPr>
                    <w:t>废木屑</w:t>
                  </w:r>
                </w:p>
              </w:tc>
              <w:tc>
                <w:tcPr>
                  <w:tcW w:w="703" w:type="pct"/>
                  <w:vMerge w:val="continue"/>
                  <w:noWrap w:val="0"/>
                  <w:tcMar>
                    <w:top w:w="0" w:type="dxa"/>
                    <w:left w:w="0" w:type="dxa"/>
                    <w:bottom w:w="0" w:type="dxa"/>
                    <w:right w:w="0" w:type="dxa"/>
                  </w:tcMar>
                  <w:vAlign w:val="center"/>
                </w:tcPr>
                <w:p w14:paraId="18BED490">
                  <w:pPr>
                    <w:adjustRightInd w:val="0"/>
                    <w:snapToGrid w:val="0"/>
                    <w:jc w:val="center"/>
                    <w:rPr>
                      <w:rFonts w:hint="eastAsia" w:ascii="宋体" w:hAnsi="宋体"/>
                      <w:color w:val="auto"/>
                    </w:rPr>
                  </w:pPr>
                </w:p>
              </w:tc>
              <w:tc>
                <w:tcPr>
                  <w:tcW w:w="597" w:type="pct"/>
                  <w:vMerge w:val="continue"/>
                  <w:noWrap w:val="0"/>
                  <w:vAlign w:val="center"/>
                </w:tcPr>
                <w:p w14:paraId="35DFE0F9">
                  <w:pPr>
                    <w:adjustRightInd w:val="0"/>
                    <w:snapToGrid w:val="0"/>
                    <w:jc w:val="center"/>
                    <w:rPr>
                      <w:rFonts w:hint="eastAsia" w:ascii="宋体" w:hAnsi="宋体"/>
                      <w:color w:val="auto"/>
                    </w:rPr>
                  </w:pPr>
                </w:p>
              </w:tc>
              <w:tc>
                <w:tcPr>
                  <w:tcW w:w="598" w:type="pct"/>
                  <w:vMerge w:val="continue"/>
                  <w:noWrap w:val="0"/>
                  <w:vAlign w:val="center"/>
                </w:tcPr>
                <w:p w14:paraId="7BE78801">
                  <w:pPr>
                    <w:adjustRightInd w:val="0"/>
                    <w:snapToGrid w:val="0"/>
                    <w:jc w:val="center"/>
                    <w:rPr>
                      <w:rFonts w:hint="eastAsia" w:ascii="宋体" w:hAnsi="宋体"/>
                      <w:color w:val="auto"/>
                    </w:rPr>
                  </w:pPr>
                </w:p>
              </w:tc>
              <w:tc>
                <w:tcPr>
                  <w:tcW w:w="1211" w:type="pct"/>
                  <w:vMerge w:val="continue"/>
                  <w:noWrap w:val="0"/>
                  <w:vAlign w:val="center"/>
                </w:tcPr>
                <w:p w14:paraId="018C9652">
                  <w:pPr>
                    <w:adjustRightInd w:val="0"/>
                    <w:snapToGrid w:val="0"/>
                    <w:jc w:val="center"/>
                    <w:rPr>
                      <w:rFonts w:hint="eastAsia" w:ascii="宋体" w:hAnsi="宋体"/>
                      <w:color w:val="auto"/>
                    </w:rPr>
                  </w:pPr>
                </w:p>
              </w:tc>
              <w:tc>
                <w:tcPr>
                  <w:tcW w:w="444" w:type="pct"/>
                  <w:vMerge w:val="continue"/>
                  <w:noWrap w:val="0"/>
                  <w:vAlign w:val="center"/>
                </w:tcPr>
                <w:p w14:paraId="1AB6A090">
                  <w:pPr>
                    <w:adjustRightInd w:val="0"/>
                    <w:snapToGrid w:val="0"/>
                    <w:jc w:val="center"/>
                    <w:rPr>
                      <w:rFonts w:hint="eastAsia" w:ascii="宋体" w:hAnsi="宋体"/>
                      <w:color w:val="auto"/>
                    </w:rPr>
                  </w:pPr>
                </w:p>
              </w:tc>
            </w:tr>
            <w:tr w14:paraId="73DDE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restart"/>
                  <w:noWrap w:val="0"/>
                  <w:tcMar>
                    <w:top w:w="0" w:type="dxa"/>
                    <w:left w:w="0" w:type="dxa"/>
                    <w:bottom w:w="0" w:type="dxa"/>
                    <w:right w:w="0" w:type="dxa"/>
                  </w:tcMar>
                  <w:vAlign w:val="center"/>
                </w:tcPr>
                <w:p w14:paraId="18AC6662">
                  <w:pPr>
                    <w:adjustRightInd w:val="0"/>
                    <w:snapToGrid w:val="0"/>
                    <w:jc w:val="center"/>
                    <w:rPr>
                      <w:rFonts w:hint="eastAsia"/>
                      <w:color w:val="auto"/>
                      <w:lang w:eastAsia="zh-CN"/>
                    </w:rPr>
                  </w:pPr>
                  <w:r>
                    <w:rPr>
                      <w:rFonts w:hint="eastAsia"/>
                      <w:color w:val="auto"/>
                      <w:lang w:eastAsia="zh-CN"/>
                    </w:rPr>
                    <w:t>、</w:t>
                  </w:r>
                </w:p>
                <w:p w14:paraId="55386416">
                  <w:pPr>
                    <w:adjustRightInd w:val="0"/>
                    <w:snapToGrid w:val="0"/>
                    <w:jc w:val="center"/>
                    <w:rPr>
                      <w:color w:val="auto"/>
                      <w:szCs w:val="21"/>
                    </w:rPr>
                  </w:pPr>
                  <w:r>
                    <w:rPr>
                      <w:color w:val="auto"/>
                    </w:rPr>
                    <w:t>排污口</w:t>
                  </w:r>
                </w:p>
                <w:p w14:paraId="0AAE7973">
                  <w:pPr>
                    <w:adjustRightInd w:val="0"/>
                    <w:snapToGrid w:val="0"/>
                    <w:jc w:val="center"/>
                    <w:rPr>
                      <w:color w:val="auto"/>
                      <w:szCs w:val="21"/>
                    </w:rPr>
                  </w:pPr>
                  <w:r>
                    <w:rPr>
                      <w:color w:val="auto"/>
                    </w:rPr>
                    <w:t>设置</w:t>
                  </w:r>
                </w:p>
              </w:tc>
              <w:tc>
                <w:tcPr>
                  <w:tcW w:w="351" w:type="pct"/>
                  <w:noWrap w:val="0"/>
                  <w:tcMar>
                    <w:top w:w="0" w:type="dxa"/>
                    <w:left w:w="0" w:type="dxa"/>
                    <w:bottom w:w="0" w:type="dxa"/>
                    <w:right w:w="0" w:type="dxa"/>
                  </w:tcMar>
                  <w:vAlign w:val="center"/>
                </w:tcPr>
                <w:p w14:paraId="1F257140">
                  <w:pPr>
                    <w:adjustRightInd w:val="0"/>
                    <w:snapToGrid w:val="0"/>
                    <w:jc w:val="center"/>
                    <w:rPr>
                      <w:color w:val="auto"/>
                      <w:szCs w:val="21"/>
                    </w:rPr>
                  </w:pPr>
                  <w:r>
                    <w:rPr>
                      <w:rFonts w:hint="eastAsia" w:ascii="宋体" w:hAnsi="宋体"/>
                      <w:color w:val="auto"/>
                    </w:rPr>
                    <w:t>—</w:t>
                  </w:r>
                </w:p>
              </w:tc>
              <w:tc>
                <w:tcPr>
                  <w:tcW w:w="607" w:type="pct"/>
                  <w:noWrap w:val="0"/>
                  <w:tcMar>
                    <w:top w:w="0" w:type="dxa"/>
                    <w:left w:w="0" w:type="dxa"/>
                    <w:bottom w:w="0" w:type="dxa"/>
                    <w:right w:w="0" w:type="dxa"/>
                  </w:tcMar>
                  <w:vAlign w:val="center"/>
                </w:tcPr>
                <w:p w14:paraId="325F700E">
                  <w:pPr>
                    <w:adjustRightInd w:val="0"/>
                    <w:snapToGrid w:val="0"/>
                    <w:jc w:val="center"/>
                    <w:rPr>
                      <w:rFonts w:hint="eastAsia"/>
                      <w:color w:val="auto"/>
                      <w:szCs w:val="21"/>
                    </w:rPr>
                  </w:pPr>
                  <w:r>
                    <w:rPr>
                      <w:rFonts w:hint="eastAsia"/>
                      <w:color w:val="auto"/>
                    </w:rPr>
                    <w:t>生活污水排放口</w:t>
                  </w:r>
                </w:p>
              </w:tc>
              <w:tc>
                <w:tcPr>
                  <w:tcW w:w="703" w:type="pct"/>
                  <w:noWrap w:val="0"/>
                  <w:tcMar>
                    <w:top w:w="0" w:type="dxa"/>
                    <w:left w:w="0" w:type="dxa"/>
                    <w:bottom w:w="0" w:type="dxa"/>
                    <w:right w:w="0" w:type="dxa"/>
                  </w:tcMar>
                  <w:vAlign w:val="center"/>
                </w:tcPr>
                <w:p w14:paraId="1A6EBCD0">
                  <w:pPr>
                    <w:autoSpaceDE w:val="0"/>
                    <w:autoSpaceDN w:val="0"/>
                    <w:adjustRightInd w:val="0"/>
                    <w:snapToGrid w:val="0"/>
                    <w:jc w:val="center"/>
                    <w:rPr>
                      <w:color w:val="auto"/>
                      <w:szCs w:val="21"/>
                    </w:rPr>
                  </w:pPr>
                  <w:r>
                    <w:rPr>
                      <w:rFonts w:hint="eastAsia" w:ascii="宋体" w:hAnsi="宋体"/>
                      <w:color w:val="auto"/>
                    </w:rPr>
                    <w:t>/</w:t>
                  </w:r>
                </w:p>
              </w:tc>
              <w:tc>
                <w:tcPr>
                  <w:tcW w:w="597" w:type="pct"/>
                  <w:vMerge w:val="restart"/>
                  <w:noWrap w:val="0"/>
                  <w:tcMar>
                    <w:top w:w="0" w:type="dxa"/>
                    <w:left w:w="0" w:type="dxa"/>
                    <w:bottom w:w="0" w:type="dxa"/>
                    <w:right w:w="0" w:type="dxa"/>
                  </w:tcMar>
                  <w:vAlign w:val="center"/>
                </w:tcPr>
                <w:p w14:paraId="440AD84C">
                  <w:pPr>
                    <w:widowControl/>
                    <w:jc w:val="center"/>
                    <w:rPr>
                      <w:rFonts w:hint="default" w:eastAsia="仿宋_GB2312"/>
                      <w:color w:val="auto"/>
                      <w:szCs w:val="21"/>
                      <w:lang w:val="en-US" w:eastAsia="zh-CN"/>
                    </w:rPr>
                  </w:pPr>
                  <w:r>
                    <w:rPr>
                      <w:rFonts w:hint="eastAsia" w:eastAsia="仿宋_GB2312"/>
                      <w:color w:val="auto"/>
                      <w:szCs w:val="21"/>
                      <w:lang w:val="en-US" w:eastAsia="zh-CN"/>
                    </w:rPr>
                    <w:t>0.5</w:t>
                  </w:r>
                </w:p>
              </w:tc>
              <w:tc>
                <w:tcPr>
                  <w:tcW w:w="598" w:type="pct"/>
                  <w:vMerge w:val="restart"/>
                  <w:noWrap w:val="0"/>
                  <w:tcMar>
                    <w:top w:w="0" w:type="dxa"/>
                    <w:left w:w="0" w:type="dxa"/>
                    <w:bottom w:w="0" w:type="dxa"/>
                    <w:right w:w="0" w:type="dxa"/>
                  </w:tcMar>
                  <w:vAlign w:val="center"/>
                </w:tcPr>
                <w:p w14:paraId="6B8AC6BF">
                  <w:pPr>
                    <w:pStyle w:val="33"/>
                    <w:adjustRightInd w:val="0"/>
                    <w:snapToGrid w:val="0"/>
                    <w:rPr>
                      <w:rFonts w:ascii="Times New Roman"/>
                      <w:color w:val="auto"/>
                    </w:rPr>
                  </w:pPr>
                  <w:r>
                    <w:rPr>
                      <w:rFonts w:hint="eastAsia" w:ascii="宋体" w:hAnsi="宋体" w:eastAsia="宋体" w:cs="宋体"/>
                      <w:color w:val="auto"/>
                    </w:rPr>
                    <w:t>规范化设置</w:t>
                  </w:r>
                </w:p>
              </w:tc>
              <w:tc>
                <w:tcPr>
                  <w:tcW w:w="1211" w:type="pct"/>
                  <w:noWrap w:val="0"/>
                  <w:tcMar>
                    <w:top w:w="0" w:type="dxa"/>
                    <w:left w:w="0" w:type="dxa"/>
                    <w:bottom w:w="0" w:type="dxa"/>
                    <w:right w:w="0" w:type="dxa"/>
                  </w:tcMar>
                  <w:vAlign w:val="center"/>
                </w:tcPr>
                <w:p w14:paraId="0AC2D7EC">
                  <w:pPr>
                    <w:adjustRightInd w:val="0"/>
                    <w:snapToGrid w:val="0"/>
                    <w:jc w:val="center"/>
                    <w:rPr>
                      <w:color w:val="auto"/>
                      <w:szCs w:val="21"/>
                    </w:rPr>
                  </w:pPr>
                  <w:r>
                    <w:rPr>
                      <w:rFonts w:hint="eastAsia" w:ascii="宋体" w:hAnsi="宋体"/>
                      <w:color w:val="auto"/>
                    </w:rPr>
                    <w:t>—</w:t>
                  </w:r>
                </w:p>
              </w:tc>
              <w:tc>
                <w:tcPr>
                  <w:tcW w:w="444" w:type="pct"/>
                  <w:noWrap w:val="0"/>
                  <w:tcMar>
                    <w:top w:w="0" w:type="dxa"/>
                    <w:left w:w="0" w:type="dxa"/>
                    <w:bottom w:w="0" w:type="dxa"/>
                    <w:right w:w="0" w:type="dxa"/>
                  </w:tcMar>
                  <w:vAlign w:val="center"/>
                </w:tcPr>
                <w:p w14:paraId="45DFBCDE">
                  <w:pPr>
                    <w:adjustRightInd w:val="0"/>
                    <w:snapToGrid w:val="0"/>
                    <w:jc w:val="center"/>
                    <w:rPr>
                      <w:rFonts w:hint="eastAsia" w:eastAsia="宋体"/>
                      <w:color w:val="auto"/>
                      <w:szCs w:val="21"/>
                      <w:lang w:eastAsia="zh-CN"/>
                    </w:rPr>
                  </w:pPr>
                  <w:r>
                    <w:rPr>
                      <w:rFonts w:hint="eastAsia"/>
                      <w:color w:val="auto"/>
                      <w:lang w:val="en-US" w:eastAsia="zh-CN"/>
                    </w:rPr>
                    <w:t>/</w:t>
                  </w:r>
                </w:p>
              </w:tc>
            </w:tr>
            <w:tr w14:paraId="73A30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continue"/>
                  <w:noWrap w:val="0"/>
                  <w:vAlign w:val="center"/>
                </w:tcPr>
                <w:p w14:paraId="26C9F33F">
                  <w:pPr>
                    <w:widowControl/>
                    <w:jc w:val="center"/>
                    <w:rPr>
                      <w:color w:val="auto"/>
                      <w:szCs w:val="21"/>
                    </w:rPr>
                  </w:pPr>
                </w:p>
              </w:tc>
              <w:tc>
                <w:tcPr>
                  <w:tcW w:w="351" w:type="pct"/>
                  <w:noWrap w:val="0"/>
                  <w:tcMar>
                    <w:top w:w="0" w:type="dxa"/>
                    <w:left w:w="0" w:type="dxa"/>
                    <w:bottom w:w="0" w:type="dxa"/>
                    <w:right w:w="0" w:type="dxa"/>
                  </w:tcMar>
                  <w:vAlign w:val="center"/>
                </w:tcPr>
                <w:p w14:paraId="2946B1CA">
                  <w:pPr>
                    <w:adjustRightInd w:val="0"/>
                    <w:snapToGrid w:val="0"/>
                    <w:jc w:val="center"/>
                    <w:rPr>
                      <w:color w:val="auto"/>
                      <w:szCs w:val="21"/>
                    </w:rPr>
                  </w:pPr>
                  <w:r>
                    <w:rPr>
                      <w:rFonts w:hint="eastAsia" w:ascii="宋体" w:hAnsi="宋体"/>
                      <w:color w:val="auto"/>
                    </w:rPr>
                    <w:t>—</w:t>
                  </w:r>
                </w:p>
              </w:tc>
              <w:tc>
                <w:tcPr>
                  <w:tcW w:w="607" w:type="pct"/>
                  <w:noWrap w:val="0"/>
                  <w:tcMar>
                    <w:top w:w="0" w:type="dxa"/>
                    <w:left w:w="0" w:type="dxa"/>
                    <w:bottom w:w="0" w:type="dxa"/>
                    <w:right w:w="0" w:type="dxa"/>
                  </w:tcMar>
                  <w:vAlign w:val="center"/>
                </w:tcPr>
                <w:p w14:paraId="314E4F41">
                  <w:pPr>
                    <w:adjustRightInd w:val="0"/>
                    <w:snapToGrid w:val="0"/>
                    <w:jc w:val="center"/>
                    <w:rPr>
                      <w:color w:val="auto"/>
                      <w:szCs w:val="21"/>
                    </w:rPr>
                  </w:pPr>
                  <w:r>
                    <w:rPr>
                      <w:color w:val="auto"/>
                    </w:rPr>
                    <w:t>排气筒</w:t>
                  </w:r>
                </w:p>
              </w:tc>
              <w:tc>
                <w:tcPr>
                  <w:tcW w:w="703" w:type="pct"/>
                  <w:noWrap w:val="0"/>
                  <w:tcMar>
                    <w:top w:w="0" w:type="dxa"/>
                    <w:left w:w="0" w:type="dxa"/>
                    <w:bottom w:w="0" w:type="dxa"/>
                    <w:right w:w="0" w:type="dxa"/>
                  </w:tcMar>
                  <w:vAlign w:val="center"/>
                </w:tcPr>
                <w:p w14:paraId="4B2A7CBF">
                  <w:pPr>
                    <w:autoSpaceDE w:val="0"/>
                    <w:autoSpaceDN w:val="0"/>
                    <w:adjustRightInd w:val="0"/>
                    <w:snapToGrid w:val="0"/>
                    <w:jc w:val="center"/>
                    <w:rPr>
                      <w:color w:val="auto"/>
                      <w:szCs w:val="21"/>
                    </w:rPr>
                  </w:pPr>
                  <w:r>
                    <w:rPr>
                      <w:rFonts w:hint="eastAsia" w:ascii="宋体" w:hAnsi="宋体"/>
                      <w:color w:val="auto"/>
                    </w:rPr>
                    <w:t>/</w:t>
                  </w:r>
                </w:p>
              </w:tc>
              <w:tc>
                <w:tcPr>
                  <w:tcW w:w="597" w:type="pct"/>
                  <w:vMerge w:val="continue"/>
                  <w:noWrap w:val="0"/>
                  <w:tcMar>
                    <w:top w:w="0" w:type="dxa"/>
                    <w:left w:w="0" w:type="dxa"/>
                    <w:bottom w:w="0" w:type="dxa"/>
                    <w:right w:w="0" w:type="dxa"/>
                  </w:tcMar>
                  <w:vAlign w:val="center"/>
                </w:tcPr>
                <w:p w14:paraId="1FF1E068">
                  <w:pPr>
                    <w:widowControl/>
                    <w:jc w:val="center"/>
                    <w:rPr>
                      <w:rFonts w:hint="eastAsia" w:eastAsia="仿宋_GB2312"/>
                      <w:color w:val="auto"/>
                      <w:szCs w:val="21"/>
                    </w:rPr>
                  </w:pPr>
                </w:p>
              </w:tc>
              <w:tc>
                <w:tcPr>
                  <w:tcW w:w="598" w:type="pct"/>
                  <w:vMerge w:val="continue"/>
                  <w:noWrap w:val="0"/>
                  <w:tcMar>
                    <w:top w:w="0" w:type="dxa"/>
                    <w:left w:w="0" w:type="dxa"/>
                    <w:bottom w:w="0" w:type="dxa"/>
                    <w:right w:w="0" w:type="dxa"/>
                  </w:tcMar>
                  <w:vAlign w:val="center"/>
                </w:tcPr>
                <w:p w14:paraId="62DF9786">
                  <w:pPr>
                    <w:widowControl/>
                    <w:jc w:val="center"/>
                    <w:rPr>
                      <w:rFonts w:eastAsia="仿宋_GB2312"/>
                      <w:color w:val="auto"/>
                      <w:szCs w:val="21"/>
                    </w:rPr>
                  </w:pPr>
                </w:p>
              </w:tc>
              <w:tc>
                <w:tcPr>
                  <w:tcW w:w="1211" w:type="pct"/>
                  <w:noWrap w:val="0"/>
                  <w:tcMar>
                    <w:top w:w="0" w:type="dxa"/>
                    <w:left w:w="0" w:type="dxa"/>
                    <w:bottom w:w="0" w:type="dxa"/>
                    <w:right w:w="0" w:type="dxa"/>
                  </w:tcMar>
                  <w:vAlign w:val="center"/>
                </w:tcPr>
                <w:p w14:paraId="5CD08F3E">
                  <w:pPr>
                    <w:adjustRightInd w:val="0"/>
                    <w:snapToGrid w:val="0"/>
                    <w:jc w:val="center"/>
                    <w:rPr>
                      <w:color w:val="auto"/>
                      <w:szCs w:val="21"/>
                    </w:rPr>
                  </w:pPr>
                  <w:r>
                    <w:rPr>
                      <w:rFonts w:hint="eastAsia" w:ascii="宋体" w:hAnsi="宋体"/>
                      <w:color w:val="auto"/>
                    </w:rPr>
                    <w:t>—</w:t>
                  </w:r>
                </w:p>
              </w:tc>
              <w:tc>
                <w:tcPr>
                  <w:tcW w:w="444" w:type="pct"/>
                  <w:noWrap w:val="0"/>
                  <w:tcMar>
                    <w:top w:w="0" w:type="dxa"/>
                    <w:left w:w="0" w:type="dxa"/>
                    <w:bottom w:w="0" w:type="dxa"/>
                    <w:right w:w="0" w:type="dxa"/>
                  </w:tcMar>
                  <w:vAlign w:val="center"/>
                </w:tcPr>
                <w:p w14:paraId="378F1F3D">
                  <w:pPr>
                    <w:adjustRightInd w:val="0"/>
                    <w:snapToGrid w:val="0"/>
                    <w:jc w:val="center"/>
                    <w:rPr>
                      <w:color w:val="auto"/>
                      <w:szCs w:val="21"/>
                    </w:rPr>
                  </w:pPr>
                  <w:r>
                    <w:rPr>
                      <w:color w:val="auto"/>
                    </w:rPr>
                    <w:t>新建</w:t>
                  </w:r>
                </w:p>
              </w:tc>
            </w:tr>
            <w:tr w14:paraId="7DB52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4" w:type="pct"/>
                  <w:vMerge w:val="restart"/>
                  <w:noWrap w:val="0"/>
                  <w:tcMar>
                    <w:top w:w="0" w:type="dxa"/>
                    <w:left w:w="0" w:type="dxa"/>
                    <w:bottom w:w="0" w:type="dxa"/>
                    <w:right w:w="0" w:type="dxa"/>
                  </w:tcMar>
                  <w:vAlign w:val="center"/>
                </w:tcPr>
                <w:p w14:paraId="6E10157C">
                  <w:pPr>
                    <w:adjustRightInd w:val="0"/>
                    <w:snapToGrid w:val="0"/>
                    <w:jc w:val="center"/>
                    <w:rPr>
                      <w:color w:val="auto"/>
                      <w:szCs w:val="21"/>
                    </w:rPr>
                  </w:pPr>
                  <w:r>
                    <w:rPr>
                      <w:color w:val="auto"/>
                    </w:rPr>
                    <w:t>清污分流</w:t>
                  </w:r>
                </w:p>
                <w:p w14:paraId="5BCD1148">
                  <w:pPr>
                    <w:adjustRightInd w:val="0"/>
                    <w:snapToGrid w:val="0"/>
                    <w:jc w:val="center"/>
                    <w:rPr>
                      <w:color w:val="auto"/>
                      <w:szCs w:val="21"/>
                    </w:rPr>
                  </w:pPr>
                  <w:r>
                    <w:rPr>
                      <w:color w:val="auto"/>
                    </w:rPr>
                    <w:t>管网建设</w:t>
                  </w:r>
                </w:p>
              </w:tc>
              <w:tc>
                <w:tcPr>
                  <w:tcW w:w="351" w:type="pct"/>
                  <w:noWrap w:val="0"/>
                  <w:tcMar>
                    <w:top w:w="0" w:type="dxa"/>
                    <w:left w:w="0" w:type="dxa"/>
                    <w:bottom w:w="0" w:type="dxa"/>
                    <w:right w:w="0" w:type="dxa"/>
                  </w:tcMar>
                  <w:vAlign w:val="center"/>
                </w:tcPr>
                <w:p w14:paraId="576538BE">
                  <w:pPr>
                    <w:adjustRightInd w:val="0"/>
                    <w:snapToGrid w:val="0"/>
                    <w:jc w:val="center"/>
                    <w:rPr>
                      <w:color w:val="auto"/>
                      <w:szCs w:val="21"/>
                    </w:rPr>
                  </w:pPr>
                  <w:r>
                    <w:rPr>
                      <w:rFonts w:hint="eastAsia" w:ascii="宋体" w:hAnsi="宋体"/>
                      <w:color w:val="auto"/>
                    </w:rPr>
                    <w:t>—</w:t>
                  </w:r>
                </w:p>
              </w:tc>
              <w:tc>
                <w:tcPr>
                  <w:tcW w:w="607" w:type="pct"/>
                  <w:noWrap w:val="0"/>
                  <w:tcMar>
                    <w:top w:w="0" w:type="dxa"/>
                    <w:left w:w="0" w:type="dxa"/>
                    <w:bottom w:w="0" w:type="dxa"/>
                    <w:right w:w="0" w:type="dxa"/>
                  </w:tcMar>
                  <w:vAlign w:val="center"/>
                </w:tcPr>
                <w:p w14:paraId="7B3A1A68">
                  <w:pPr>
                    <w:adjustRightInd w:val="0"/>
                    <w:snapToGrid w:val="0"/>
                    <w:jc w:val="center"/>
                    <w:rPr>
                      <w:color w:val="auto"/>
                      <w:szCs w:val="21"/>
                    </w:rPr>
                  </w:pPr>
                  <w:r>
                    <w:rPr>
                      <w:color w:val="auto"/>
                    </w:rPr>
                    <w:t>污水管道</w:t>
                  </w:r>
                </w:p>
              </w:tc>
              <w:tc>
                <w:tcPr>
                  <w:tcW w:w="703" w:type="pct"/>
                  <w:noWrap w:val="0"/>
                  <w:tcMar>
                    <w:top w:w="0" w:type="dxa"/>
                    <w:left w:w="0" w:type="dxa"/>
                    <w:bottom w:w="0" w:type="dxa"/>
                    <w:right w:w="0" w:type="dxa"/>
                  </w:tcMar>
                  <w:vAlign w:val="center"/>
                </w:tcPr>
                <w:p w14:paraId="24435FFE">
                  <w:pPr>
                    <w:adjustRightInd w:val="0"/>
                    <w:snapToGrid w:val="0"/>
                    <w:jc w:val="center"/>
                    <w:rPr>
                      <w:color w:val="auto"/>
                      <w:szCs w:val="21"/>
                    </w:rPr>
                  </w:pPr>
                  <w:r>
                    <w:rPr>
                      <w:rFonts w:hint="eastAsia" w:ascii="宋体" w:hAnsi="宋体"/>
                      <w:color w:val="auto"/>
                    </w:rPr>
                    <w:t>/</w:t>
                  </w:r>
                </w:p>
              </w:tc>
              <w:tc>
                <w:tcPr>
                  <w:tcW w:w="597" w:type="pct"/>
                  <w:noWrap w:val="0"/>
                  <w:tcMar>
                    <w:top w:w="0" w:type="dxa"/>
                    <w:left w:w="0" w:type="dxa"/>
                    <w:bottom w:w="0" w:type="dxa"/>
                    <w:right w:w="0" w:type="dxa"/>
                  </w:tcMar>
                  <w:vAlign w:val="center"/>
                </w:tcPr>
                <w:p w14:paraId="1E9FD2AD">
                  <w:pPr>
                    <w:adjustRightInd w:val="0"/>
                    <w:snapToGrid w:val="0"/>
                    <w:jc w:val="center"/>
                    <w:rPr>
                      <w:rFonts w:hint="eastAsia" w:eastAsia="宋体"/>
                      <w:color w:val="auto"/>
                      <w:lang w:val="en-US" w:eastAsia="zh-CN"/>
                    </w:rPr>
                  </w:pPr>
                  <w:r>
                    <w:rPr>
                      <w:rFonts w:hint="eastAsia"/>
                      <w:color w:val="auto"/>
                      <w:lang w:val="en-US" w:eastAsia="zh-CN"/>
                    </w:rPr>
                    <w:t>/</w:t>
                  </w:r>
                </w:p>
              </w:tc>
              <w:tc>
                <w:tcPr>
                  <w:tcW w:w="598" w:type="pct"/>
                  <w:vMerge w:val="restart"/>
                  <w:noWrap w:val="0"/>
                  <w:tcMar>
                    <w:top w:w="0" w:type="dxa"/>
                    <w:left w:w="0" w:type="dxa"/>
                    <w:bottom w:w="0" w:type="dxa"/>
                    <w:right w:w="0" w:type="dxa"/>
                  </w:tcMar>
                  <w:vAlign w:val="center"/>
                </w:tcPr>
                <w:p w14:paraId="261FBEDD">
                  <w:pPr>
                    <w:adjustRightInd w:val="0"/>
                    <w:snapToGrid w:val="0"/>
                    <w:jc w:val="center"/>
                    <w:rPr>
                      <w:color w:val="auto"/>
                      <w:szCs w:val="21"/>
                    </w:rPr>
                  </w:pPr>
                  <w:r>
                    <w:rPr>
                      <w:color w:val="auto"/>
                    </w:rPr>
                    <w:t>雨污分流</w:t>
                  </w:r>
                </w:p>
              </w:tc>
              <w:tc>
                <w:tcPr>
                  <w:tcW w:w="1211" w:type="pct"/>
                  <w:noWrap w:val="0"/>
                  <w:tcMar>
                    <w:top w:w="0" w:type="dxa"/>
                    <w:left w:w="0" w:type="dxa"/>
                    <w:bottom w:w="0" w:type="dxa"/>
                    <w:right w:w="0" w:type="dxa"/>
                  </w:tcMar>
                  <w:vAlign w:val="center"/>
                </w:tcPr>
                <w:p w14:paraId="387ACD74">
                  <w:pPr>
                    <w:adjustRightInd w:val="0"/>
                    <w:snapToGrid w:val="0"/>
                    <w:jc w:val="center"/>
                    <w:rPr>
                      <w:color w:val="auto"/>
                      <w:szCs w:val="21"/>
                    </w:rPr>
                  </w:pPr>
                  <w:r>
                    <w:rPr>
                      <w:rFonts w:hint="eastAsia" w:ascii="宋体" w:hAnsi="宋体"/>
                      <w:color w:val="auto"/>
                    </w:rPr>
                    <w:t>—</w:t>
                  </w:r>
                </w:p>
              </w:tc>
              <w:tc>
                <w:tcPr>
                  <w:tcW w:w="444" w:type="pct"/>
                  <w:vMerge w:val="restart"/>
                  <w:noWrap w:val="0"/>
                  <w:tcMar>
                    <w:top w:w="0" w:type="dxa"/>
                    <w:left w:w="0" w:type="dxa"/>
                    <w:bottom w:w="0" w:type="dxa"/>
                    <w:right w:w="0" w:type="dxa"/>
                  </w:tcMar>
                  <w:vAlign w:val="center"/>
                </w:tcPr>
                <w:p w14:paraId="33913AB8">
                  <w:pPr>
                    <w:adjustRightInd w:val="0"/>
                    <w:snapToGrid w:val="0"/>
                    <w:jc w:val="center"/>
                    <w:rPr>
                      <w:rFonts w:hint="eastAsia" w:eastAsia="宋体"/>
                      <w:color w:val="auto"/>
                      <w:szCs w:val="21"/>
                      <w:lang w:eastAsia="zh-CN"/>
                    </w:rPr>
                  </w:pPr>
                  <w:r>
                    <w:rPr>
                      <w:rFonts w:hint="eastAsia"/>
                      <w:color w:val="auto"/>
                      <w:lang w:val="en-US" w:eastAsia="zh-CN"/>
                    </w:rPr>
                    <w:t>/</w:t>
                  </w:r>
                </w:p>
              </w:tc>
            </w:tr>
            <w:tr w14:paraId="561A2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9" w:hRule="atLeast"/>
                <w:jc w:val="center"/>
              </w:trPr>
              <w:tc>
                <w:tcPr>
                  <w:tcW w:w="484" w:type="pct"/>
                  <w:vMerge w:val="continue"/>
                  <w:noWrap w:val="0"/>
                  <w:vAlign w:val="center"/>
                </w:tcPr>
                <w:p w14:paraId="61D4DED0">
                  <w:pPr>
                    <w:widowControl/>
                    <w:jc w:val="center"/>
                    <w:rPr>
                      <w:color w:val="auto"/>
                      <w:szCs w:val="21"/>
                    </w:rPr>
                  </w:pPr>
                </w:p>
              </w:tc>
              <w:tc>
                <w:tcPr>
                  <w:tcW w:w="351" w:type="pct"/>
                  <w:noWrap w:val="0"/>
                  <w:tcMar>
                    <w:top w:w="0" w:type="dxa"/>
                    <w:left w:w="0" w:type="dxa"/>
                    <w:bottom w:w="0" w:type="dxa"/>
                    <w:right w:w="0" w:type="dxa"/>
                  </w:tcMar>
                  <w:vAlign w:val="center"/>
                </w:tcPr>
                <w:p w14:paraId="02D73778">
                  <w:pPr>
                    <w:adjustRightInd w:val="0"/>
                    <w:snapToGrid w:val="0"/>
                    <w:jc w:val="center"/>
                    <w:rPr>
                      <w:color w:val="auto"/>
                      <w:szCs w:val="21"/>
                    </w:rPr>
                  </w:pPr>
                  <w:r>
                    <w:rPr>
                      <w:rFonts w:hint="eastAsia" w:ascii="宋体" w:hAnsi="宋体"/>
                      <w:color w:val="auto"/>
                    </w:rPr>
                    <w:t>—</w:t>
                  </w:r>
                </w:p>
              </w:tc>
              <w:tc>
                <w:tcPr>
                  <w:tcW w:w="607" w:type="pct"/>
                  <w:noWrap w:val="0"/>
                  <w:tcMar>
                    <w:top w:w="0" w:type="dxa"/>
                    <w:left w:w="0" w:type="dxa"/>
                    <w:bottom w:w="0" w:type="dxa"/>
                    <w:right w:w="0" w:type="dxa"/>
                  </w:tcMar>
                  <w:vAlign w:val="center"/>
                </w:tcPr>
                <w:p w14:paraId="46B566A3">
                  <w:pPr>
                    <w:adjustRightInd w:val="0"/>
                    <w:snapToGrid w:val="0"/>
                    <w:jc w:val="center"/>
                    <w:rPr>
                      <w:color w:val="auto"/>
                      <w:szCs w:val="21"/>
                    </w:rPr>
                  </w:pPr>
                  <w:r>
                    <w:rPr>
                      <w:color w:val="auto"/>
                    </w:rPr>
                    <w:t>雨水管道</w:t>
                  </w:r>
                </w:p>
              </w:tc>
              <w:tc>
                <w:tcPr>
                  <w:tcW w:w="703" w:type="pct"/>
                  <w:noWrap w:val="0"/>
                  <w:tcMar>
                    <w:top w:w="0" w:type="dxa"/>
                    <w:left w:w="0" w:type="dxa"/>
                    <w:bottom w:w="0" w:type="dxa"/>
                    <w:right w:w="0" w:type="dxa"/>
                  </w:tcMar>
                  <w:vAlign w:val="center"/>
                </w:tcPr>
                <w:p w14:paraId="3380E5AA">
                  <w:pPr>
                    <w:adjustRightInd w:val="0"/>
                    <w:snapToGrid w:val="0"/>
                    <w:jc w:val="center"/>
                    <w:rPr>
                      <w:color w:val="auto"/>
                      <w:szCs w:val="21"/>
                    </w:rPr>
                  </w:pPr>
                  <w:r>
                    <w:rPr>
                      <w:rFonts w:hint="eastAsia" w:ascii="宋体" w:hAnsi="宋体"/>
                      <w:color w:val="auto"/>
                    </w:rPr>
                    <w:t>/</w:t>
                  </w:r>
                </w:p>
              </w:tc>
              <w:tc>
                <w:tcPr>
                  <w:tcW w:w="597" w:type="pct"/>
                  <w:noWrap w:val="0"/>
                  <w:vAlign w:val="center"/>
                </w:tcPr>
                <w:p w14:paraId="09B6FADE">
                  <w:pPr>
                    <w:widowControl/>
                    <w:jc w:val="center"/>
                    <w:rPr>
                      <w:rFonts w:hint="eastAsia" w:eastAsia="宋体"/>
                      <w:color w:val="auto"/>
                      <w:szCs w:val="21"/>
                      <w:lang w:val="en-US" w:eastAsia="zh-CN"/>
                    </w:rPr>
                  </w:pPr>
                  <w:r>
                    <w:rPr>
                      <w:rFonts w:hint="eastAsia"/>
                      <w:color w:val="auto"/>
                      <w:szCs w:val="21"/>
                      <w:lang w:val="en-US" w:eastAsia="zh-CN"/>
                    </w:rPr>
                    <w:t>/</w:t>
                  </w:r>
                </w:p>
              </w:tc>
              <w:tc>
                <w:tcPr>
                  <w:tcW w:w="598" w:type="pct"/>
                  <w:vMerge w:val="continue"/>
                  <w:noWrap w:val="0"/>
                  <w:vAlign w:val="center"/>
                </w:tcPr>
                <w:p w14:paraId="00A611BC">
                  <w:pPr>
                    <w:widowControl/>
                    <w:jc w:val="center"/>
                    <w:rPr>
                      <w:color w:val="auto"/>
                      <w:szCs w:val="21"/>
                    </w:rPr>
                  </w:pPr>
                </w:p>
              </w:tc>
              <w:tc>
                <w:tcPr>
                  <w:tcW w:w="1211" w:type="pct"/>
                  <w:noWrap w:val="0"/>
                  <w:tcMar>
                    <w:top w:w="0" w:type="dxa"/>
                    <w:left w:w="0" w:type="dxa"/>
                    <w:bottom w:w="0" w:type="dxa"/>
                    <w:right w:w="0" w:type="dxa"/>
                  </w:tcMar>
                  <w:vAlign w:val="center"/>
                </w:tcPr>
                <w:p w14:paraId="18948957">
                  <w:pPr>
                    <w:adjustRightInd w:val="0"/>
                    <w:snapToGrid w:val="0"/>
                    <w:jc w:val="center"/>
                    <w:rPr>
                      <w:color w:val="auto"/>
                      <w:szCs w:val="21"/>
                    </w:rPr>
                  </w:pPr>
                  <w:r>
                    <w:rPr>
                      <w:rFonts w:hint="eastAsia" w:ascii="宋体" w:hAnsi="宋体"/>
                      <w:color w:val="auto"/>
                    </w:rPr>
                    <w:t>—</w:t>
                  </w:r>
                </w:p>
              </w:tc>
              <w:tc>
                <w:tcPr>
                  <w:tcW w:w="444" w:type="pct"/>
                  <w:vMerge w:val="continue"/>
                  <w:noWrap w:val="0"/>
                  <w:vAlign w:val="center"/>
                </w:tcPr>
                <w:p w14:paraId="4B75204E">
                  <w:pPr>
                    <w:widowControl/>
                    <w:jc w:val="center"/>
                    <w:rPr>
                      <w:color w:val="auto"/>
                      <w:szCs w:val="21"/>
                    </w:rPr>
                  </w:pPr>
                </w:p>
              </w:tc>
            </w:tr>
            <w:tr w14:paraId="65BD2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84" w:type="pct"/>
                  <w:noWrap w:val="0"/>
                  <w:tcMar>
                    <w:top w:w="0" w:type="dxa"/>
                    <w:left w:w="0" w:type="dxa"/>
                    <w:bottom w:w="0" w:type="dxa"/>
                    <w:right w:w="0" w:type="dxa"/>
                  </w:tcMar>
                  <w:vAlign w:val="center"/>
                </w:tcPr>
                <w:p w14:paraId="25CDEA82">
                  <w:pPr>
                    <w:adjustRightInd w:val="0"/>
                    <w:snapToGrid w:val="0"/>
                    <w:jc w:val="center"/>
                    <w:rPr>
                      <w:color w:val="auto"/>
                      <w:szCs w:val="21"/>
                    </w:rPr>
                  </w:pPr>
                  <w:r>
                    <w:rPr>
                      <w:color w:val="auto"/>
                    </w:rPr>
                    <w:t>合计</w:t>
                  </w:r>
                </w:p>
              </w:tc>
              <w:tc>
                <w:tcPr>
                  <w:tcW w:w="351" w:type="pct"/>
                  <w:noWrap w:val="0"/>
                  <w:tcMar>
                    <w:top w:w="0" w:type="dxa"/>
                    <w:left w:w="0" w:type="dxa"/>
                    <w:bottom w:w="0" w:type="dxa"/>
                    <w:right w:w="0" w:type="dxa"/>
                  </w:tcMar>
                  <w:vAlign w:val="center"/>
                </w:tcPr>
                <w:p w14:paraId="74EC5B23">
                  <w:pPr>
                    <w:adjustRightInd w:val="0"/>
                    <w:snapToGrid w:val="0"/>
                    <w:jc w:val="center"/>
                    <w:rPr>
                      <w:color w:val="auto"/>
                      <w:szCs w:val="21"/>
                    </w:rPr>
                  </w:pPr>
                  <w:r>
                    <w:rPr>
                      <w:rFonts w:hint="eastAsia" w:ascii="宋体" w:hAnsi="宋体"/>
                      <w:color w:val="auto"/>
                    </w:rPr>
                    <w:t>—</w:t>
                  </w:r>
                </w:p>
              </w:tc>
              <w:tc>
                <w:tcPr>
                  <w:tcW w:w="607" w:type="pct"/>
                  <w:noWrap w:val="0"/>
                  <w:tcMar>
                    <w:top w:w="0" w:type="dxa"/>
                    <w:left w:w="0" w:type="dxa"/>
                    <w:bottom w:w="0" w:type="dxa"/>
                    <w:right w:w="0" w:type="dxa"/>
                  </w:tcMar>
                  <w:vAlign w:val="center"/>
                </w:tcPr>
                <w:p w14:paraId="6C3D15EC">
                  <w:pPr>
                    <w:adjustRightInd w:val="0"/>
                    <w:snapToGrid w:val="0"/>
                    <w:jc w:val="center"/>
                    <w:rPr>
                      <w:color w:val="auto"/>
                      <w:szCs w:val="21"/>
                    </w:rPr>
                  </w:pPr>
                  <w:r>
                    <w:rPr>
                      <w:color w:val="auto"/>
                    </w:rPr>
                    <w:t>―</w:t>
                  </w:r>
                </w:p>
              </w:tc>
              <w:tc>
                <w:tcPr>
                  <w:tcW w:w="703" w:type="pct"/>
                  <w:noWrap w:val="0"/>
                  <w:tcMar>
                    <w:top w:w="0" w:type="dxa"/>
                    <w:left w:w="0" w:type="dxa"/>
                    <w:bottom w:w="0" w:type="dxa"/>
                    <w:right w:w="0" w:type="dxa"/>
                  </w:tcMar>
                  <w:vAlign w:val="center"/>
                </w:tcPr>
                <w:p w14:paraId="7E716ADF">
                  <w:pPr>
                    <w:adjustRightInd w:val="0"/>
                    <w:snapToGrid w:val="0"/>
                    <w:jc w:val="center"/>
                    <w:rPr>
                      <w:color w:val="auto"/>
                      <w:szCs w:val="21"/>
                    </w:rPr>
                  </w:pPr>
                  <w:r>
                    <w:rPr>
                      <w:rFonts w:hint="eastAsia" w:ascii="宋体" w:hAnsi="宋体"/>
                      <w:color w:val="auto"/>
                    </w:rPr>
                    <w:t>—</w:t>
                  </w:r>
                </w:p>
              </w:tc>
              <w:tc>
                <w:tcPr>
                  <w:tcW w:w="597" w:type="pct"/>
                  <w:noWrap w:val="0"/>
                  <w:tcMar>
                    <w:top w:w="0" w:type="dxa"/>
                    <w:left w:w="0" w:type="dxa"/>
                    <w:bottom w:w="0" w:type="dxa"/>
                    <w:right w:w="0" w:type="dxa"/>
                  </w:tcMar>
                  <w:vAlign w:val="center"/>
                </w:tcPr>
                <w:p w14:paraId="6339D0FC">
                  <w:pPr>
                    <w:adjustRightInd w:val="0"/>
                    <w:snapToGrid w:val="0"/>
                    <w:jc w:val="center"/>
                    <w:rPr>
                      <w:rFonts w:hint="default" w:eastAsia="宋体"/>
                      <w:color w:val="auto"/>
                      <w:lang w:val="en-US" w:eastAsia="zh-CN"/>
                    </w:rPr>
                  </w:pPr>
                  <w:r>
                    <w:rPr>
                      <w:rFonts w:hint="eastAsia"/>
                      <w:color w:val="auto"/>
                      <w:lang w:val="en-US" w:eastAsia="zh-CN"/>
                    </w:rPr>
                    <w:t>31</w:t>
                  </w:r>
                </w:p>
              </w:tc>
              <w:tc>
                <w:tcPr>
                  <w:tcW w:w="598" w:type="pct"/>
                  <w:noWrap w:val="0"/>
                  <w:tcMar>
                    <w:top w:w="0" w:type="dxa"/>
                    <w:left w:w="0" w:type="dxa"/>
                    <w:bottom w:w="0" w:type="dxa"/>
                    <w:right w:w="0" w:type="dxa"/>
                  </w:tcMar>
                  <w:vAlign w:val="center"/>
                </w:tcPr>
                <w:p w14:paraId="7B9E2CD5">
                  <w:pPr>
                    <w:adjustRightInd w:val="0"/>
                    <w:snapToGrid w:val="0"/>
                    <w:jc w:val="center"/>
                    <w:rPr>
                      <w:color w:val="auto"/>
                      <w:szCs w:val="21"/>
                    </w:rPr>
                  </w:pPr>
                  <w:r>
                    <w:rPr>
                      <w:color w:val="auto"/>
                    </w:rPr>
                    <w:t>―</w:t>
                  </w:r>
                </w:p>
              </w:tc>
              <w:tc>
                <w:tcPr>
                  <w:tcW w:w="1211" w:type="pct"/>
                  <w:noWrap w:val="0"/>
                  <w:tcMar>
                    <w:top w:w="0" w:type="dxa"/>
                    <w:left w:w="0" w:type="dxa"/>
                    <w:bottom w:w="0" w:type="dxa"/>
                    <w:right w:w="0" w:type="dxa"/>
                  </w:tcMar>
                  <w:vAlign w:val="center"/>
                </w:tcPr>
                <w:p w14:paraId="3752CEF9">
                  <w:pPr>
                    <w:adjustRightInd w:val="0"/>
                    <w:snapToGrid w:val="0"/>
                    <w:jc w:val="center"/>
                    <w:rPr>
                      <w:color w:val="auto"/>
                      <w:szCs w:val="21"/>
                    </w:rPr>
                  </w:pPr>
                  <w:r>
                    <w:rPr>
                      <w:rFonts w:hint="eastAsia" w:ascii="宋体" w:hAnsi="宋体"/>
                      <w:color w:val="auto"/>
                    </w:rPr>
                    <w:t>—</w:t>
                  </w:r>
                </w:p>
              </w:tc>
              <w:tc>
                <w:tcPr>
                  <w:tcW w:w="444" w:type="pct"/>
                  <w:noWrap w:val="0"/>
                  <w:tcMar>
                    <w:top w:w="0" w:type="dxa"/>
                    <w:left w:w="0" w:type="dxa"/>
                    <w:bottom w:w="0" w:type="dxa"/>
                    <w:right w:w="0" w:type="dxa"/>
                  </w:tcMar>
                  <w:vAlign w:val="center"/>
                </w:tcPr>
                <w:p w14:paraId="30ABE7CE">
                  <w:pPr>
                    <w:adjustRightInd w:val="0"/>
                    <w:snapToGrid w:val="0"/>
                    <w:jc w:val="center"/>
                    <w:rPr>
                      <w:color w:val="auto"/>
                      <w:szCs w:val="21"/>
                    </w:rPr>
                  </w:pPr>
                  <w:r>
                    <w:rPr>
                      <w:color w:val="auto"/>
                    </w:rPr>
                    <w:t>―</w:t>
                  </w:r>
                </w:p>
              </w:tc>
            </w:tr>
          </w:tbl>
          <w:p w14:paraId="3355F740">
            <w:pPr>
              <w:spacing w:line="360" w:lineRule="auto"/>
              <w:ind w:firstLine="480" w:firstLineChars="200"/>
              <w:contextualSpacing/>
              <w:rPr>
                <w:color w:val="auto"/>
                <w:sz w:val="24"/>
              </w:rPr>
            </w:pPr>
          </w:p>
        </w:tc>
      </w:tr>
    </w:tbl>
    <w:p w14:paraId="0B59D92B">
      <w:pPr>
        <w:adjustRightInd w:val="0"/>
        <w:snapToGrid w:val="0"/>
        <w:spacing w:line="360" w:lineRule="auto"/>
        <w:rPr>
          <w:b/>
          <w:kern w:val="0"/>
          <w:sz w:val="28"/>
          <w:szCs w:val="28"/>
        </w:rPr>
        <w:sectPr>
          <w:pgSz w:w="11907" w:h="16840"/>
          <w:pgMar w:top="1701" w:right="1531" w:bottom="2269" w:left="1531" w:header="851" w:footer="851" w:gutter="0"/>
          <w:pgBorders>
            <w:top w:val="none" w:sz="0" w:space="0"/>
            <w:left w:val="none" w:sz="0" w:space="0"/>
            <w:bottom w:val="none" w:sz="0" w:space="0"/>
            <w:right w:val="none" w:sz="0" w:space="0"/>
          </w:pgBorders>
          <w:cols w:space="720" w:num="1"/>
          <w:docGrid w:linePitch="312" w:charSpace="0"/>
        </w:sectPr>
      </w:pPr>
    </w:p>
    <w:p w14:paraId="7D9C7FB1">
      <w:pPr>
        <w:pStyle w:val="37"/>
        <w:jc w:val="center"/>
        <w:outlineLvl w:val="0"/>
        <w:rPr>
          <w:rFonts w:ascii="Times New Roman" w:hAnsi="Times New Roman"/>
          <w:b/>
          <w:snapToGrid w:val="0"/>
          <w:sz w:val="30"/>
          <w:szCs w:val="30"/>
        </w:rPr>
      </w:pPr>
      <w:bookmarkStart w:id="36" w:name="_Toc24527"/>
      <w:r>
        <w:rPr>
          <w:rFonts w:ascii="Times New Roman" w:hAnsi="Times New Roman"/>
          <w:b/>
          <w:snapToGrid w:val="0"/>
          <w:sz w:val="30"/>
          <w:szCs w:val="30"/>
        </w:rPr>
        <w:t>五、</w:t>
      </w:r>
      <w:bookmarkStart w:id="37" w:name="_Hlk54167917"/>
      <w:r>
        <w:rPr>
          <w:rFonts w:ascii="Times New Roman" w:hAnsi="Times New Roman"/>
          <w:b/>
          <w:snapToGrid w:val="0"/>
          <w:sz w:val="30"/>
          <w:szCs w:val="30"/>
        </w:rPr>
        <w:t>环境保护措施监督检查清单</w:t>
      </w:r>
      <w:bookmarkEnd w:id="36"/>
      <w:bookmarkEnd w:id="37"/>
    </w:p>
    <w:tbl>
      <w:tblPr>
        <w:tblStyle w:val="4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70"/>
        <w:gridCol w:w="1008"/>
        <w:gridCol w:w="1410"/>
        <w:gridCol w:w="1890"/>
        <w:gridCol w:w="2370"/>
      </w:tblGrid>
      <w:tr w14:paraId="0BC77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tcBorders>
              <w:tl2br w:val="single" w:color="auto" w:sz="4" w:space="0"/>
            </w:tcBorders>
          </w:tcPr>
          <w:p w14:paraId="39E4BB50">
            <w:pPr>
              <w:adjustRightInd w:val="0"/>
              <w:snapToGrid w:val="0"/>
              <w:ind w:left="840" w:leftChars="400" w:firstLine="0" w:firstLineChars="0"/>
              <w:rPr>
                <w:color w:val="auto"/>
                <w:szCs w:val="21"/>
              </w:rPr>
            </w:pPr>
            <w:r>
              <w:rPr>
                <w:color w:val="auto"/>
                <w:szCs w:val="21"/>
              </w:rPr>
              <w:t>内容</w:t>
            </w:r>
          </w:p>
          <w:p w14:paraId="0BC21A44">
            <w:pPr>
              <w:adjustRightInd w:val="0"/>
              <w:snapToGrid w:val="0"/>
              <w:rPr>
                <w:color w:val="auto"/>
                <w:szCs w:val="21"/>
              </w:rPr>
            </w:pPr>
            <w:r>
              <w:rPr>
                <w:color w:val="auto"/>
                <w:szCs w:val="21"/>
              </w:rPr>
              <w:t>要素</w:t>
            </w:r>
          </w:p>
        </w:tc>
        <w:tc>
          <w:tcPr>
            <w:tcW w:w="1878" w:type="dxa"/>
            <w:gridSpan w:val="2"/>
            <w:vAlign w:val="center"/>
          </w:tcPr>
          <w:p w14:paraId="4426167F">
            <w:pPr>
              <w:adjustRightInd w:val="0"/>
              <w:snapToGrid w:val="0"/>
              <w:jc w:val="center"/>
              <w:rPr>
                <w:color w:val="auto"/>
                <w:szCs w:val="21"/>
              </w:rPr>
            </w:pPr>
            <w:r>
              <w:rPr>
                <w:color w:val="auto"/>
                <w:szCs w:val="21"/>
              </w:rPr>
              <w:t>排放口(编号、</w:t>
            </w:r>
          </w:p>
          <w:p w14:paraId="02308CB7">
            <w:pPr>
              <w:adjustRightInd w:val="0"/>
              <w:snapToGrid w:val="0"/>
              <w:jc w:val="center"/>
              <w:rPr>
                <w:color w:val="auto"/>
                <w:szCs w:val="21"/>
              </w:rPr>
            </w:pPr>
            <w:r>
              <w:rPr>
                <w:color w:val="auto"/>
                <w:szCs w:val="21"/>
              </w:rPr>
              <w:t>名称)/污染源</w:t>
            </w:r>
          </w:p>
        </w:tc>
        <w:tc>
          <w:tcPr>
            <w:tcW w:w="1410" w:type="dxa"/>
            <w:vAlign w:val="center"/>
          </w:tcPr>
          <w:p w14:paraId="0F00274E">
            <w:pPr>
              <w:adjustRightInd w:val="0"/>
              <w:snapToGrid w:val="0"/>
              <w:jc w:val="center"/>
              <w:rPr>
                <w:color w:val="auto"/>
                <w:szCs w:val="21"/>
              </w:rPr>
            </w:pPr>
            <w:r>
              <w:rPr>
                <w:color w:val="auto"/>
                <w:szCs w:val="21"/>
              </w:rPr>
              <w:t>污染物项目</w:t>
            </w:r>
          </w:p>
        </w:tc>
        <w:tc>
          <w:tcPr>
            <w:tcW w:w="1890" w:type="dxa"/>
            <w:vAlign w:val="center"/>
          </w:tcPr>
          <w:p w14:paraId="796F94E7">
            <w:pPr>
              <w:adjustRightInd w:val="0"/>
              <w:snapToGrid w:val="0"/>
              <w:jc w:val="center"/>
              <w:rPr>
                <w:color w:val="auto"/>
                <w:szCs w:val="21"/>
              </w:rPr>
            </w:pPr>
            <w:r>
              <w:rPr>
                <w:color w:val="auto"/>
                <w:szCs w:val="21"/>
              </w:rPr>
              <w:t>环境保护措施</w:t>
            </w:r>
          </w:p>
        </w:tc>
        <w:tc>
          <w:tcPr>
            <w:tcW w:w="2370" w:type="dxa"/>
            <w:vAlign w:val="center"/>
          </w:tcPr>
          <w:p w14:paraId="15A066F0">
            <w:pPr>
              <w:adjustRightInd w:val="0"/>
              <w:snapToGrid w:val="0"/>
              <w:jc w:val="center"/>
              <w:rPr>
                <w:color w:val="auto"/>
                <w:szCs w:val="21"/>
              </w:rPr>
            </w:pPr>
            <w:r>
              <w:rPr>
                <w:color w:val="auto"/>
                <w:szCs w:val="21"/>
              </w:rPr>
              <w:t>执行标准</w:t>
            </w:r>
          </w:p>
        </w:tc>
      </w:tr>
      <w:tr w14:paraId="3C7BA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restart"/>
            <w:vAlign w:val="center"/>
          </w:tcPr>
          <w:p w14:paraId="5F0980B5">
            <w:pPr>
              <w:adjustRightInd w:val="0"/>
              <w:snapToGrid w:val="0"/>
              <w:jc w:val="center"/>
              <w:rPr>
                <w:color w:val="auto"/>
                <w:szCs w:val="21"/>
              </w:rPr>
            </w:pPr>
            <w:r>
              <w:rPr>
                <w:color w:val="auto"/>
                <w:szCs w:val="21"/>
              </w:rPr>
              <w:t>大气环境</w:t>
            </w:r>
          </w:p>
        </w:tc>
        <w:tc>
          <w:tcPr>
            <w:tcW w:w="870" w:type="dxa"/>
            <w:vAlign w:val="center"/>
          </w:tcPr>
          <w:p w14:paraId="62083EDD">
            <w:pPr>
              <w:adjustRightInd w:val="0"/>
              <w:snapToGrid w:val="0"/>
              <w:jc w:val="center"/>
              <w:rPr>
                <w:color w:val="auto"/>
                <w:szCs w:val="21"/>
              </w:rPr>
            </w:pPr>
            <w:r>
              <w:rPr>
                <w:color w:val="auto"/>
                <w:szCs w:val="21"/>
              </w:rPr>
              <w:t>DA001</w:t>
            </w:r>
          </w:p>
        </w:tc>
        <w:tc>
          <w:tcPr>
            <w:tcW w:w="1008" w:type="dxa"/>
            <w:vAlign w:val="center"/>
          </w:tcPr>
          <w:p w14:paraId="64E65425">
            <w:pPr>
              <w:adjustRightInd w:val="0"/>
              <w:snapToGrid w:val="0"/>
              <w:jc w:val="center"/>
              <w:rPr>
                <w:color w:val="auto"/>
                <w:szCs w:val="21"/>
              </w:rPr>
            </w:pPr>
            <w:r>
              <w:rPr>
                <w:rFonts w:hint="eastAsia"/>
                <w:color w:val="auto"/>
                <w:szCs w:val="21"/>
              </w:rPr>
              <w:t>调胶、涂胶、热压废气</w:t>
            </w:r>
          </w:p>
        </w:tc>
        <w:tc>
          <w:tcPr>
            <w:tcW w:w="1410" w:type="dxa"/>
            <w:vAlign w:val="center"/>
          </w:tcPr>
          <w:p w14:paraId="1243B696">
            <w:pPr>
              <w:adjustRightInd w:val="0"/>
              <w:snapToGrid w:val="0"/>
              <w:jc w:val="center"/>
              <w:rPr>
                <w:rFonts w:hint="eastAsia" w:eastAsia="宋体"/>
                <w:color w:val="auto"/>
                <w:szCs w:val="21"/>
                <w:lang w:eastAsia="zh-CN"/>
              </w:rPr>
            </w:pPr>
            <w:r>
              <w:rPr>
                <w:color w:val="auto"/>
                <w:szCs w:val="21"/>
              </w:rPr>
              <w:t>颗粒物</w:t>
            </w:r>
            <w:r>
              <w:rPr>
                <w:rFonts w:hint="eastAsia"/>
                <w:color w:val="auto"/>
                <w:szCs w:val="21"/>
              </w:rPr>
              <w:t>、</w:t>
            </w:r>
            <w:r>
              <w:rPr>
                <w:color w:val="auto"/>
                <w:szCs w:val="21"/>
              </w:rPr>
              <w:t>非甲烷总烃</w:t>
            </w:r>
            <w:r>
              <w:rPr>
                <w:rFonts w:hint="eastAsia"/>
                <w:color w:val="auto"/>
                <w:szCs w:val="21"/>
              </w:rPr>
              <w:t>、</w:t>
            </w:r>
            <w:r>
              <w:rPr>
                <w:color w:val="auto"/>
                <w:szCs w:val="21"/>
              </w:rPr>
              <w:t>甲醛</w:t>
            </w:r>
            <w:r>
              <w:rPr>
                <w:rFonts w:hint="eastAsia"/>
                <w:color w:val="auto"/>
                <w:szCs w:val="21"/>
                <w:lang w:eastAsia="zh-CN"/>
              </w:rPr>
              <w:t>、氨、臭气浓度</w:t>
            </w:r>
          </w:p>
        </w:tc>
        <w:tc>
          <w:tcPr>
            <w:tcW w:w="1890" w:type="dxa"/>
            <w:vAlign w:val="center"/>
          </w:tcPr>
          <w:p w14:paraId="6AB23ABA">
            <w:pPr>
              <w:adjustRightInd w:val="0"/>
              <w:snapToGrid w:val="0"/>
              <w:jc w:val="center"/>
              <w:rPr>
                <w:color w:val="auto"/>
                <w:szCs w:val="21"/>
              </w:rPr>
            </w:pPr>
            <w:r>
              <w:rPr>
                <w:rFonts w:hint="eastAsia"/>
                <w:color w:val="auto"/>
                <w:szCs w:val="21"/>
              </w:rPr>
              <w:t>1套</w:t>
            </w:r>
            <w:r>
              <w:rPr>
                <w:rFonts w:hint="eastAsia"/>
                <w:color w:val="auto"/>
                <w:szCs w:val="21"/>
                <w:lang w:eastAsia="zh-CN"/>
              </w:rPr>
              <w:t>集气罩</w:t>
            </w:r>
            <w:r>
              <w:rPr>
                <w:rFonts w:hint="eastAsia"/>
                <w:color w:val="auto"/>
                <w:szCs w:val="21"/>
                <w:lang w:val="en-US" w:eastAsia="zh-CN"/>
              </w:rPr>
              <w:t>+</w:t>
            </w:r>
            <w:r>
              <w:rPr>
                <w:rFonts w:hint="eastAsia"/>
                <w:color w:val="auto"/>
                <w:szCs w:val="21"/>
                <w:lang w:eastAsia="zh-CN"/>
              </w:rPr>
              <w:t>水喷淋</w:t>
            </w:r>
            <w:r>
              <w:rPr>
                <w:rFonts w:hint="eastAsia"/>
                <w:color w:val="auto"/>
                <w:szCs w:val="21"/>
                <w:lang w:val="en-US" w:eastAsia="zh-CN"/>
              </w:rPr>
              <w:t>+布袋除尘+</w:t>
            </w:r>
            <w:r>
              <w:rPr>
                <w:rFonts w:hint="eastAsia"/>
                <w:color w:val="auto"/>
                <w:szCs w:val="21"/>
              </w:rPr>
              <w:t xml:space="preserve">二级活性炭装置+15m高（DA001）排气筒 </w:t>
            </w:r>
          </w:p>
        </w:tc>
        <w:tc>
          <w:tcPr>
            <w:tcW w:w="2370" w:type="dxa"/>
            <w:vAlign w:val="center"/>
          </w:tcPr>
          <w:p w14:paraId="432A02D8">
            <w:pPr>
              <w:adjustRightInd w:val="0"/>
              <w:snapToGrid w:val="0"/>
              <w:jc w:val="center"/>
              <w:rPr>
                <w:rFonts w:hint="eastAsia"/>
                <w:color w:val="auto"/>
                <w:kern w:val="0"/>
                <w:szCs w:val="21"/>
              </w:rPr>
            </w:pPr>
            <w:r>
              <w:rPr>
                <w:rFonts w:hint="eastAsia" w:eastAsiaTheme="minorEastAsia"/>
                <w:color w:val="auto"/>
                <w:szCs w:val="21"/>
              </w:rPr>
              <w:t>《木材加工行业大气污染物排放标准》（DB32/4436-2022）</w:t>
            </w:r>
            <w:r>
              <w:rPr>
                <w:rFonts w:hint="eastAsia"/>
                <w:color w:val="auto"/>
                <w:kern w:val="0"/>
                <w:szCs w:val="21"/>
              </w:rPr>
              <w:t>表</w:t>
            </w:r>
            <w:r>
              <w:rPr>
                <w:color w:val="auto"/>
                <w:kern w:val="0"/>
                <w:szCs w:val="21"/>
              </w:rPr>
              <w:t>1</w:t>
            </w:r>
            <w:r>
              <w:rPr>
                <w:rFonts w:hint="eastAsia"/>
                <w:color w:val="auto"/>
                <w:kern w:val="0"/>
                <w:szCs w:val="21"/>
              </w:rPr>
              <w:t>中标准限值</w:t>
            </w:r>
          </w:p>
          <w:p w14:paraId="4D1D2101">
            <w:pPr>
              <w:pStyle w:val="30"/>
              <w:jc w:val="center"/>
              <w:rPr>
                <w:color w:val="auto"/>
              </w:rPr>
            </w:pPr>
            <w:r>
              <w:rPr>
                <w:rFonts w:hint="default" w:ascii="Times New Roman" w:hAnsi="Times New Roman" w:cs="Times New Roman" w:eastAsiaTheme="minorEastAsia"/>
                <w:color w:val="auto"/>
                <w:kern w:val="2"/>
                <w:sz w:val="21"/>
                <w:szCs w:val="21"/>
                <w:lang w:val="en-US" w:eastAsia="zh-CN" w:bidi="ar-SA"/>
              </w:rPr>
              <w:t>《恶臭污染物排放标准》表2</w:t>
            </w:r>
          </w:p>
        </w:tc>
      </w:tr>
      <w:tr w14:paraId="7BC57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continue"/>
            <w:vAlign w:val="center"/>
          </w:tcPr>
          <w:p w14:paraId="0508DAB0">
            <w:pPr>
              <w:adjustRightInd w:val="0"/>
              <w:snapToGrid w:val="0"/>
              <w:jc w:val="center"/>
              <w:rPr>
                <w:color w:val="auto"/>
                <w:szCs w:val="21"/>
              </w:rPr>
            </w:pPr>
          </w:p>
        </w:tc>
        <w:tc>
          <w:tcPr>
            <w:tcW w:w="870" w:type="dxa"/>
            <w:vAlign w:val="center"/>
          </w:tcPr>
          <w:p w14:paraId="393FA4C8">
            <w:pPr>
              <w:adjustRightInd w:val="0"/>
              <w:snapToGrid w:val="0"/>
              <w:jc w:val="center"/>
              <w:rPr>
                <w:rFonts w:hint="eastAsia" w:eastAsia="宋体"/>
                <w:color w:val="auto"/>
                <w:szCs w:val="21"/>
                <w:lang w:eastAsia="zh-CN"/>
              </w:rPr>
            </w:pPr>
            <w:r>
              <w:rPr>
                <w:rFonts w:hint="eastAsia"/>
                <w:color w:val="auto"/>
                <w:szCs w:val="21"/>
              </w:rPr>
              <w:t>DA00</w:t>
            </w:r>
            <w:r>
              <w:rPr>
                <w:rFonts w:hint="eastAsia"/>
                <w:color w:val="auto"/>
                <w:szCs w:val="21"/>
                <w:lang w:val="en-US" w:eastAsia="zh-CN"/>
              </w:rPr>
              <w:t>2</w:t>
            </w:r>
          </w:p>
        </w:tc>
        <w:tc>
          <w:tcPr>
            <w:tcW w:w="1008" w:type="dxa"/>
            <w:vAlign w:val="center"/>
          </w:tcPr>
          <w:p w14:paraId="15F46ABF">
            <w:pPr>
              <w:adjustRightInd w:val="0"/>
              <w:snapToGrid w:val="0"/>
              <w:jc w:val="center"/>
              <w:rPr>
                <w:color w:val="auto"/>
                <w:szCs w:val="21"/>
              </w:rPr>
            </w:pPr>
            <w:r>
              <w:rPr>
                <w:rFonts w:hint="eastAsia"/>
                <w:color w:val="auto"/>
                <w:szCs w:val="21"/>
              </w:rPr>
              <w:t>旋切、锯边、砂光粉尘</w:t>
            </w:r>
          </w:p>
        </w:tc>
        <w:tc>
          <w:tcPr>
            <w:tcW w:w="1410" w:type="dxa"/>
            <w:vAlign w:val="center"/>
          </w:tcPr>
          <w:p w14:paraId="64C8ED6C">
            <w:pPr>
              <w:adjustRightInd w:val="0"/>
              <w:snapToGrid w:val="0"/>
              <w:jc w:val="center"/>
              <w:rPr>
                <w:color w:val="auto"/>
                <w:szCs w:val="21"/>
              </w:rPr>
            </w:pPr>
            <w:r>
              <w:rPr>
                <w:color w:val="auto"/>
                <w:szCs w:val="21"/>
              </w:rPr>
              <w:t>颗粒物</w:t>
            </w:r>
          </w:p>
        </w:tc>
        <w:tc>
          <w:tcPr>
            <w:tcW w:w="1890" w:type="dxa"/>
            <w:vAlign w:val="center"/>
          </w:tcPr>
          <w:p w14:paraId="02652D3D">
            <w:pPr>
              <w:adjustRightInd w:val="0"/>
              <w:snapToGrid w:val="0"/>
              <w:jc w:val="center"/>
              <w:rPr>
                <w:color w:val="auto"/>
                <w:szCs w:val="21"/>
              </w:rPr>
            </w:pPr>
            <w:r>
              <w:rPr>
                <w:rFonts w:hint="eastAsia"/>
                <w:color w:val="auto"/>
                <w:szCs w:val="21"/>
              </w:rPr>
              <w:t>1套</w:t>
            </w:r>
            <w:r>
              <w:rPr>
                <w:rFonts w:hint="eastAsia"/>
                <w:color w:val="auto"/>
                <w:szCs w:val="21"/>
                <w:lang w:eastAsia="zh-CN"/>
              </w:rPr>
              <w:t>集气罩</w:t>
            </w:r>
            <w:r>
              <w:rPr>
                <w:rFonts w:hint="eastAsia"/>
                <w:color w:val="auto"/>
                <w:szCs w:val="21"/>
                <w:lang w:val="en-US" w:eastAsia="zh-CN"/>
              </w:rPr>
              <w:t>+</w:t>
            </w:r>
            <w:r>
              <w:rPr>
                <w:rFonts w:hint="eastAsia"/>
                <w:color w:val="auto"/>
                <w:szCs w:val="21"/>
              </w:rPr>
              <w:t>布袋除尘器+15m高（DA00</w:t>
            </w:r>
            <w:r>
              <w:rPr>
                <w:rFonts w:hint="eastAsia"/>
                <w:color w:val="auto"/>
                <w:szCs w:val="21"/>
                <w:lang w:val="en-US" w:eastAsia="zh-CN"/>
              </w:rPr>
              <w:t>2</w:t>
            </w:r>
            <w:r>
              <w:rPr>
                <w:rFonts w:hint="eastAsia"/>
                <w:color w:val="auto"/>
                <w:szCs w:val="21"/>
              </w:rPr>
              <w:t>）排气筒</w:t>
            </w:r>
          </w:p>
        </w:tc>
        <w:tc>
          <w:tcPr>
            <w:tcW w:w="2370" w:type="dxa"/>
            <w:vAlign w:val="center"/>
          </w:tcPr>
          <w:p w14:paraId="0DF53591">
            <w:pPr>
              <w:adjustRightInd w:val="0"/>
              <w:snapToGrid w:val="0"/>
              <w:jc w:val="center"/>
              <w:rPr>
                <w:color w:val="auto"/>
                <w:szCs w:val="21"/>
              </w:rPr>
            </w:pPr>
            <w:r>
              <w:rPr>
                <w:rFonts w:hint="eastAsia" w:eastAsiaTheme="minorEastAsia"/>
                <w:color w:val="auto"/>
                <w:szCs w:val="21"/>
              </w:rPr>
              <w:t>《木材加工行业大气污染物排放标准》（DB32/4436-2022）</w:t>
            </w:r>
            <w:r>
              <w:rPr>
                <w:rFonts w:hint="eastAsia"/>
                <w:color w:val="auto"/>
                <w:kern w:val="0"/>
                <w:szCs w:val="21"/>
              </w:rPr>
              <w:t>表</w:t>
            </w:r>
            <w:r>
              <w:rPr>
                <w:color w:val="auto"/>
                <w:kern w:val="0"/>
                <w:szCs w:val="21"/>
              </w:rPr>
              <w:t>1</w:t>
            </w:r>
            <w:r>
              <w:rPr>
                <w:rFonts w:hint="eastAsia"/>
                <w:color w:val="auto"/>
                <w:kern w:val="0"/>
                <w:szCs w:val="21"/>
              </w:rPr>
              <w:t>中标准限值</w:t>
            </w:r>
          </w:p>
        </w:tc>
      </w:tr>
      <w:tr w14:paraId="521D4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continue"/>
            <w:vAlign w:val="center"/>
          </w:tcPr>
          <w:p w14:paraId="615AE2FB">
            <w:pPr>
              <w:adjustRightInd w:val="0"/>
              <w:snapToGrid w:val="0"/>
              <w:jc w:val="center"/>
              <w:rPr>
                <w:color w:val="auto"/>
                <w:szCs w:val="21"/>
              </w:rPr>
            </w:pPr>
          </w:p>
        </w:tc>
        <w:tc>
          <w:tcPr>
            <w:tcW w:w="870" w:type="dxa"/>
            <w:vMerge w:val="restart"/>
            <w:vAlign w:val="center"/>
          </w:tcPr>
          <w:p w14:paraId="4EF5C5AE">
            <w:pPr>
              <w:adjustRightInd w:val="0"/>
              <w:snapToGrid w:val="0"/>
              <w:jc w:val="center"/>
              <w:rPr>
                <w:rFonts w:hint="eastAsia" w:eastAsia="宋体"/>
                <w:color w:val="auto"/>
                <w:szCs w:val="21"/>
                <w:lang w:eastAsia="zh-CN"/>
              </w:rPr>
            </w:pPr>
            <w:r>
              <w:rPr>
                <w:rFonts w:hint="eastAsia"/>
                <w:color w:val="auto"/>
                <w:szCs w:val="21"/>
                <w:lang w:eastAsia="zh-CN"/>
              </w:rPr>
              <w:t>无组织</w:t>
            </w:r>
          </w:p>
        </w:tc>
        <w:tc>
          <w:tcPr>
            <w:tcW w:w="1008" w:type="dxa"/>
            <w:vAlign w:val="center"/>
          </w:tcPr>
          <w:p w14:paraId="7787218C">
            <w:pPr>
              <w:adjustRightInd w:val="0"/>
              <w:snapToGrid w:val="0"/>
              <w:jc w:val="center"/>
              <w:rPr>
                <w:rFonts w:hint="eastAsia" w:eastAsia="宋体"/>
                <w:color w:val="auto"/>
                <w:szCs w:val="21"/>
                <w:lang w:eastAsia="zh-CN"/>
              </w:rPr>
            </w:pPr>
            <w:r>
              <w:rPr>
                <w:rFonts w:hint="eastAsia"/>
                <w:color w:val="auto"/>
                <w:szCs w:val="21"/>
              </w:rPr>
              <w:t>旋切、锯边、砂光粉尘</w:t>
            </w:r>
          </w:p>
        </w:tc>
        <w:tc>
          <w:tcPr>
            <w:tcW w:w="1410" w:type="dxa"/>
            <w:vAlign w:val="center"/>
          </w:tcPr>
          <w:p w14:paraId="2ECBD9D7">
            <w:pPr>
              <w:adjustRightInd w:val="0"/>
              <w:snapToGrid w:val="0"/>
              <w:jc w:val="center"/>
              <w:rPr>
                <w:color w:val="auto"/>
                <w:szCs w:val="21"/>
              </w:rPr>
            </w:pPr>
            <w:r>
              <w:rPr>
                <w:color w:val="auto"/>
                <w:szCs w:val="21"/>
              </w:rPr>
              <w:t>颗粒物</w:t>
            </w:r>
          </w:p>
        </w:tc>
        <w:tc>
          <w:tcPr>
            <w:tcW w:w="1890" w:type="dxa"/>
            <w:vMerge w:val="restart"/>
            <w:vAlign w:val="center"/>
          </w:tcPr>
          <w:p w14:paraId="623C42C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加强车间密闭</w:t>
            </w:r>
          </w:p>
        </w:tc>
        <w:tc>
          <w:tcPr>
            <w:tcW w:w="2370" w:type="dxa"/>
            <w:vAlign w:val="center"/>
          </w:tcPr>
          <w:p w14:paraId="3E961EFD">
            <w:pPr>
              <w:adjustRightInd w:val="0"/>
              <w:snapToGrid w:val="0"/>
              <w:jc w:val="center"/>
              <w:rPr>
                <w:rFonts w:hint="eastAsia" w:eastAsiaTheme="minorEastAsia"/>
                <w:color w:val="auto"/>
                <w:szCs w:val="21"/>
              </w:rPr>
            </w:pPr>
            <w:r>
              <w:rPr>
                <w:color w:val="auto"/>
                <w:szCs w:val="21"/>
              </w:rPr>
              <w:t>江苏省地方标准《大气污染物综合排放标准》（DB32/4041-2021）表3</w:t>
            </w:r>
          </w:p>
        </w:tc>
      </w:tr>
      <w:tr w14:paraId="2F1AD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continue"/>
            <w:vAlign w:val="center"/>
          </w:tcPr>
          <w:p w14:paraId="0E1DE773">
            <w:pPr>
              <w:adjustRightInd w:val="0"/>
              <w:snapToGrid w:val="0"/>
              <w:jc w:val="center"/>
              <w:rPr>
                <w:color w:val="auto"/>
                <w:szCs w:val="21"/>
              </w:rPr>
            </w:pPr>
          </w:p>
        </w:tc>
        <w:tc>
          <w:tcPr>
            <w:tcW w:w="870" w:type="dxa"/>
            <w:vMerge w:val="continue"/>
            <w:vAlign w:val="center"/>
          </w:tcPr>
          <w:p w14:paraId="584562D5">
            <w:pPr>
              <w:adjustRightInd w:val="0"/>
              <w:snapToGrid w:val="0"/>
              <w:jc w:val="center"/>
              <w:rPr>
                <w:rFonts w:hint="eastAsia"/>
                <w:color w:val="auto"/>
                <w:szCs w:val="21"/>
                <w:lang w:eastAsia="zh-CN"/>
              </w:rPr>
            </w:pPr>
          </w:p>
        </w:tc>
        <w:tc>
          <w:tcPr>
            <w:tcW w:w="1008" w:type="dxa"/>
            <w:vMerge w:val="restart"/>
            <w:vAlign w:val="center"/>
          </w:tcPr>
          <w:p w14:paraId="664A4255">
            <w:pPr>
              <w:adjustRightInd w:val="0"/>
              <w:snapToGrid w:val="0"/>
              <w:jc w:val="center"/>
              <w:rPr>
                <w:rFonts w:hint="eastAsia"/>
                <w:color w:val="auto"/>
                <w:szCs w:val="21"/>
              </w:rPr>
            </w:pPr>
            <w:r>
              <w:rPr>
                <w:rFonts w:hint="eastAsia"/>
                <w:color w:val="auto"/>
                <w:szCs w:val="21"/>
              </w:rPr>
              <w:t>调胶、涂胶、热压废气</w:t>
            </w:r>
          </w:p>
        </w:tc>
        <w:tc>
          <w:tcPr>
            <w:tcW w:w="1410" w:type="dxa"/>
            <w:vAlign w:val="center"/>
          </w:tcPr>
          <w:p w14:paraId="558DF95C">
            <w:pPr>
              <w:adjustRightInd w:val="0"/>
              <w:snapToGrid w:val="0"/>
              <w:jc w:val="center"/>
              <w:rPr>
                <w:color w:val="auto"/>
                <w:szCs w:val="21"/>
              </w:rPr>
            </w:pPr>
            <w:r>
              <w:rPr>
                <w:color w:val="auto"/>
                <w:szCs w:val="21"/>
              </w:rPr>
              <w:t>非甲烷总烃</w:t>
            </w:r>
            <w:r>
              <w:rPr>
                <w:rFonts w:hint="eastAsia"/>
                <w:color w:val="auto"/>
                <w:szCs w:val="21"/>
              </w:rPr>
              <w:t>、</w:t>
            </w:r>
            <w:r>
              <w:rPr>
                <w:color w:val="auto"/>
                <w:szCs w:val="21"/>
              </w:rPr>
              <w:t>甲醛</w:t>
            </w:r>
          </w:p>
        </w:tc>
        <w:tc>
          <w:tcPr>
            <w:tcW w:w="1890" w:type="dxa"/>
            <w:vMerge w:val="continue"/>
            <w:vAlign w:val="center"/>
          </w:tcPr>
          <w:p w14:paraId="6FBA6679">
            <w:pPr>
              <w:adjustRightInd w:val="0"/>
              <w:snapToGrid w:val="0"/>
              <w:jc w:val="center"/>
              <w:rPr>
                <w:color w:val="auto"/>
                <w:szCs w:val="21"/>
              </w:rPr>
            </w:pPr>
          </w:p>
        </w:tc>
        <w:tc>
          <w:tcPr>
            <w:tcW w:w="2370" w:type="dxa"/>
            <w:vAlign w:val="center"/>
          </w:tcPr>
          <w:p w14:paraId="71FE10D8">
            <w:pPr>
              <w:adjustRightInd w:val="0"/>
              <w:snapToGrid w:val="0"/>
              <w:jc w:val="center"/>
              <w:rPr>
                <w:color w:val="auto"/>
                <w:szCs w:val="21"/>
              </w:rPr>
            </w:pPr>
            <w:r>
              <w:rPr>
                <w:color w:val="auto"/>
                <w:szCs w:val="21"/>
              </w:rPr>
              <w:t>江苏省地方标准《木</w:t>
            </w:r>
          </w:p>
          <w:p w14:paraId="03585C83">
            <w:pPr>
              <w:adjustRightInd w:val="0"/>
              <w:snapToGrid w:val="0"/>
              <w:jc w:val="center"/>
              <w:rPr>
                <w:rFonts w:hint="eastAsia" w:eastAsiaTheme="minorEastAsia"/>
                <w:color w:val="auto"/>
                <w:szCs w:val="21"/>
              </w:rPr>
            </w:pPr>
            <w:r>
              <w:rPr>
                <w:color w:val="auto"/>
                <w:szCs w:val="21"/>
              </w:rPr>
              <w:t>材加工行业大气污染物排放标准》（DB32</w:t>
            </w:r>
            <w:r>
              <w:rPr>
                <w:rFonts w:hint="eastAsia"/>
                <w:color w:val="auto"/>
                <w:szCs w:val="21"/>
              </w:rPr>
              <w:t>/</w:t>
            </w:r>
            <w:r>
              <w:rPr>
                <w:color w:val="auto"/>
                <w:szCs w:val="21"/>
              </w:rPr>
              <w:t>436-2022）表4</w:t>
            </w:r>
          </w:p>
        </w:tc>
      </w:tr>
      <w:tr w14:paraId="11B61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continue"/>
            <w:vAlign w:val="center"/>
          </w:tcPr>
          <w:p w14:paraId="7BE2F1F4">
            <w:pPr>
              <w:adjustRightInd w:val="0"/>
              <w:snapToGrid w:val="0"/>
              <w:jc w:val="center"/>
              <w:rPr>
                <w:color w:val="auto"/>
                <w:szCs w:val="21"/>
              </w:rPr>
            </w:pPr>
          </w:p>
        </w:tc>
        <w:tc>
          <w:tcPr>
            <w:tcW w:w="870" w:type="dxa"/>
            <w:vMerge w:val="continue"/>
            <w:vAlign w:val="center"/>
          </w:tcPr>
          <w:p w14:paraId="6045D3B2">
            <w:pPr>
              <w:adjustRightInd w:val="0"/>
              <w:snapToGrid w:val="0"/>
              <w:jc w:val="center"/>
              <w:rPr>
                <w:rFonts w:hint="eastAsia"/>
                <w:color w:val="auto"/>
                <w:szCs w:val="21"/>
                <w:lang w:eastAsia="zh-CN"/>
              </w:rPr>
            </w:pPr>
          </w:p>
        </w:tc>
        <w:tc>
          <w:tcPr>
            <w:tcW w:w="1008" w:type="dxa"/>
            <w:vMerge w:val="continue"/>
            <w:vAlign w:val="center"/>
          </w:tcPr>
          <w:p w14:paraId="0A47CFB0">
            <w:pPr>
              <w:adjustRightInd w:val="0"/>
              <w:snapToGrid w:val="0"/>
              <w:jc w:val="center"/>
              <w:rPr>
                <w:rFonts w:hint="eastAsia"/>
                <w:color w:val="auto"/>
                <w:szCs w:val="21"/>
              </w:rPr>
            </w:pPr>
          </w:p>
        </w:tc>
        <w:tc>
          <w:tcPr>
            <w:tcW w:w="1410" w:type="dxa"/>
            <w:vAlign w:val="center"/>
          </w:tcPr>
          <w:p w14:paraId="27284F5A">
            <w:pPr>
              <w:adjustRightInd w:val="0"/>
              <w:snapToGrid w:val="0"/>
              <w:jc w:val="center"/>
              <w:rPr>
                <w:color w:val="auto"/>
                <w:szCs w:val="21"/>
              </w:rPr>
            </w:pPr>
            <w:r>
              <w:rPr>
                <w:rFonts w:hint="eastAsia"/>
                <w:color w:val="auto"/>
                <w:szCs w:val="21"/>
                <w:lang w:eastAsia="zh-CN"/>
              </w:rPr>
              <w:t>氨、臭气浓度</w:t>
            </w:r>
          </w:p>
        </w:tc>
        <w:tc>
          <w:tcPr>
            <w:tcW w:w="1890" w:type="dxa"/>
            <w:vMerge w:val="continue"/>
            <w:vAlign w:val="center"/>
          </w:tcPr>
          <w:p w14:paraId="55EA6A2B">
            <w:pPr>
              <w:adjustRightInd w:val="0"/>
              <w:snapToGrid w:val="0"/>
              <w:jc w:val="center"/>
              <w:rPr>
                <w:color w:val="auto"/>
                <w:szCs w:val="21"/>
              </w:rPr>
            </w:pPr>
          </w:p>
        </w:tc>
        <w:tc>
          <w:tcPr>
            <w:tcW w:w="2370" w:type="dxa"/>
            <w:vAlign w:val="center"/>
          </w:tcPr>
          <w:p w14:paraId="1B6876DD">
            <w:pPr>
              <w:adjustRightInd w:val="0"/>
              <w:snapToGrid w:val="0"/>
              <w:jc w:val="center"/>
              <w:rPr>
                <w:rFonts w:hint="eastAsia" w:eastAsiaTheme="minorEastAsia"/>
                <w:color w:val="auto"/>
                <w:szCs w:val="21"/>
              </w:rPr>
            </w:pPr>
            <w:r>
              <w:rPr>
                <w:rFonts w:hint="eastAsia"/>
                <w:color w:val="auto"/>
                <w:szCs w:val="21"/>
              </w:rPr>
              <w:t>《恶臭污染物排放标准》</w:t>
            </w:r>
            <w:r>
              <w:rPr>
                <w:rFonts w:hint="default"/>
                <w:color w:val="auto"/>
                <w:szCs w:val="21"/>
              </w:rPr>
              <w:t>（GB14554-93）表</w:t>
            </w:r>
            <w:r>
              <w:rPr>
                <w:rFonts w:hint="eastAsia"/>
                <w:color w:val="auto"/>
                <w:szCs w:val="21"/>
              </w:rPr>
              <w:t>1厂界标准值</w:t>
            </w:r>
          </w:p>
        </w:tc>
      </w:tr>
      <w:tr w14:paraId="5E13C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52" w:type="dxa"/>
            <w:vMerge w:val="continue"/>
            <w:vAlign w:val="center"/>
          </w:tcPr>
          <w:p w14:paraId="339AEA49">
            <w:pPr>
              <w:adjustRightInd w:val="0"/>
              <w:snapToGrid w:val="0"/>
              <w:jc w:val="center"/>
              <w:rPr>
                <w:color w:val="auto"/>
                <w:szCs w:val="21"/>
              </w:rPr>
            </w:pPr>
          </w:p>
        </w:tc>
        <w:tc>
          <w:tcPr>
            <w:tcW w:w="870" w:type="dxa"/>
            <w:vMerge w:val="restart"/>
            <w:vAlign w:val="center"/>
          </w:tcPr>
          <w:p w14:paraId="0427E26E">
            <w:pPr>
              <w:adjustRightInd w:val="0"/>
              <w:snapToGrid w:val="0"/>
              <w:jc w:val="center"/>
              <w:rPr>
                <w:rFonts w:hint="eastAsia"/>
                <w:color w:val="auto"/>
                <w:szCs w:val="21"/>
              </w:rPr>
            </w:pPr>
            <w:r>
              <w:rPr>
                <w:rFonts w:eastAsiaTheme="minorEastAsia"/>
                <w:color w:val="auto"/>
                <w:szCs w:val="21"/>
              </w:rPr>
              <w:t>厂区内</w:t>
            </w:r>
          </w:p>
        </w:tc>
        <w:tc>
          <w:tcPr>
            <w:tcW w:w="2418" w:type="dxa"/>
            <w:gridSpan w:val="2"/>
            <w:vAlign w:val="center"/>
          </w:tcPr>
          <w:p w14:paraId="0BDAAC50">
            <w:pPr>
              <w:adjustRightInd w:val="0"/>
              <w:snapToGrid w:val="0"/>
              <w:jc w:val="center"/>
              <w:rPr>
                <w:color w:val="auto"/>
                <w:szCs w:val="21"/>
              </w:rPr>
            </w:pPr>
            <w:r>
              <w:rPr>
                <w:rFonts w:eastAsiaTheme="minorEastAsia"/>
                <w:color w:val="auto"/>
                <w:szCs w:val="21"/>
              </w:rPr>
              <w:t>甲醛</w:t>
            </w:r>
          </w:p>
        </w:tc>
        <w:tc>
          <w:tcPr>
            <w:tcW w:w="1890" w:type="dxa"/>
            <w:vMerge w:val="continue"/>
            <w:vAlign w:val="center"/>
          </w:tcPr>
          <w:p w14:paraId="6EDD32BF">
            <w:pPr>
              <w:adjustRightInd w:val="0"/>
              <w:snapToGrid w:val="0"/>
              <w:jc w:val="center"/>
              <w:rPr>
                <w:rFonts w:hint="eastAsia"/>
                <w:color w:val="auto"/>
                <w:szCs w:val="21"/>
              </w:rPr>
            </w:pPr>
          </w:p>
        </w:tc>
        <w:tc>
          <w:tcPr>
            <w:tcW w:w="2370" w:type="dxa"/>
            <w:vMerge w:val="restart"/>
            <w:vAlign w:val="center"/>
          </w:tcPr>
          <w:p w14:paraId="19FFF9E5">
            <w:pPr>
              <w:adjustRightInd w:val="0"/>
              <w:snapToGrid w:val="0"/>
              <w:jc w:val="center"/>
              <w:rPr>
                <w:rFonts w:hint="eastAsia" w:eastAsiaTheme="minorEastAsia"/>
                <w:color w:val="auto"/>
                <w:szCs w:val="21"/>
              </w:rPr>
            </w:pPr>
            <w:r>
              <w:rPr>
                <w:rFonts w:eastAsiaTheme="minorEastAsia"/>
                <w:color w:val="auto"/>
                <w:szCs w:val="21"/>
              </w:rPr>
              <w:t>江苏省地方标准《木材加工行业大气污染物排放标准》（DB32</w:t>
            </w:r>
            <w:r>
              <w:rPr>
                <w:rFonts w:hint="eastAsia" w:eastAsiaTheme="minorEastAsia"/>
                <w:color w:val="auto"/>
                <w:szCs w:val="21"/>
                <w:lang w:val="en-US" w:eastAsia="zh-CN"/>
              </w:rPr>
              <w:t>/</w:t>
            </w:r>
            <w:r>
              <w:rPr>
                <w:rFonts w:eastAsiaTheme="minorEastAsia"/>
                <w:color w:val="auto"/>
                <w:szCs w:val="21"/>
              </w:rPr>
              <w:t>4436-2022）表3</w:t>
            </w:r>
          </w:p>
        </w:tc>
      </w:tr>
      <w:tr w14:paraId="10FE6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Merge w:val="continue"/>
            <w:vAlign w:val="center"/>
          </w:tcPr>
          <w:p w14:paraId="23BFFA4B">
            <w:pPr>
              <w:adjustRightInd w:val="0"/>
              <w:snapToGrid w:val="0"/>
              <w:jc w:val="center"/>
              <w:rPr>
                <w:color w:val="auto"/>
                <w:szCs w:val="21"/>
              </w:rPr>
            </w:pPr>
          </w:p>
        </w:tc>
        <w:tc>
          <w:tcPr>
            <w:tcW w:w="870" w:type="dxa"/>
            <w:vMerge w:val="continue"/>
            <w:vAlign w:val="center"/>
          </w:tcPr>
          <w:p w14:paraId="36FF052A">
            <w:pPr>
              <w:adjustRightInd w:val="0"/>
              <w:snapToGrid w:val="0"/>
              <w:jc w:val="center"/>
              <w:rPr>
                <w:rFonts w:eastAsiaTheme="minorEastAsia"/>
                <w:color w:val="auto"/>
                <w:szCs w:val="21"/>
              </w:rPr>
            </w:pPr>
          </w:p>
        </w:tc>
        <w:tc>
          <w:tcPr>
            <w:tcW w:w="2418" w:type="dxa"/>
            <w:gridSpan w:val="2"/>
            <w:vAlign w:val="center"/>
          </w:tcPr>
          <w:p w14:paraId="70D70427">
            <w:pPr>
              <w:adjustRightInd w:val="0"/>
              <w:snapToGrid w:val="0"/>
              <w:jc w:val="center"/>
              <w:rPr>
                <w:color w:val="auto"/>
                <w:szCs w:val="21"/>
              </w:rPr>
            </w:pPr>
            <w:r>
              <w:rPr>
                <w:rFonts w:eastAsiaTheme="minorEastAsia"/>
                <w:color w:val="auto"/>
                <w:szCs w:val="21"/>
              </w:rPr>
              <w:t>非甲烷总烃</w:t>
            </w:r>
          </w:p>
        </w:tc>
        <w:tc>
          <w:tcPr>
            <w:tcW w:w="1890" w:type="dxa"/>
            <w:vMerge w:val="continue"/>
            <w:vAlign w:val="center"/>
          </w:tcPr>
          <w:p w14:paraId="7305B7AE">
            <w:pPr>
              <w:adjustRightInd w:val="0"/>
              <w:snapToGrid w:val="0"/>
              <w:jc w:val="center"/>
              <w:rPr>
                <w:rFonts w:hint="eastAsia"/>
                <w:color w:val="auto"/>
                <w:szCs w:val="21"/>
              </w:rPr>
            </w:pPr>
          </w:p>
        </w:tc>
        <w:tc>
          <w:tcPr>
            <w:tcW w:w="2370" w:type="dxa"/>
            <w:vMerge w:val="continue"/>
            <w:vAlign w:val="center"/>
          </w:tcPr>
          <w:p w14:paraId="0067B255">
            <w:pPr>
              <w:adjustRightInd w:val="0"/>
              <w:snapToGrid w:val="0"/>
              <w:jc w:val="center"/>
              <w:rPr>
                <w:rFonts w:hint="eastAsia" w:eastAsiaTheme="minorEastAsia"/>
                <w:color w:val="auto"/>
                <w:szCs w:val="21"/>
              </w:rPr>
            </w:pPr>
          </w:p>
        </w:tc>
      </w:tr>
      <w:tr w14:paraId="2F6F2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7FC64AB7">
            <w:pPr>
              <w:adjustRightInd w:val="0"/>
              <w:snapToGrid w:val="0"/>
              <w:jc w:val="center"/>
              <w:rPr>
                <w:color w:val="auto"/>
                <w:szCs w:val="21"/>
              </w:rPr>
            </w:pPr>
            <w:r>
              <w:rPr>
                <w:color w:val="auto"/>
                <w:szCs w:val="21"/>
              </w:rPr>
              <w:t>地表水环境</w:t>
            </w:r>
          </w:p>
        </w:tc>
        <w:tc>
          <w:tcPr>
            <w:tcW w:w="1878" w:type="dxa"/>
            <w:gridSpan w:val="2"/>
            <w:vAlign w:val="center"/>
          </w:tcPr>
          <w:p w14:paraId="234A1C3F">
            <w:pPr>
              <w:adjustRightInd w:val="0"/>
              <w:snapToGrid w:val="0"/>
              <w:jc w:val="center"/>
              <w:rPr>
                <w:rFonts w:hint="eastAsia" w:eastAsia="宋体"/>
                <w:color w:val="auto"/>
                <w:szCs w:val="21"/>
                <w:lang w:eastAsia="zh-CN"/>
              </w:rPr>
            </w:pPr>
            <w:r>
              <w:rPr>
                <w:color w:val="auto"/>
                <w:szCs w:val="21"/>
              </w:rPr>
              <w:t>生活污水</w:t>
            </w:r>
          </w:p>
        </w:tc>
        <w:tc>
          <w:tcPr>
            <w:tcW w:w="1410" w:type="dxa"/>
            <w:vAlign w:val="center"/>
          </w:tcPr>
          <w:p w14:paraId="729988BD">
            <w:pPr>
              <w:adjustRightInd w:val="0"/>
              <w:snapToGrid w:val="0"/>
              <w:jc w:val="center"/>
              <w:rPr>
                <w:color w:val="auto"/>
                <w:szCs w:val="21"/>
              </w:rPr>
            </w:pPr>
            <w:r>
              <w:rPr>
                <w:color w:val="auto"/>
                <w:szCs w:val="21"/>
              </w:rPr>
              <w:t>COD、SS、</w:t>
            </w:r>
            <w:r>
              <w:rPr>
                <w:rFonts w:hint="eastAsia"/>
                <w:color w:val="auto"/>
                <w:szCs w:val="21"/>
              </w:rPr>
              <w:t>NH</w:t>
            </w:r>
            <w:r>
              <w:rPr>
                <w:rFonts w:hint="eastAsia"/>
                <w:color w:val="auto"/>
                <w:szCs w:val="21"/>
                <w:vertAlign w:val="subscript"/>
              </w:rPr>
              <w:t>3</w:t>
            </w:r>
            <w:r>
              <w:rPr>
                <w:rFonts w:hint="eastAsia"/>
                <w:color w:val="auto"/>
                <w:szCs w:val="21"/>
              </w:rPr>
              <w:t>-N</w:t>
            </w:r>
            <w:r>
              <w:rPr>
                <w:color w:val="auto"/>
                <w:szCs w:val="21"/>
              </w:rPr>
              <w:t>、</w:t>
            </w:r>
            <w:r>
              <w:rPr>
                <w:rFonts w:hint="eastAsia"/>
                <w:color w:val="auto"/>
                <w:szCs w:val="21"/>
              </w:rPr>
              <w:t>TP</w:t>
            </w:r>
            <w:r>
              <w:rPr>
                <w:color w:val="auto"/>
                <w:szCs w:val="21"/>
              </w:rPr>
              <w:t>、TN</w:t>
            </w:r>
          </w:p>
        </w:tc>
        <w:tc>
          <w:tcPr>
            <w:tcW w:w="1890" w:type="dxa"/>
            <w:vAlign w:val="center"/>
          </w:tcPr>
          <w:p w14:paraId="62131796">
            <w:pPr>
              <w:adjustRightInd w:val="0"/>
              <w:snapToGrid w:val="0"/>
              <w:jc w:val="center"/>
              <w:rPr>
                <w:rFonts w:hint="eastAsia" w:eastAsia="宋体"/>
                <w:color w:val="auto"/>
                <w:szCs w:val="21"/>
                <w:lang w:eastAsia="zh-CN"/>
              </w:rPr>
            </w:pPr>
            <w:r>
              <w:rPr>
                <w:color w:val="auto"/>
                <w:szCs w:val="21"/>
              </w:rPr>
              <w:t>化粪池</w:t>
            </w:r>
            <w:r>
              <w:rPr>
                <w:rFonts w:hint="eastAsia"/>
                <w:color w:val="auto"/>
                <w:szCs w:val="21"/>
                <w:lang w:eastAsia="zh-CN"/>
              </w:rPr>
              <w:t>处理后接管高沟镇污水处理厂</w:t>
            </w:r>
          </w:p>
        </w:tc>
        <w:tc>
          <w:tcPr>
            <w:tcW w:w="2370" w:type="dxa"/>
            <w:vAlign w:val="center"/>
          </w:tcPr>
          <w:p w14:paraId="162D3CCC">
            <w:pPr>
              <w:adjustRightInd w:val="0"/>
              <w:snapToGrid w:val="0"/>
              <w:jc w:val="center"/>
              <w:rPr>
                <w:color w:val="auto"/>
                <w:szCs w:val="21"/>
              </w:rPr>
            </w:pPr>
            <w:r>
              <w:rPr>
                <w:rFonts w:hint="eastAsia"/>
                <w:color w:val="auto"/>
                <w:kern w:val="0"/>
                <w:szCs w:val="21"/>
              </w:rPr>
              <w:t>/</w:t>
            </w:r>
          </w:p>
        </w:tc>
      </w:tr>
      <w:tr w14:paraId="73F65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365EB9FA">
            <w:pPr>
              <w:adjustRightInd w:val="0"/>
              <w:snapToGrid w:val="0"/>
              <w:jc w:val="center"/>
              <w:rPr>
                <w:color w:val="auto"/>
                <w:szCs w:val="21"/>
              </w:rPr>
            </w:pPr>
            <w:r>
              <w:rPr>
                <w:color w:val="auto"/>
                <w:szCs w:val="21"/>
              </w:rPr>
              <w:t>声环境</w:t>
            </w:r>
          </w:p>
        </w:tc>
        <w:tc>
          <w:tcPr>
            <w:tcW w:w="1878" w:type="dxa"/>
            <w:gridSpan w:val="2"/>
            <w:vAlign w:val="center"/>
          </w:tcPr>
          <w:p w14:paraId="4172A256">
            <w:pPr>
              <w:adjustRightInd w:val="0"/>
              <w:snapToGrid w:val="0"/>
              <w:jc w:val="center"/>
              <w:rPr>
                <w:color w:val="auto"/>
                <w:szCs w:val="21"/>
              </w:rPr>
            </w:pPr>
            <w:r>
              <w:rPr>
                <w:rFonts w:hint="eastAsia"/>
                <w:color w:val="auto"/>
                <w:szCs w:val="21"/>
              </w:rPr>
              <w:t>旋切机、四面锯、热压机、砂光机</w:t>
            </w:r>
            <w:r>
              <w:rPr>
                <w:color w:val="auto"/>
                <w:szCs w:val="21"/>
              </w:rPr>
              <w:t>、涂胶机以及风机等</w:t>
            </w:r>
          </w:p>
        </w:tc>
        <w:tc>
          <w:tcPr>
            <w:tcW w:w="1410" w:type="dxa"/>
            <w:vAlign w:val="center"/>
          </w:tcPr>
          <w:p w14:paraId="75EE1FE6">
            <w:pPr>
              <w:adjustRightInd w:val="0"/>
              <w:snapToGrid w:val="0"/>
              <w:jc w:val="center"/>
              <w:rPr>
                <w:color w:val="auto"/>
                <w:szCs w:val="21"/>
              </w:rPr>
            </w:pPr>
            <w:r>
              <w:rPr>
                <w:color w:val="auto"/>
                <w:szCs w:val="21"/>
              </w:rPr>
              <w:t>噪声</w:t>
            </w:r>
          </w:p>
        </w:tc>
        <w:tc>
          <w:tcPr>
            <w:tcW w:w="1890" w:type="dxa"/>
            <w:vAlign w:val="center"/>
          </w:tcPr>
          <w:p w14:paraId="22F58A8C">
            <w:pPr>
              <w:adjustRightInd w:val="0"/>
              <w:snapToGrid w:val="0"/>
              <w:jc w:val="center"/>
              <w:rPr>
                <w:rFonts w:hint="eastAsia" w:eastAsiaTheme="minorEastAsia"/>
                <w:color w:val="auto"/>
                <w:szCs w:val="21"/>
              </w:rPr>
            </w:pPr>
            <w:r>
              <w:rPr>
                <w:rFonts w:hint="eastAsia" w:eastAsiaTheme="minorEastAsia"/>
                <w:color w:val="auto"/>
                <w:szCs w:val="21"/>
              </w:rPr>
              <w:t>选用低噪声设备，厂房隔声，减振，合理布局</w:t>
            </w:r>
          </w:p>
        </w:tc>
        <w:tc>
          <w:tcPr>
            <w:tcW w:w="2370" w:type="dxa"/>
            <w:vAlign w:val="center"/>
          </w:tcPr>
          <w:p w14:paraId="4920C690">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厂界西、南、北侧执行</w:t>
            </w:r>
            <w:r>
              <w:rPr>
                <w:rFonts w:hint="eastAsia" w:eastAsiaTheme="minorEastAsia"/>
                <w:color w:val="auto"/>
                <w:szCs w:val="21"/>
              </w:rPr>
              <w:t>《工业企业厂界环境噪声排放标准》（GB12348-2008）中</w:t>
            </w:r>
            <w:r>
              <w:rPr>
                <w:rFonts w:hint="eastAsia" w:eastAsiaTheme="minorEastAsia"/>
                <w:color w:val="auto"/>
                <w:szCs w:val="21"/>
                <w:lang w:val="en-US" w:eastAsia="zh-CN"/>
              </w:rPr>
              <w:t>2</w:t>
            </w:r>
            <w:r>
              <w:rPr>
                <w:rFonts w:hint="eastAsia" w:eastAsiaTheme="minorEastAsia"/>
                <w:color w:val="auto"/>
                <w:szCs w:val="21"/>
              </w:rPr>
              <w:t>类</w:t>
            </w:r>
            <w:r>
              <w:rPr>
                <w:rFonts w:hint="eastAsia" w:eastAsiaTheme="minorEastAsia"/>
                <w:color w:val="auto"/>
                <w:szCs w:val="21"/>
                <w:lang w:eastAsia="zh-CN"/>
              </w:rPr>
              <w:t>标准；厂界东侧执行</w:t>
            </w:r>
            <w:r>
              <w:rPr>
                <w:rFonts w:hint="eastAsia" w:eastAsiaTheme="minorEastAsia"/>
                <w:color w:val="auto"/>
                <w:szCs w:val="21"/>
              </w:rPr>
              <w:t>《工业企业厂界环境噪声排放标准》（GB12348-2008）中</w:t>
            </w:r>
            <w:r>
              <w:rPr>
                <w:rFonts w:hint="eastAsia" w:eastAsiaTheme="minorEastAsia"/>
                <w:color w:val="auto"/>
                <w:szCs w:val="21"/>
                <w:lang w:val="en-US" w:eastAsia="zh-CN"/>
              </w:rPr>
              <w:t>4</w:t>
            </w:r>
            <w:r>
              <w:rPr>
                <w:rFonts w:hint="eastAsia" w:eastAsiaTheme="minorEastAsia"/>
                <w:color w:val="auto"/>
                <w:szCs w:val="21"/>
              </w:rPr>
              <w:t>类</w:t>
            </w:r>
            <w:r>
              <w:rPr>
                <w:rFonts w:hint="eastAsia" w:eastAsiaTheme="minorEastAsia"/>
                <w:color w:val="auto"/>
                <w:szCs w:val="21"/>
                <w:lang w:eastAsia="zh-CN"/>
              </w:rPr>
              <w:t>标准</w:t>
            </w:r>
          </w:p>
        </w:tc>
      </w:tr>
      <w:tr w14:paraId="20329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52" w:type="dxa"/>
            <w:vAlign w:val="center"/>
          </w:tcPr>
          <w:p w14:paraId="4E390993">
            <w:pPr>
              <w:adjustRightInd w:val="0"/>
              <w:snapToGrid w:val="0"/>
              <w:jc w:val="center"/>
              <w:rPr>
                <w:color w:val="auto"/>
                <w:szCs w:val="21"/>
              </w:rPr>
            </w:pPr>
            <w:r>
              <w:rPr>
                <w:color w:val="auto"/>
                <w:szCs w:val="21"/>
              </w:rPr>
              <w:t>电磁辐射</w:t>
            </w:r>
          </w:p>
        </w:tc>
        <w:tc>
          <w:tcPr>
            <w:tcW w:w="1878" w:type="dxa"/>
            <w:gridSpan w:val="2"/>
            <w:vAlign w:val="center"/>
          </w:tcPr>
          <w:p w14:paraId="29DA4DF1">
            <w:pPr>
              <w:adjustRightInd w:val="0"/>
              <w:snapToGrid w:val="0"/>
              <w:jc w:val="center"/>
              <w:rPr>
                <w:color w:val="auto"/>
                <w:szCs w:val="21"/>
              </w:rPr>
            </w:pPr>
            <w:r>
              <w:rPr>
                <w:color w:val="auto"/>
                <w:szCs w:val="21"/>
              </w:rPr>
              <w:t>/</w:t>
            </w:r>
          </w:p>
        </w:tc>
        <w:tc>
          <w:tcPr>
            <w:tcW w:w="1410" w:type="dxa"/>
            <w:vAlign w:val="center"/>
          </w:tcPr>
          <w:p w14:paraId="4B62BDCF">
            <w:pPr>
              <w:adjustRightInd w:val="0"/>
              <w:snapToGrid w:val="0"/>
              <w:jc w:val="center"/>
              <w:rPr>
                <w:color w:val="auto"/>
                <w:szCs w:val="21"/>
              </w:rPr>
            </w:pPr>
            <w:r>
              <w:rPr>
                <w:color w:val="auto"/>
                <w:szCs w:val="21"/>
              </w:rPr>
              <w:t>/</w:t>
            </w:r>
          </w:p>
        </w:tc>
        <w:tc>
          <w:tcPr>
            <w:tcW w:w="1890" w:type="dxa"/>
            <w:vAlign w:val="center"/>
          </w:tcPr>
          <w:p w14:paraId="598FEB5D">
            <w:pPr>
              <w:adjustRightInd w:val="0"/>
              <w:snapToGrid w:val="0"/>
              <w:jc w:val="center"/>
              <w:rPr>
                <w:color w:val="auto"/>
                <w:szCs w:val="21"/>
              </w:rPr>
            </w:pPr>
            <w:r>
              <w:rPr>
                <w:color w:val="auto"/>
                <w:szCs w:val="21"/>
              </w:rPr>
              <w:t>/</w:t>
            </w:r>
          </w:p>
        </w:tc>
        <w:tc>
          <w:tcPr>
            <w:tcW w:w="2370" w:type="dxa"/>
            <w:vAlign w:val="center"/>
          </w:tcPr>
          <w:p w14:paraId="47F2FFA6">
            <w:pPr>
              <w:adjustRightInd w:val="0"/>
              <w:snapToGrid w:val="0"/>
              <w:jc w:val="center"/>
              <w:rPr>
                <w:color w:val="auto"/>
                <w:szCs w:val="21"/>
              </w:rPr>
            </w:pPr>
            <w:r>
              <w:rPr>
                <w:color w:val="auto"/>
                <w:szCs w:val="21"/>
              </w:rPr>
              <w:t>/</w:t>
            </w:r>
          </w:p>
        </w:tc>
      </w:tr>
      <w:tr w14:paraId="2FC8F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0F51427E">
            <w:pPr>
              <w:adjustRightInd w:val="0"/>
              <w:snapToGrid w:val="0"/>
              <w:jc w:val="center"/>
              <w:rPr>
                <w:color w:val="auto"/>
                <w:szCs w:val="21"/>
              </w:rPr>
            </w:pPr>
            <w:r>
              <w:rPr>
                <w:color w:val="auto"/>
                <w:szCs w:val="21"/>
              </w:rPr>
              <w:t>固体废物</w:t>
            </w:r>
          </w:p>
        </w:tc>
        <w:tc>
          <w:tcPr>
            <w:tcW w:w="7548" w:type="dxa"/>
            <w:gridSpan w:val="5"/>
            <w:vAlign w:val="center"/>
          </w:tcPr>
          <w:p w14:paraId="3B8D4ABC">
            <w:pPr>
              <w:adjustRightInd w:val="0"/>
              <w:snapToGrid w:val="0"/>
              <w:jc w:val="center"/>
              <w:rPr>
                <w:color w:val="auto"/>
                <w:szCs w:val="21"/>
              </w:rPr>
            </w:pPr>
            <w:r>
              <w:rPr>
                <w:color w:val="auto"/>
                <w:szCs w:val="21"/>
              </w:rPr>
              <w:t>一般工业固废暂存于20m</w:t>
            </w:r>
            <w:r>
              <w:rPr>
                <w:color w:val="auto"/>
                <w:szCs w:val="21"/>
                <w:vertAlign w:val="superscript"/>
              </w:rPr>
              <w:t>2</w:t>
            </w:r>
            <w:r>
              <w:rPr>
                <w:color w:val="auto"/>
                <w:szCs w:val="21"/>
              </w:rPr>
              <w:t>的一般工业固废</w:t>
            </w:r>
            <w:r>
              <w:rPr>
                <w:rFonts w:hint="eastAsia"/>
                <w:color w:val="auto"/>
                <w:szCs w:val="21"/>
              </w:rPr>
              <w:t>堆场</w:t>
            </w:r>
            <w:r>
              <w:rPr>
                <w:color w:val="auto"/>
                <w:szCs w:val="21"/>
              </w:rPr>
              <w:t>，定期交由物资回收单位回收利用；危险废物暂存于</w:t>
            </w:r>
            <w:r>
              <w:rPr>
                <w:rFonts w:hint="eastAsia"/>
                <w:color w:val="auto"/>
                <w:szCs w:val="21"/>
                <w:lang w:val="en-US" w:eastAsia="zh-CN"/>
              </w:rPr>
              <w:t>20</w:t>
            </w:r>
            <w:r>
              <w:rPr>
                <w:color w:val="auto"/>
                <w:szCs w:val="21"/>
              </w:rPr>
              <w:t>m</w:t>
            </w:r>
            <w:r>
              <w:rPr>
                <w:color w:val="auto"/>
                <w:szCs w:val="21"/>
                <w:vertAlign w:val="superscript"/>
              </w:rPr>
              <w:t>2</w:t>
            </w:r>
            <w:r>
              <w:rPr>
                <w:color w:val="auto"/>
                <w:szCs w:val="21"/>
              </w:rPr>
              <w:t>的危废仓库，定期委托有资质单位处理；生活垃圾交由环卫部门统一清运处理。</w:t>
            </w:r>
          </w:p>
          <w:p w14:paraId="4F18D3F3">
            <w:pPr>
              <w:adjustRightInd w:val="0"/>
              <w:snapToGrid w:val="0"/>
              <w:jc w:val="center"/>
              <w:rPr>
                <w:color w:val="auto"/>
                <w:szCs w:val="21"/>
              </w:rPr>
            </w:pPr>
          </w:p>
        </w:tc>
      </w:tr>
      <w:tr w14:paraId="65BEB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610ADA49">
            <w:pPr>
              <w:adjustRightInd w:val="0"/>
              <w:snapToGrid w:val="0"/>
              <w:jc w:val="center"/>
              <w:rPr>
                <w:color w:val="auto"/>
                <w:szCs w:val="21"/>
              </w:rPr>
            </w:pPr>
            <w:r>
              <w:rPr>
                <w:color w:val="auto"/>
                <w:szCs w:val="21"/>
              </w:rPr>
              <w:t>土壤及地下水</w:t>
            </w:r>
          </w:p>
          <w:p w14:paraId="4BBF45A9">
            <w:pPr>
              <w:adjustRightInd w:val="0"/>
              <w:snapToGrid w:val="0"/>
              <w:jc w:val="center"/>
              <w:rPr>
                <w:color w:val="auto"/>
                <w:szCs w:val="21"/>
              </w:rPr>
            </w:pPr>
            <w:r>
              <w:rPr>
                <w:color w:val="auto"/>
                <w:szCs w:val="21"/>
              </w:rPr>
              <w:t>污染防治措施</w:t>
            </w:r>
          </w:p>
        </w:tc>
        <w:tc>
          <w:tcPr>
            <w:tcW w:w="7548" w:type="dxa"/>
            <w:gridSpan w:val="5"/>
            <w:vAlign w:val="center"/>
          </w:tcPr>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75"/>
              <w:gridCol w:w="1805"/>
              <w:gridCol w:w="1105"/>
              <w:gridCol w:w="3347"/>
            </w:tblGrid>
            <w:tr w14:paraId="7C49C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8" w:type="dxa"/>
                  <w:vAlign w:val="center"/>
                </w:tcPr>
                <w:p w14:paraId="5FD8F059">
                  <w:pPr>
                    <w:adjustRightInd w:val="0"/>
                    <w:snapToGrid w:val="0"/>
                    <w:jc w:val="center"/>
                    <w:rPr>
                      <w:rFonts w:eastAsiaTheme="minorEastAsia"/>
                      <w:b/>
                      <w:color w:val="auto"/>
                      <w:szCs w:val="21"/>
                    </w:rPr>
                  </w:pPr>
                  <w:r>
                    <w:rPr>
                      <w:rFonts w:eastAsiaTheme="minorEastAsia"/>
                      <w:b/>
                      <w:color w:val="auto"/>
                      <w:szCs w:val="21"/>
                    </w:rPr>
                    <w:t>污染源</w:t>
                  </w:r>
                </w:p>
              </w:tc>
              <w:tc>
                <w:tcPr>
                  <w:tcW w:w="1864" w:type="dxa"/>
                  <w:vAlign w:val="center"/>
                </w:tcPr>
                <w:p w14:paraId="157E4841">
                  <w:pPr>
                    <w:adjustRightInd w:val="0"/>
                    <w:snapToGrid w:val="0"/>
                    <w:jc w:val="center"/>
                    <w:rPr>
                      <w:rFonts w:eastAsiaTheme="minorEastAsia"/>
                      <w:b/>
                      <w:color w:val="auto"/>
                      <w:szCs w:val="21"/>
                    </w:rPr>
                  </w:pPr>
                  <w:r>
                    <w:rPr>
                      <w:rFonts w:eastAsiaTheme="minorEastAsia"/>
                      <w:b/>
                      <w:color w:val="auto"/>
                      <w:szCs w:val="21"/>
                    </w:rPr>
                    <w:t>污染物类型</w:t>
                  </w:r>
                </w:p>
              </w:tc>
              <w:tc>
                <w:tcPr>
                  <w:tcW w:w="1149" w:type="dxa"/>
                  <w:vAlign w:val="center"/>
                </w:tcPr>
                <w:p w14:paraId="47EDFB68">
                  <w:pPr>
                    <w:adjustRightInd w:val="0"/>
                    <w:snapToGrid w:val="0"/>
                    <w:jc w:val="center"/>
                    <w:rPr>
                      <w:rFonts w:eastAsiaTheme="minorEastAsia"/>
                      <w:b/>
                      <w:color w:val="auto"/>
                      <w:szCs w:val="21"/>
                    </w:rPr>
                  </w:pPr>
                  <w:r>
                    <w:rPr>
                      <w:rFonts w:eastAsiaTheme="minorEastAsia"/>
                      <w:b/>
                      <w:color w:val="auto"/>
                      <w:szCs w:val="21"/>
                    </w:rPr>
                    <w:t>污染途径</w:t>
                  </w:r>
                </w:p>
              </w:tc>
              <w:tc>
                <w:tcPr>
                  <w:tcW w:w="3446" w:type="dxa"/>
                  <w:vAlign w:val="center"/>
                </w:tcPr>
                <w:p w14:paraId="44CD6EFE">
                  <w:pPr>
                    <w:adjustRightInd w:val="0"/>
                    <w:snapToGrid w:val="0"/>
                    <w:jc w:val="center"/>
                    <w:rPr>
                      <w:rFonts w:eastAsiaTheme="minorEastAsia"/>
                      <w:b/>
                      <w:color w:val="auto"/>
                      <w:szCs w:val="21"/>
                    </w:rPr>
                  </w:pPr>
                  <w:r>
                    <w:rPr>
                      <w:rFonts w:eastAsiaTheme="minorEastAsia"/>
                      <w:b/>
                      <w:color w:val="auto"/>
                      <w:szCs w:val="21"/>
                    </w:rPr>
                    <w:t>防控措施</w:t>
                  </w:r>
                </w:p>
              </w:tc>
            </w:tr>
            <w:tr w14:paraId="33A65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8" w:type="dxa"/>
                  <w:vAlign w:val="center"/>
                </w:tcPr>
                <w:p w14:paraId="6187760B">
                  <w:pPr>
                    <w:adjustRightInd w:val="0"/>
                    <w:snapToGrid w:val="0"/>
                    <w:jc w:val="center"/>
                    <w:rPr>
                      <w:rFonts w:eastAsiaTheme="minorEastAsia"/>
                      <w:color w:val="auto"/>
                      <w:szCs w:val="21"/>
                    </w:rPr>
                  </w:pPr>
                  <w:r>
                    <w:rPr>
                      <w:rFonts w:hint="eastAsia" w:eastAsiaTheme="minorEastAsia"/>
                      <w:color w:val="auto"/>
                      <w:szCs w:val="21"/>
                    </w:rPr>
                    <w:t>生产车间</w:t>
                  </w:r>
                </w:p>
              </w:tc>
              <w:tc>
                <w:tcPr>
                  <w:tcW w:w="1864" w:type="dxa"/>
                  <w:vAlign w:val="center"/>
                </w:tcPr>
                <w:p w14:paraId="00ECA05F">
                  <w:pPr>
                    <w:adjustRightInd w:val="0"/>
                    <w:snapToGrid w:val="0"/>
                    <w:jc w:val="center"/>
                    <w:rPr>
                      <w:rFonts w:eastAsiaTheme="minorEastAsia"/>
                      <w:color w:val="auto"/>
                      <w:szCs w:val="21"/>
                    </w:rPr>
                  </w:pPr>
                  <w:r>
                    <w:rPr>
                      <w:rFonts w:hint="eastAsia"/>
                      <w:color w:val="auto"/>
                      <w:szCs w:val="21"/>
                    </w:rPr>
                    <w:t>脲醛胶、液压油等</w:t>
                  </w:r>
                </w:p>
              </w:tc>
              <w:tc>
                <w:tcPr>
                  <w:tcW w:w="1149" w:type="dxa"/>
                  <w:vAlign w:val="center"/>
                </w:tcPr>
                <w:p w14:paraId="0BFBE427">
                  <w:pPr>
                    <w:adjustRightInd w:val="0"/>
                    <w:snapToGrid w:val="0"/>
                    <w:jc w:val="center"/>
                    <w:rPr>
                      <w:rFonts w:eastAsiaTheme="minorEastAsia"/>
                      <w:color w:val="auto"/>
                      <w:szCs w:val="21"/>
                    </w:rPr>
                  </w:pPr>
                  <w:r>
                    <w:rPr>
                      <w:rFonts w:eastAsiaTheme="minorEastAsia"/>
                      <w:color w:val="auto"/>
                      <w:szCs w:val="21"/>
                    </w:rPr>
                    <w:t>垂直入渗+地面漫流</w:t>
                  </w:r>
                </w:p>
              </w:tc>
              <w:tc>
                <w:tcPr>
                  <w:tcW w:w="3446" w:type="dxa"/>
                  <w:vMerge w:val="restart"/>
                  <w:vAlign w:val="center"/>
                </w:tcPr>
                <w:p w14:paraId="70BE2CF7">
                  <w:pPr>
                    <w:adjustRightInd w:val="0"/>
                    <w:snapToGrid w:val="0"/>
                    <w:jc w:val="center"/>
                    <w:rPr>
                      <w:rFonts w:eastAsiaTheme="minorEastAsia"/>
                      <w:color w:val="auto"/>
                      <w:szCs w:val="21"/>
                    </w:rPr>
                  </w:pPr>
                  <w:r>
                    <w:rPr>
                      <w:rFonts w:eastAsiaTheme="minorEastAsia"/>
                      <w:color w:val="auto"/>
                      <w:szCs w:val="21"/>
                    </w:rPr>
                    <w:t>等效黏土防渗层Mb≥1.5m，K≤1×10</w:t>
                  </w:r>
                  <w:r>
                    <w:rPr>
                      <w:rFonts w:hint="eastAsia" w:eastAsiaTheme="minorEastAsia"/>
                      <w:color w:val="auto"/>
                      <w:szCs w:val="21"/>
                      <w:lang w:eastAsia="zh-CN"/>
                    </w:rPr>
                    <w:t>—</w:t>
                  </w:r>
                  <w:r>
                    <w:rPr>
                      <w:rFonts w:eastAsiaTheme="minorEastAsia"/>
                      <w:color w:val="auto"/>
                      <w:szCs w:val="21"/>
                      <w:vertAlign w:val="superscript"/>
                    </w:rPr>
                    <w:t>7</w:t>
                  </w:r>
                  <w:r>
                    <w:rPr>
                      <w:rFonts w:eastAsiaTheme="minorEastAsia"/>
                      <w:color w:val="auto"/>
                      <w:szCs w:val="21"/>
                    </w:rPr>
                    <w:t>cm/s；</w:t>
                  </w:r>
                </w:p>
              </w:tc>
            </w:tr>
            <w:tr w14:paraId="60BC6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8" w:type="dxa"/>
                  <w:vAlign w:val="center"/>
                </w:tcPr>
                <w:p w14:paraId="1AB370F4">
                  <w:pPr>
                    <w:adjustRightInd w:val="0"/>
                    <w:snapToGrid w:val="0"/>
                    <w:jc w:val="center"/>
                    <w:rPr>
                      <w:rFonts w:eastAsiaTheme="minorEastAsia"/>
                      <w:color w:val="auto"/>
                      <w:szCs w:val="21"/>
                    </w:rPr>
                  </w:pPr>
                  <w:r>
                    <w:rPr>
                      <w:rFonts w:eastAsiaTheme="minorEastAsia"/>
                      <w:color w:val="auto"/>
                      <w:szCs w:val="21"/>
                    </w:rPr>
                    <w:t>化学品库</w:t>
                  </w:r>
                </w:p>
              </w:tc>
              <w:tc>
                <w:tcPr>
                  <w:tcW w:w="1864" w:type="dxa"/>
                  <w:vAlign w:val="center"/>
                </w:tcPr>
                <w:p w14:paraId="0F25413A">
                  <w:pPr>
                    <w:adjustRightInd w:val="0"/>
                    <w:snapToGrid w:val="0"/>
                    <w:jc w:val="center"/>
                    <w:rPr>
                      <w:rFonts w:eastAsiaTheme="minorEastAsia"/>
                      <w:color w:val="auto"/>
                      <w:szCs w:val="21"/>
                    </w:rPr>
                  </w:pPr>
                  <w:r>
                    <w:rPr>
                      <w:rFonts w:eastAsiaTheme="minorEastAsia"/>
                      <w:color w:val="auto"/>
                      <w:szCs w:val="21"/>
                    </w:rPr>
                    <w:t>原料（</w:t>
                  </w:r>
                  <w:r>
                    <w:rPr>
                      <w:rFonts w:hint="eastAsia" w:eastAsiaTheme="minorEastAsia"/>
                      <w:color w:val="auto"/>
                      <w:szCs w:val="21"/>
                    </w:rPr>
                    <w:t>脲醛胶</w:t>
                  </w:r>
                  <w:r>
                    <w:rPr>
                      <w:rFonts w:eastAsiaTheme="minorEastAsia"/>
                      <w:color w:val="auto"/>
                      <w:szCs w:val="21"/>
                    </w:rPr>
                    <w:t>）</w:t>
                  </w:r>
                </w:p>
              </w:tc>
              <w:tc>
                <w:tcPr>
                  <w:tcW w:w="1149" w:type="dxa"/>
                  <w:vAlign w:val="center"/>
                </w:tcPr>
                <w:p w14:paraId="7FC94AE0">
                  <w:pPr>
                    <w:adjustRightInd w:val="0"/>
                    <w:snapToGrid w:val="0"/>
                    <w:jc w:val="center"/>
                    <w:rPr>
                      <w:rFonts w:eastAsiaTheme="minorEastAsia"/>
                      <w:color w:val="auto"/>
                      <w:szCs w:val="21"/>
                    </w:rPr>
                  </w:pPr>
                  <w:r>
                    <w:rPr>
                      <w:rFonts w:eastAsiaTheme="minorEastAsia"/>
                      <w:color w:val="auto"/>
                      <w:szCs w:val="21"/>
                    </w:rPr>
                    <w:t>垂直入渗+地面漫流</w:t>
                  </w:r>
                </w:p>
              </w:tc>
              <w:tc>
                <w:tcPr>
                  <w:tcW w:w="3446" w:type="dxa"/>
                  <w:vMerge w:val="continue"/>
                  <w:vAlign w:val="center"/>
                </w:tcPr>
                <w:p w14:paraId="40341AFA">
                  <w:pPr>
                    <w:adjustRightInd w:val="0"/>
                    <w:snapToGrid w:val="0"/>
                    <w:jc w:val="center"/>
                    <w:rPr>
                      <w:rFonts w:eastAsiaTheme="minorEastAsia"/>
                      <w:color w:val="auto"/>
                      <w:szCs w:val="21"/>
                    </w:rPr>
                  </w:pPr>
                </w:p>
              </w:tc>
            </w:tr>
            <w:tr w14:paraId="4774C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18" w:type="dxa"/>
                  <w:vAlign w:val="center"/>
                </w:tcPr>
                <w:p w14:paraId="154962CE">
                  <w:pPr>
                    <w:adjustRightInd w:val="0"/>
                    <w:snapToGrid w:val="0"/>
                    <w:jc w:val="center"/>
                    <w:rPr>
                      <w:rFonts w:eastAsiaTheme="minorEastAsia"/>
                      <w:color w:val="auto"/>
                      <w:szCs w:val="21"/>
                    </w:rPr>
                  </w:pPr>
                  <w:r>
                    <w:rPr>
                      <w:color w:val="auto"/>
                      <w:szCs w:val="21"/>
                    </w:rPr>
                    <w:t>危险废物暂存场所</w:t>
                  </w:r>
                </w:p>
              </w:tc>
              <w:tc>
                <w:tcPr>
                  <w:tcW w:w="1864" w:type="dxa"/>
                  <w:vAlign w:val="center"/>
                </w:tcPr>
                <w:p w14:paraId="37443C7F">
                  <w:pPr>
                    <w:adjustRightInd w:val="0"/>
                    <w:snapToGrid w:val="0"/>
                    <w:jc w:val="center"/>
                    <w:rPr>
                      <w:color w:val="auto"/>
                      <w:szCs w:val="21"/>
                    </w:rPr>
                  </w:pPr>
                  <w:r>
                    <w:rPr>
                      <w:color w:val="auto"/>
                      <w:szCs w:val="21"/>
                    </w:rPr>
                    <w:t>危险废物</w:t>
                  </w:r>
                </w:p>
                <w:p w14:paraId="46FE360A">
                  <w:pPr>
                    <w:adjustRightInd w:val="0"/>
                    <w:snapToGrid w:val="0"/>
                    <w:jc w:val="center"/>
                    <w:rPr>
                      <w:rFonts w:eastAsiaTheme="minorEastAsia"/>
                      <w:color w:val="auto"/>
                      <w:szCs w:val="21"/>
                    </w:rPr>
                  </w:pPr>
                  <w:r>
                    <w:rPr>
                      <w:color w:val="auto"/>
                      <w:szCs w:val="21"/>
                    </w:rPr>
                    <w:t>（</w:t>
                  </w:r>
                  <w:r>
                    <w:rPr>
                      <w:rFonts w:hint="eastAsia"/>
                      <w:color w:val="auto"/>
                      <w:szCs w:val="21"/>
                    </w:rPr>
                    <w:t>废活性炭等</w:t>
                  </w:r>
                  <w:r>
                    <w:rPr>
                      <w:color w:val="auto"/>
                      <w:szCs w:val="21"/>
                    </w:rPr>
                    <w:t>）</w:t>
                  </w:r>
                </w:p>
              </w:tc>
              <w:tc>
                <w:tcPr>
                  <w:tcW w:w="1149" w:type="dxa"/>
                  <w:vAlign w:val="center"/>
                </w:tcPr>
                <w:p w14:paraId="497B6ECC">
                  <w:pPr>
                    <w:adjustRightInd w:val="0"/>
                    <w:snapToGrid w:val="0"/>
                    <w:jc w:val="center"/>
                    <w:rPr>
                      <w:rFonts w:eastAsiaTheme="minorEastAsia"/>
                      <w:color w:val="auto"/>
                      <w:szCs w:val="21"/>
                    </w:rPr>
                  </w:pPr>
                  <w:r>
                    <w:rPr>
                      <w:rFonts w:eastAsiaTheme="minorEastAsia"/>
                      <w:color w:val="auto"/>
                      <w:szCs w:val="21"/>
                    </w:rPr>
                    <w:t>垂直入渗+地面漫流</w:t>
                  </w:r>
                </w:p>
              </w:tc>
              <w:tc>
                <w:tcPr>
                  <w:tcW w:w="3446" w:type="dxa"/>
                  <w:vAlign w:val="center"/>
                </w:tcPr>
                <w:p w14:paraId="6D9AE869">
                  <w:pPr>
                    <w:adjustRightInd w:val="0"/>
                    <w:snapToGrid w:val="0"/>
                    <w:jc w:val="center"/>
                    <w:rPr>
                      <w:rFonts w:eastAsiaTheme="minorEastAsia"/>
                      <w:color w:val="auto"/>
                      <w:szCs w:val="21"/>
                    </w:rPr>
                  </w:pPr>
                  <w:r>
                    <w:rPr>
                      <w:rFonts w:eastAsiaTheme="minorEastAsia"/>
                      <w:color w:val="auto"/>
                      <w:szCs w:val="21"/>
                    </w:rPr>
                    <w:t>等效黏土防渗层Mb≥6.0m，K≤1×10</w:t>
                  </w:r>
                  <w:r>
                    <w:rPr>
                      <w:rFonts w:hint="eastAsia" w:eastAsiaTheme="minorEastAsia"/>
                      <w:color w:val="auto"/>
                      <w:szCs w:val="21"/>
                      <w:lang w:eastAsia="zh-CN"/>
                    </w:rPr>
                    <w:t>—</w:t>
                  </w:r>
                  <w:r>
                    <w:rPr>
                      <w:rFonts w:eastAsiaTheme="minorEastAsia"/>
                      <w:color w:val="auto"/>
                      <w:szCs w:val="21"/>
                      <w:vertAlign w:val="superscript"/>
                    </w:rPr>
                    <w:t>7</w:t>
                  </w:r>
                  <w:r>
                    <w:rPr>
                      <w:rFonts w:eastAsiaTheme="minorEastAsia"/>
                      <w:color w:val="auto"/>
                      <w:szCs w:val="21"/>
                    </w:rPr>
                    <w:t>cm/s</w:t>
                  </w:r>
                  <w:r>
                    <w:rPr>
                      <w:rFonts w:hint="eastAsia" w:eastAsiaTheme="minorEastAsia"/>
                      <w:color w:val="auto"/>
                      <w:szCs w:val="21"/>
                      <w:lang w:eastAsia="zh-CN"/>
                    </w:rPr>
                    <w:t>。</w:t>
                  </w:r>
                </w:p>
              </w:tc>
            </w:tr>
          </w:tbl>
          <w:p w14:paraId="5499E761">
            <w:pPr>
              <w:adjustRightInd w:val="0"/>
              <w:snapToGrid w:val="0"/>
              <w:jc w:val="center"/>
              <w:rPr>
                <w:rFonts w:eastAsiaTheme="minorEastAsia"/>
                <w:color w:val="auto"/>
                <w:szCs w:val="21"/>
              </w:rPr>
            </w:pPr>
          </w:p>
        </w:tc>
      </w:tr>
      <w:tr w14:paraId="106CA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3A3BB199">
            <w:pPr>
              <w:adjustRightInd w:val="0"/>
              <w:snapToGrid w:val="0"/>
              <w:jc w:val="center"/>
              <w:rPr>
                <w:color w:val="auto"/>
                <w:szCs w:val="21"/>
              </w:rPr>
            </w:pPr>
            <w:r>
              <w:rPr>
                <w:color w:val="auto"/>
                <w:szCs w:val="21"/>
              </w:rPr>
              <w:t>生态保护措施</w:t>
            </w:r>
          </w:p>
        </w:tc>
        <w:tc>
          <w:tcPr>
            <w:tcW w:w="7548" w:type="dxa"/>
            <w:gridSpan w:val="5"/>
            <w:vAlign w:val="center"/>
          </w:tcPr>
          <w:p w14:paraId="42FA18B9">
            <w:pPr>
              <w:adjustRightInd w:val="0"/>
              <w:snapToGrid w:val="0"/>
              <w:spacing w:before="120" w:beforeLines="50" w:line="300" w:lineRule="auto"/>
              <w:ind w:firstLine="420" w:firstLineChars="200"/>
              <w:rPr>
                <w:rFonts w:eastAsiaTheme="minorEastAsia"/>
                <w:color w:val="auto"/>
                <w:szCs w:val="21"/>
              </w:rPr>
            </w:pPr>
            <w:r>
              <w:rPr>
                <w:rFonts w:hint="eastAsia" w:eastAsiaTheme="minorEastAsia"/>
                <w:color w:val="auto"/>
                <w:szCs w:val="21"/>
              </w:rPr>
              <w:t>建设项目</w:t>
            </w:r>
            <w:r>
              <w:rPr>
                <w:rFonts w:eastAsiaTheme="minorEastAsia"/>
                <w:color w:val="auto"/>
                <w:szCs w:val="21"/>
              </w:rPr>
              <w:t>产生的污染经采用适当的污染防治措施实现达标排放后，对区域的生态环境影响可以接受。</w:t>
            </w:r>
          </w:p>
        </w:tc>
      </w:tr>
      <w:tr w14:paraId="28767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6B763A03">
            <w:pPr>
              <w:adjustRightInd w:val="0"/>
              <w:snapToGrid w:val="0"/>
              <w:jc w:val="center"/>
              <w:rPr>
                <w:color w:val="auto"/>
                <w:spacing w:val="-8"/>
                <w:szCs w:val="21"/>
              </w:rPr>
            </w:pPr>
            <w:r>
              <w:rPr>
                <w:color w:val="auto"/>
                <w:spacing w:val="-8"/>
                <w:szCs w:val="21"/>
              </w:rPr>
              <w:t>环境风险</w:t>
            </w:r>
          </w:p>
          <w:p w14:paraId="605217EC">
            <w:pPr>
              <w:adjustRightInd w:val="0"/>
              <w:snapToGrid w:val="0"/>
              <w:jc w:val="center"/>
              <w:rPr>
                <w:color w:val="auto"/>
                <w:szCs w:val="21"/>
              </w:rPr>
            </w:pPr>
            <w:r>
              <w:rPr>
                <w:color w:val="auto"/>
                <w:spacing w:val="-8"/>
                <w:szCs w:val="21"/>
              </w:rPr>
              <w:t>防范措施</w:t>
            </w:r>
          </w:p>
        </w:tc>
        <w:tc>
          <w:tcPr>
            <w:tcW w:w="7548" w:type="dxa"/>
            <w:gridSpan w:val="5"/>
            <w:vAlign w:val="center"/>
          </w:tcPr>
          <w:p w14:paraId="374D7A4D">
            <w:pPr>
              <w:widowControl/>
              <w:autoSpaceDE w:val="0"/>
              <w:autoSpaceDN w:val="0"/>
              <w:adjustRightInd w:val="0"/>
              <w:snapToGrid w:val="0"/>
              <w:ind w:firstLine="420" w:firstLineChars="200"/>
              <w:jc w:val="left"/>
              <w:rPr>
                <w:rFonts w:eastAsiaTheme="minorEastAsia"/>
                <w:color w:val="auto"/>
                <w:kern w:val="0"/>
                <w:szCs w:val="21"/>
              </w:rPr>
            </w:pPr>
            <w:r>
              <w:rPr>
                <w:rFonts w:eastAsiaTheme="minorEastAsia"/>
                <w:color w:val="auto"/>
                <w:kern w:val="0"/>
                <w:szCs w:val="21"/>
              </w:rPr>
              <w:t>（1）泄漏</w:t>
            </w:r>
          </w:p>
          <w:p w14:paraId="3E3C669B">
            <w:pPr>
              <w:adjustRightInd w:val="0"/>
              <w:snapToGrid w:val="0"/>
              <w:ind w:firstLine="420" w:firstLineChars="200"/>
              <w:jc w:val="left"/>
              <w:rPr>
                <w:rFonts w:eastAsiaTheme="minorEastAsia"/>
                <w:color w:val="auto"/>
                <w:szCs w:val="21"/>
              </w:rPr>
            </w:pPr>
            <w:r>
              <w:rPr>
                <w:rFonts w:eastAsiaTheme="minorEastAsia"/>
                <w:color w:val="auto"/>
                <w:kern w:val="0"/>
                <w:szCs w:val="21"/>
              </w:rPr>
              <w:t>危险废物贮存场所、化学品库设置导流沟及收集槽收集泄漏物料，配备消防沙覆盖泄漏物减少蒸发，配备无火花收容工具收纳泄漏物料。</w:t>
            </w:r>
            <w:r>
              <w:rPr>
                <w:rFonts w:eastAsiaTheme="minorEastAsia"/>
                <w:color w:val="auto"/>
                <w:szCs w:val="21"/>
              </w:rPr>
              <w:t>危险废物运输过程中注意不同的危险废物单独运输，固废的包装容器注意密闭，以免在运输途中发生危险废物的泄漏，从而产生二次污染。</w:t>
            </w:r>
          </w:p>
          <w:p w14:paraId="58279B9E">
            <w:pPr>
              <w:widowControl/>
              <w:autoSpaceDE w:val="0"/>
              <w:autoSpaceDN w:val="0"/>
              <w:adjustRightInd w:val="0"/>
              <w:snapToGrid w:val="0"/>
              <w:ind w:firstLine="420" w:firstLineChars="200"/>
              <w:jc w:val="left"/>
              <w:rPr>
                <w:rFonts w:eastAsiaTheme="minorEastAsia"/>
                <w:color w:val="auto"/>
                <w:kern w:val="0"/>
                <w:szCs w:val="21"/>
              </w:rPr>
            </w:pPr>
            <w:r>
              <w:rPr>
                <w:rFonts w:eastAsiaTheme="minorEastAsia"/>
                <w:color w:val="auto"/>
                <w:kern w:val="0"/>
                <w:szCs w:val="21"/>
              </w:rPr>
              <w:t>（2）火灾</w:t>
            </w:r>
          </w:p>
          <w:p w14:paraId="67235C32">
            <w:pPr>
              <w:widowControl/>
              <w:autoSpaceDE w:val="0"/>
              <w:autoSpaceDN w:val="0"/>
              <w:adjustRightInd w:val="0"/>
              <w:snapToGrid w:val="0"/>
              <w:ind w:firstLine="420" w:firstLineChars="200"/>
              <w:jc w:val="left"/>
              <w:rPr>
                <w:rFonts w:eastAsiaTheme="minorEastAsia"/>
                <w:color w:val="auto"/>
                <w:szCs w:val="21"/>
              </w:rPr>
            </w:pPr>
            <w:r>
              <w:rPr>
                <w:rFonts w:hint="eastAsia" w:ascii="宋体" w:hAnsi="宋体" w:cs="宋体"/>
                <w:color w:val="auto"/>
                <w:kern w:val="0"/>
                <w:szCs w:val="21"/>
              </w:rPr>
              <w:t>①</w:t>
            </w:r>
            <w:r>
              <w:rPr>
                <w:rFonts w:eastAsiaTheme="minorEastAsia"/>
                <w:color w:val="auto"/>
                <w:szCs w:val="21"/>
              </w:rPr>
              <w:t>危险废物暂存场所配备视频监控、砂土、容器、灭火器、通讯工具等必要的应急处理设备、器材以及相关的人员防护和急救用品。</w:t>
            </w:r>
          </w:p>
          <w:p w14:paraId="1F083A41">
            <w:pPr>
              <w:widowControl/>
              <w:autoSpaceDE w:val="0"/>
              <w:autoSpaceDN w:val="0"/>
              <w:adjustRightInd w:val="0"/>
              <w:snapToGrid w:val="0"/>
              <w:ind w:firstLine="420" w:firstLineChars="200"/>
              <w:jc w:val="left"/>
              <w:rPr>
                <w:rFonts w:eastAsiaTheme="minorEastAsia"/>
                <w:color w:val="auto"/>
                <w:kern w:val="0"/>
                <w:szCs w:val="21"/>
              </w:rPr>
            </w:pPr>
            <w:r>
              <w:rPr>
                <w:rFonts w:hint="eastAsia" w:ascii="宋体" w:hAnsi="宋体" w:cs="宋体"/>
                <w:color w:val="auto"/>
                <w:kern w:val="0"/>
                <w:szCs w:val="21"/>
              </w:rPr>
              <w:t>②</w:t>
            </w:r>
            <w:r>
              <w:rPr>
                <w:rFonts w:eastAsiaTheme="minorEastAsia"/>
                <w:color w:val="auto"/>
                <w:kern w:val="0"/>
                <w:szCs w:val="21"/>
              </w:rPr>
              <w:t>各区域按规范设置灭火器、消防设施并定期检查维护。发生火灾事故险情时，第一发现人应立即报告主管，根据事故险情和扑救具体情况采取适当措施，如需外援应立即拨打火警119告知火灾危险严重程度。</w:t>
            </w:r>
          </w:p>
        </w:tc>
      </w:tr>
      <w:tr w14:paraId="0A652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vAlign w:val="center"/>
          </w:tcPr>
          <w:p w14:paraId="178B26F8">
            <w:pPr>
              <w:adjustRightInd w:val="0"/>
              <w:snapToGrid w:val="0"/>
              <w:jc w:val="center"/>
              <w:rPr>
                <w:color w:val="auto"/>
                <w:spacing w:val="-8"/>
                <w:szCs w:val="21"/>
              </w:rPr>
            </w:pPr>
            <w:r>
              <w:rPr>
                <w:color w:val="auto"/>
                <w:spacing w:val="-8"/>
                <w:szCs w:val="21"/>
              </w:rPr>
              <w:t>其他环境</w:t>
            </w:r>
          </w:p>
          <w:p w14:paraId="5B5ED4C9">
            <w:pPr>
              <w:adjustRightInd w:val="0"/>
              <w:snapToGrid w:val="0"/>
              <w:jc w:val="center"/>
              <w:rPr>
                <w:color w:val="auto"/>
                <w:spacing w:val="-8"/>
                <w:szCs w:val="21"/>
              </w:rPr>
            </w:pPr>
            <w:r>
              <w:rPr>
                <w:color w:val="auto"/>
                <w:spacing w:val="-8"/>
                <w:szCs w:val="21"/>
              </w:rPr>
              <w:t>管理要求</w:t>
            </w:r>
          </w:p>
        </w:tc>
        <w:tc>
          <w:tcPr>
            <w:tcW w:w="7548" w:type="dxa"/>
            <w:gridSpan w:val="5"/>
            <w:vAlign w:val="center"/>
          </w:tcPr>
          <w:p w14:paraId="67B45696">
            <w:pPr>
              <w:adjustRightInd w:val="0"/>
              <w:snapToGrid w:val="0"/>
              <w:jc w:val="left"/>
              <w:rPr>
                <w:color w:val="auto"/>
                <w:szCs w:val="21"/>
              </w:rPr>
            </w:pPr>
            <w:r>
              <w:rPr>
                <w:color w:val="auto"/>
                <w:szCs w:val="21"/>
              </w:rPr>
              <w:t>本项目建成后，需申请排污许可证；</w:t>
            </w:r>
          </w:p>
          <w:p w14:paraId="349A60B8">
            <w:pPr>
              <w:adjustRightInd w:val="0"/>
              <w:snapToGrid w:val="0"/>
              <w:jc w:val="left"/>
              <w:rPr>
                <w:color w:val="auto"/>
                <w:szCs w:val="21"/>
              </w:rPr>
            </w:pPr>
            <w:r>
              <w:rPr>
                <w:color w:val="auto"/>
                <w:szCs w:val="21"/>
              </w:rPr>
              <w:t>排污（放）口规范化设置，管理文件，监测计划，定期检查记录环评批复要求的落实情况；废气：排气筒按照要求安装标志牌、预留监测采样口；废水：废水排放口按照要求安装标志牌；噪声：固定噪声源对厂房边界最大影响处，设置噪声监测点；固废：设置专用的贮存设施、堆放场地，在固废贮存场所设置醒目的环境保护标志牌。</w:t>
            </w:r>
          </w:p>
        </w:tc>
      </w:tr>
    </w:tbl>
    <w:p w14:paraId="592B69FC">
      <w:pPr>
        <w:pStyle w:val="37"/>
        <w:jc w:val="center"/>
        <w:outlineLvl w:val="0"/>
        <w:rPr>
          <w:rFonts w:ascii="Times New Roman" w:hAnsi="Times New Roman"/>
          <w:b/>
          <w:snapToGrid w:val="0"/>
          <w:sz w:val="30"/>
          <w:szCs w:val="30"/>
        </w:rPr>
      </w:pPr>
      <w:r>
        <w:rPr>
          <w:rFonts w:ascii="Times New Roman" w:hAnsi="Times New Roman"/>
          <w:snapToGrid w:val="0"/>
        </w:rPr>
        <w:br w:type="page"/>
      </w:r>
      <w:bookmarkStart w:id="38" w:name="_Toc6358"/>
      <w:r>
        <w:rPr>
          <w:rFonts w:ascii="Times New Roman" w:hAnsi="Times New Roman"/>
          <w:b/>
          <w:snapToGrid w:val="0"/>
          <w:sz w:val="30"/>
          <w:szCs w:val="30"/>
        </w:rPr>
        <w:t>六、结论</w:t>
      </w:r>
      <w:bookmarkEnd w:id="38"/>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B06D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9211A3E">
            <w:pPr>
              <w:spacing w:line="360" w:lineRule="auto"/>
              <w:ind w:firstLine="480" w:firstLineChars="200"/>
              <w:rPr>
                <w:sz w:val="24"/>
              </w:rPr>
            </w:pPr>
            <w:r>
              <w:rPr>
                <w:bCs/>
                <w:sz w:val="24"/>
              </w:rPr>
              <w:t>综上所述，本项目的建设符合国家和地方产业政策，选址与当地规划相符，各项污染物能够实现达标排放，对环境的影响较小，不会造成区域环境功能的改变，因此从环境保护的角度来讲，本评价认为该项目在坚持“三同时”原则并采取一定的环保措施后，在拟建地建设是可行的。</w:t>
            </w:r>
          </w:p>
        </w:tc>
      </w:tr>
    </w:tbl>
    <w:p w14:paraId="392AF69E">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10DC0D9">
      <w:pPr>
        <w:pStyle w:val="37"/>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textAlignment w:val="auto"/>
        <w:outlineLvl w:val="0"/>
        <w:rPr>
          <w:rFonts w:ascii="Times New Roman" w:hAnsi="Times New Roman"/>
          <w:snapToGrid w:val="0"/>
          <w:sz w:val="22"/>
          <w:szCs w:val="22"/>
        </w:rPr>
      </w:pPr>
      <w:bookmarkStart w:id="39" w:name="_Toc21209"/>
      <w:r>
        <w:rPr>
          <w:rFonts w:ascii="Times New Roman" w:hAnsi="Times New Roman"/>
          <w:snapToGrid w:val="0"/>
          <w:sz w:val="22"/>
          <w:szCs w:val="22"/>
        </w:rPr>
        <w:t>附表</w:t>
      </w:r>
      <w:bookmarkEnd w:id="39"/>
    </w:p>
    <w:p w14:paraId="386CF3B7">
      <w:pPr>
        <w:pStyle w:val="37"/>
        <w:keepNext w:val="0"/>
        <w:keepLines w:val="0"/>
        <w:pageBreakBefore w:val="0"/>
        <w:widowControl/>
        <w:kinsoku/>
        <w:wordWrap/>
        <w:overflowPunct/>
        <w:topLinePunct w:val="0"/>
        <w:autoSpaceDE/>
        <w:autoSpaceDN/>
        <w:bidi w:val="0"/>
        <w:adjustRightInd w:val="0"/>
        <w:snapToGrid w:val="0"/>
        <w:spacing w:before="0" w:beforeAutospacing="0" w:after="0" w:afterAutospacing="0" w:line="280" w:lineRule="exact"/>
        <w:jc w:val="center"/>
        <w:textAlignment w:val="auto"/>
        <w:outlineLvl w:val="0"/>
        <w:rPr>
          <w:rFonts w:ascii="Times New Roman" w:hAnsi="Times New Roman"/>
          <w:snapToGrid w:val="0"/>
          <w:sz w:val="22"/>
          <w:szCs w:val="22"/>
        </w:rPr>
      </w:pPr>
      <w:bookmarkStart w:id="40" w:name="_Toc17211"/>
      <w:r>
        <w:rPr>
          <w:rFonts w:ascii="Times New Roman" w:hAnsi="Times New Roman"/>
          <w:snapToGrid w:val="0"/>
          <w:sz w:val="22"/>
          <w:szCs w:val="22"/>
        </w:rPr>
        <w:t>建设项目污染物排放量汇总表</w:t>
      </w:r>
      <w:bookmarkEnd w:id="40"/>
    </w:p>
    <w:tbl>
      <w:tblPr>
        <w:tblStyle w:val="42"/>
        <w:tblW w:w="1389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778"/>
        <w:gridCol w:w="1363"/>
        <w:gridCol w:w="1286"/>
        <w:gridCol w:w="1714"/>
        <w:gridCol w:w="1572"/>
        <w:gridCol w:w="1774"/>
        <w:gridCol w:w="1632"/>
        <w:gridCol w:w="1174"/>
      </w:tblGrid>
      <w:tr w14:paraId="3C52E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01" w:type="dxa"/>
            <w:tcBorders>
              <w:tl2br w:val="single" w:color="auto" w:sz="4" w:space="0"/>
            </w:tcBorders>
            <w:tcMar>
              <w:left w:w="28" w:type="dxa"/>
              <w:right w:w="28" w:type="dxa"/>
            </w:tcMar>
            <w:vAlign w:val="center"/>
          </w:tcPr>
          <w:p w14:paraId="6D7F2F93">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项目</w:t>
            </w:r>
          </w:p>
          <w:p w14:paraId="349AE069">
            <w:pPr>
              <w:pStyle w:val="76"/>
              <w:spacing w:beforeLines="0" w:afterLines="0" w:line="240" w:lineRule="auto"/>
              <w:ind w:firstLine="198" w:firstLineChars="100"/>
              <w:jc w:val="left"/>
              <w:rPr>
                <w:rFonts w:ascii="Times New Roman"/>
                <w:snapToGrid w:val="0"/>
                <w:color w:val="auto"/>
                <w:spacing w:val="-6"/>
                <w:kern w:val="21"/>
                <w:szCs w:val="21"/>
              </w:rPr>
            </w:pPr>
            <w:r>
              <w:rPr>
                <w:rFonts w:ascii="Times New Roman"/>
                <w:snapToGrid w:val="0"/>
                <w:color w:val="auto"/>
                <w:spacing w:val="-6"/>
                <w:kern w:val="21"/>
                <w:szCs w:val="21"/>
              </w:rPr>
              <w:t>分类</w:t>
            </w:r>
          </w:p>
        </w:tc>
        <w:tc>
          <w:tcPr>
            <w:tcW w:w="1778" w:type="dxa"/>
            <w:tcMar>
              <w:left w:w="28" w:type="dxa"/>
              <w:right w:w="28" w:type="dxa"/>
            </w:tcMar>
            <w:vAlign w:val="center"/>
          </w:tcPr>
          <w:p w14:paraId="6A552DF1">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363" w:type="dxa"/>
            <w:tcMar>
              <w:left w:w="28" w:type="dxa"/>
              <w:right w:w="28" w:type="dxa"/>
            </w:tcMar>
            <w:vAlign w:val="center"/>
          </w:tcPr>
          <w:p w14:paraId="4B3C287F">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28722D02">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286" w:type="dxa"/>
            <w:tcMar>
              <w:left w:w="28" w:type="dxa"/>
              <w:right w:w="28" w:type="dxa"/>
            </w:tcMar>
            <w:vAlign w:val="center"/>
          </w:tcPr>
          <w:p w14:paraId="767CFCEF">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6C3AA5A3">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39C0FFF6">
            <w:pPr>
              <w:pStyle w:val="76"/>
              <w:spacing w:beforeLines="0" w:afterLines="0"/>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14" w:type="dxa"/>
            <w:tcMar>
              <w:left w:w="28" w:type="dxa"/>
              <w:right w:w="28" w:type="dxa"/>
            </w:tcMar>
            <w:vAlign w:val="center"/>
          </w:tcPr>
          <w:p w14:paraId="0AA3A3B6">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14:paraId="44EFF35B">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72" w:type="dxa"/>
            <w:tcMar>
              <w:left w:w="28" w:type="dxa"/>
              <w:right w:w="28" w:type="dxa"/>
            </w:tcMar>
            <w:vAlign w:val="center"/>
          </w:tcPr>
          <w:p w14:paraId="4C32FAC0">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14:paraId="00D86E53">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774" w:type="dxa"/>
            <w:tcMar>
              <w:left w:w="28" w:type="dxa"/>
              <w:right w:w="28" w:type="dxa"/>
            </w:tcMar>
            <w:vAlign w:val="center"/>
          </w:tcPr>
          <w:p w14:paraId="45E227E4">
            <w:pPr>
              <w:pStyle w:val="76"/>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67104AD6">
            <w:pPr>
              <w:pStyle w:val="76"/>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632" w:type="dxa"/>
            <w:tcMar>
              <w:left w:w="28" w:type="dxa"/>
              <w:right w:w="28" w:type="dxa"/>
            </w:tcMar>
            <w:vAlign w:val="center"/>
          </w:tcPr>
          <w:p w14:paraId="69D4D7A9">
            <w:pPr>
              <w:pStyle w:val="76"/>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3E2317A9">
            <w:pPr>
              <w:pStyle w:val="76"/>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174" w:type="dxa"/>
            <w:tcMar>
              <w:left w:w="28" w:type="dxa"/>
              <w:right w:w="28" w:type="dxa"/>
            </w:tcMar>
            <w:vAlign w:val="center"/>
          </w:tcPr>
          <w:p w14:paraId="3D6082F0">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103CCEE4">
            <w:pPr>
              <w:pStyle w:val="76"/>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14:paraId="793A3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restart"/>
            <w:vAlign w:val="center"/>
          </w:tcPr>
          <w:p w14:paraId="3541F3E0">
            <w:pPr>
              <w:pStyle w:val="76"/>
              <w:spacing w:beforeLines="0" w:afterLines="0" w:line="360" w:lineRule="auto"/>
              <w:jc w:val="center"/>
              <w:rPr>
                <w:rFonts w:hint="eastAsia" w:ascii="Times New Roman" w:eastAsia="宋体"/>
                <w:snapToGrid w:val="0"/>
                <w:color w:val="auto"/>
                <w:kern w:val="21"/>
                <w:szCs w:val="21"/>
                <w:lang w:eastAsia="zh-CN"/>
              </w:rPr>
            </w:pPr>
            <w:r>
              <w:rPr>
                <w:rFonts w:ascii="Times New Roman"/>
                <w:snapToGrid w:val="0"/>
                <w:color w:val="auto"/>
                <w:kern w:val="21"/>
                <w:szCs w:val="21"/>
              </w:rPr>
              <w:t>废气</w:t>
            </w:r>
            <w:r>
              <w:rPr>
                <w:rFonts w:hint="eastAsia" w:ascii="Times New Roman"/>
                <w:snapToGrid w:val="0"/>
                <w:color w:val="auto"/>
                <w:kern w:val="21"/>
                <w:szCs w:val="21"/>
                <w:lang w:eastAsia="zh-CN"/>
              </w:rPr>
              <w:t>（有组织）</w:t>
            </w:r>
          </w:p>
        </w:tc>
        <w:tc>
          <w:tcPr>
            <w:tcW w:w="1778" w:type="dxa"/>
            <w:vAlign w:val="center"/>
          </w:tcPr>
          <w:p w14:paraId="55D2AF28">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颗粒物</w:t>
            </w:r>
          </w:p>
        </w:tc>
        <w:tc>
          <w:tcPr>
            <w:tcW w:w="1363" w:type="dxa"/>
            <w:vAlign w:val="center"/>
          </w:tcPr>
          <w:p w14:paraId="2A16D71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22422E6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571CDC4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50870AD1">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0.3628</w:t>
            </w:r>
          </w:p>
        </w:tc>
        <w:tc>
          <w:tcPr>
            <w:tcW w:w="1774" w:type="dxa"/>
            <w:vAlign w:val="center"/>
          </w:tcPr>
          <w:p w14:paraId="49DDBCD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6D3778B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0.3628</w:t>
            </w:r>
          </w:p>
        </w:tc>
        <w:tc>
          <w:tcPr>
            <w:tcW w:w="1174" w:type="dxa"/>
            <w:vAlign w:val="center"/>
          </w:tcPr>
          <w:p w14:paraId="5A3DB0D3">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+0.3628</w:t>
            </w:r>
          </w:p>
        </w:tc>
      </w:tr>
      <w:tr w14:paraId="48F35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6EBA901D">
            <w:pPr>
              <w:pStyle w:val="76"/>
              <w:spacing w:beforeLines="0" w:afterLines="0" w:line="360" w:lineRule="auto"/>
              <w:jc w:val="center"/>
              <w:rPr>
                <w:rFonts w:ascii="Times New Roman"/>
                <w:snapToGrid w:val="0"/>
                <w:color w:val="auto"/>
                <w:kern w:val="21"/>
                <w:szCs w:val="21"/>
              </w:rPr>
            </w:pPr>
          </w:p>
        </w:tc>
        <w:tc>
          <w:tcPr>
            <w:tcW w:w="1778" w:type="dxa"/>
            <w:vAlign w:val="center"/>
          </w:tcPr>
          <w:p w14:paraId="454F197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非甲烷总烃</w:t>
            </w:r>
          </w:p>
        </w:tc>
        <w:tc>
          <w:tcPr>
            <w:tcW w:w="1363" w:type="dxa"/>
            <w:vAlign w:val="center"/>
          </w:tcPr>
          <w:p w14:paraId="366EFEB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466877B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57289842">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35C4E93B">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0.0186</w:t>
            </w:r>
          </w:p>
        </w:tc>
        <w:tc>
          <w:tcPr>
            <w:tcW w:w="1774" w:type="dxa"/>
            <w:vAlign w:val="center"/>
          </w:tcPr>
          <w:p w14:paraId="6C427FFD">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73E65144">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0.0186</w:t>
            </w:r>
          </w:p>
        </w:tc>
        <w:tc>
          <w:tcPr>
            <w:tcW w:w="1174" w:type="dxa"/>
            <w:vAlign w:val="center"/>
          </w:tcPr>
          <w:p w14:paraId="2F75A799">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+0.0186</w:t>
            </w:r>
          </w:p>
        </w:tc>
      </w:tr>
      <w:tr w14:paraId="1DB2C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571B56F8">
            <w:pPr>
              <w:pStyle w:val="76"/>
              <w:spacing w:beforeLines="0" w:afterLines="0" w:line="360" w:lineRule="auto"/>
              <w:jc w:val="center"/>
              <w:rPr>
                <w:rFonts w:ascii="Times New Roman"/>
                <w:snapToGrid w:val="0"/>
                <w:color w:val="auto"/>
                <w:kern w:val="21"/>
                <w:szCs w:val="21"/>
              </w:rPr>
            </w:pPr>
          </w:p>
        </w:tc>
        <w:tc>
          <w:tcPr>
            <w:tcW w:w="1778" w:type="dxa"/>
            <w:vAlign w:val="center"/>
          </w:tcPr>
          <w:p w14:paraId="02B4170F">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eastAsia="zh-CN"/>
              </w:rPr>
              <w:t>氨</w:t>
            </w:r>
          </w:p>
        </w:tc>
        <w:tc>
          <w:tcPr>
            <w:tcW w:w="1363" w:type="dxa"/>
            <w:vAlign w:val="center"/>
          </w:tcPr>
          <w:p w14:paraId="4E50883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762BC1C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6D990093">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5D43F706">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0.007</w:t>
            </w:r>
          </w:p>
        </w:tc>
        <w:tc>
          <w:tcPr>
            <w:tcW w:w="1774" w:type="dxa"/>
            <w:vAlign w:val="center"/>
          </w:tcPr>
          <w:p w14:paraId="098CA98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30F181D7">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0.007</w:t>
            </w:r>
          </w:p>
        </w:tc>
        <w:tc>
          <w:tcPr>
            <w:tcW w:w="1174" w:type="dxa"/>
            <w:vAlign w:val="center"/>
          </w:tcPr>
          <w:p w14:paraId="6EF08C7C">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+0.007</w:t>
            </w:r>
          </w:p>
        </w:tc>
      </w:tr>
      <w:tr w14:paraId="7AA16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5A6C9806">
            <w:pPr>
              <w:pStyle w:val="76"/>
              <w:spacing w:beforeLines="0" w:afterLines="0" w:line="360" w:lineRule="auto"/>
              <w:jc w:val="center"/>
              <w:rPr>
                <w:rFonts w:ascii="Times New Roman"/>
                <w:snapToGrid w:val="0"/>
                <w:color w:val="auto"/>
                <w:kern w:val="21"/>
                <w:szCs w:val="21"/>
              </w:rPr>
            </w:pPr>
          </w:p>
        </w:tc>
        <w:tc>
          <w:tcPr>
            <w:tcW w:w="1778" w:type="dxa"/>
            <w:vAlign w:val="center"/>
          </w:tcPr>
          <w:p w14:paraId="476F844D">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甲醛</w:t>
            </w:r>
          </w:p>
        </w:tc>
        <w:tc>
          <w:tcPr>
            <w:tcW w:w="1363" w:type="dxa"/>
            <w:vAlign w:val="center"/>
          </w:tcPr>
          <w:p w14:paraId="084DDC08">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286" w:type="dxa"/>
            <w:vAlign w:val="center"/>
          </w:tcPr>
          <w:p w14:paraId="308535BC">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714" w:type="dxa"/>
            <w:vAlign w:val="center"/>
          </w:tcPr>
          <w:p w14:paraId="61FBAD45">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572" w:type="dxa"/>
            <w:vAlign w:val="center"/>
          </w:tcPr>
          <w:p w14:paraId="357987FF">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0.0117</w:t>
            </w:r>
          </w:p>
        </w:tc>
        <w:tc>
          <w:tcPr>
            <w:tcW w:w="1774" w:type="dxa"/>
            <w:vAlign w:val="center"/>
          </w:tcPr>
          <w:p w14:paraId="40BAD953">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w:t>
            </w:r>
          </w:p>
        </w:tc>
        <w:tc>
          <w:tcPr>
            <w:tcW w:w="1632" w:type="dxa"/>
            <w:vAlign w:val="center"/>
          </w:tcPr>
          <w:p w14:paraId="458BBAD7">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0.0117</w:t>
            </w:r>
          </w:p>
        </w:tc>
        <w:tc>
          <w:tcPr>
            <w:tcW w:w="1174" w:type="dxa"/>
            <w:vAlign w:val="center"/>
          </w:tcPr>
          <w:p w14:paraId="492A1AD9">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+0.0117</w:t>
            </w:r>
          </w:p>
        </w:tc>
      </w:tr>
      <w:tr w14:paraId="37645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restart"/>
            <w:vAlign w:val="center"/>
          </w:tcPr>
          <w:p w14:paraId="1EAD0750">
            <w:pPr>
              <w:pStyle w:val="76"/>
              <w:spacing w:beforeLines="0" w:afterLines="0" w:line="360" w:lineRule="auto"/>
              <w:jc w:val="center"/>
              <w:rPr>
                <w:rFonts w:ascii="Times New Roman"/>
                <w:snapToGrid w:val="0"/>
                <w:color w:val="auto"/>
                <w:kern w:val="21"/>
                <w:szCs w:val="21"/>
              </w:rPr>
            </w:pPr>
            <w:r>
              <w:rPr>
                <w:rFonts w:ascii="Times New Roman"/>
                <w:snapToGrid w:val="0"/>
                <w:color w:val="auto"/>
                <w:kern w:val="21"/>
                <w:szCs w:val="21"/>
              </w:rPr>
              <w:t>废气</w:t>
            </w:r>
            <w:r>
              <w:rPr>
                <w:rFonts w:hint="eastAsia" w:ascii="Times New Roman"/>
                <w:snapToGrid w:val="0"/>
                <w:color w:val="auto"/>
                <w:kern w:val="21"/>
                <w:szCs w:val="21"/>
                <w:lang w:eastAsia="zh-CN"/>
              </w:rPr>
              <w:t>（无组织）</w:t>
            </w:r>
          </w:p>
        </w:tc>
        <w:tc>
          <w:tcPr>
            <w:tcW w:w="1778" w:type="dxa"/>
            <w:vAlign w:val="center"/>
          </w:tcPr>
          <w:p w14:paraId="4E7A489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颗粒物</w:t>
            </w:r>
          </w:p>
        </w:tc>
        <w:tc>
          <w:tcPr>
            <w:tcW w:w="1363" w:type="dxa"/>
            <w:vAlign w:val="center"/>
          </w:tcPr>
          <w:p w14:paraId="7E3D5438">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66A01CD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2D605F3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1154C5B8">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0.6455</w:t>
            </w:r>
          </w:p>
        </w:tc>
        <w:tc>
          <w:tcPr>
            <w:tcW w:w="1774" w:type="dxa"/>
            <w:vAlign w:val="center"/>
          </w:tcPr>
          <w:p w14:paraId="073CBD1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4C92EB2C">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0.6455</w:t>
            </w:r>
          </w:p>
        </w:tc>
        <w:tc>
          <w:tcPr>
            <w:tcW w:w="1174" w:type="dxa"/>
            <w:vAlign w:val="center"/>
          </w:tcPr>
          <w:p w14:paraId="1CFA2A64">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+0.6455</w:t>
            </w:r>
          </w:p>
        </w:tc>
      </w:tr>
      <w:tr w14:paraId="79EF1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4DA42766">
            <w:pPr>
              <w:pStyle w:val="76"/>
              <w:spacing w:beforeLines="0" w:afterLines="0" w:line="360" w:lineRule="auto"/>
              <w:jc w:val="center"/>
              <w:rPr>
                <w:rFonts w:ascii="Times New Roman"/>
                <w:snapToGrid w:val="0"/>
                <w:color w:val="auto"/>
                <w:kern w:val="21"/>
                <w:szCs w:val="21"/>
              </w:rPr>
            </w:pPr>
          </w:p>
        </w:tc>
        <w:tc>
          <w:tcPr>
            <w:tcW w:w="1778" w:type="dxa"/>
            <w:vAlign w:val="center"/>
          </w:tcPr>
          <w:p w14:paraId="6B262718">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非甲烷总烃</w:t>
            </w:r>
          </w:p>
        </w:tc>
        <w:tc>
          <w:tcPr>
            <w:tcW w:w="1363" w:type="dxa"/>
            <w:vAlign w:val="center"/>
          </w:tcPr>
          <w:p w14:paraId="3F063D56">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286" w:type="dxa"/>
            <w:vAlign w:val="center"/>
          </w:tcPr>
          <w:p w14:paraId="77FAA16D">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714" w:type="dxa"/>
            <w:vAlign w:val="center"/>
          </w:tcPr>
          <w:p w14:paraId="1A9CD46D">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572" w:type="dxa"/>
            <w:vAlign w:val="center"/>
          </w:tcPr>
          <w:p w14:paraId="42621F7C">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0.0206</w:t>
            </w:r>
          </w:p>
        </w:tc>
        <w:tc>
          <w:tcPr>
            <w:tcW w:w="1774" w:type="dxa"/>
            <w:vAlign w:val="center"/>
          </w:tcPr>
          <w:p w14:paraId="2E5007A1">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w:t>
            </w:r>
          </w:p>
        </w:tc>
        <w:tc>
          <w:tcPr>
            <w:tcW w:w="1632" w:type="dxa"/>
            <w:vAlign w:val="center"/>
          </w:tcPr>
          <w:p w14:paraId="3EE8A2E6">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0.0206</w:t>
            </w:r>
          </w:p>
        </w:tc>
        <w:tc>
          <w:tcPr>
            <w:tcW w:w="1174" w:type="dxa"/>
            <w:vAlign w:val="center"/>
          </w:tcPr>
          <w:p w14:paraId="507395D1">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+0.0206</w:t>
            </w:r>
          </w:p>
        </w:tc>
      </w:tr>
      <w:tr w14:paraId="751C6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78D76C6F">
            <w:pPr>
              <w:pStyle w:val="76"/>
              <w:spacing w:beforeLines="0" w:afterLines="0" w:line="360" w:lineRule="auto"/>
              <w:jc w:val="center"/>
              <w:rPr>
                <w:rFonts w:ascii="Times New Roman"/>
                <w:snapToGrid w:val="0"/>
                <w:color w:val="auto"/>
                <w:kern w:val="21"/>
                <w:szCs w:val="21"/>
              </w:rPr>
            </w:pPr>
          </w:p>
        </w:tc>
        <w:tc>
          <w:tcPr>
            <w:tcW w:w="1778" w:type="dxa"/>
            <w:vAlign w:val="center"/>
          </w:tcPr>
          <w:p w14:paraId="12A0F07C">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氨</w:t>
            </w:r>
          </w:p>
        </w:tc>
        <w:tc>
          <w:tcPr>
            <w:tcW w:w="1363" w:type="dxa"/>
            <w:vAlign w:val="center"/>
          </w:tcPr>
          <w:p w14:paraId="6A9612B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2713BFA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2DAFC26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0B4AF242">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0.0156</w:t>
            </w:r>
          </w:p>
        </w:tc>
        <w:tc>
          <w:tcPr>
            <w:tcW w:w="1774" w:type="dxa"/>
            <w:vAlign w:val="center"/>
          </w:tcPr>
          <w:p w14:paraId="534AB3D3">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77C29C0C">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0.0156</w:t>
            </w:r>
          </w:p>
        </w:tc>
        <w:tc>
          <w:tcPr>
            <w:tcW w:w="1174" w:type="dxa"/>
            <w:vAlign w:val="center"/>
          </w:tcPr>
          <w:p w14:paraId="30E05FD9">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+0.0156</w:t>
            </w:r>
          </w:p>
        </w:tc>
      </w:tr>
      <w:tr w14:paraId="4200A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25718711">
            <w:pPr>
              <w:pStyle w:val="76"/>
              <w:spacing w:beforeLines="0" w:afterLines="0" w:line="360" w:lineRule="auto"/>
              <w:jc w:val="center"/>
              <w:rPr>
                <w:rFonts w:ascii="Times New Roman"/>
                <w:snapToGrid w:val="0"/>
                <w:color w:val="auto"/>
                <w:kern w:val="21"/>
                <w:szCs w:val="21"/>
              </w:rPr>
            </w:pPr>
          </w:p>
        </w:tc>
        <w:tc>
          <w:tcPr>
            <w:tcW w:w="1778" w:type="dxa"/>
            <w:vAlign w:val="center"/>
          </w:tcPr>
          <w:p w14:paraId="2FF100F9">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甲醛</w:t>
            </w:r>
          </w:p>
        </w:tc>
        <w:tc>
          <w:tcPr>
            <w:tcW w:w="1363" w:type="dxa"/>
            <w:vAlign w:val="center"/>
          </w:tcPr>
          <w:p w14:paraId="29D8BF0F">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286" w:type="dxa"/>
            <w:vAlign w:val="center"/>
          </w:tcPr>
          <w:p w14:paraId="584CA25E">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714" w:type="dxa"/>
            <w:vAlign w:val="center"/>
          </w:tcPr>
          <w:p w14:paraId="775B36F5">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572" w:type="dxa"/>
            <w:vAlign w:val="center"/>
          </w:tcPr>
          <w:p w14:paraId="565A5AEC">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0.013</w:t>
            </w:r>
          </w:p>
        </w:tc>
        <w:tc>
          <w:tcPr>
            <w:tcW w:w="1774" w:type="dxa"/>
            <w:vAlign w:val="center"/>
          </w:tcPr>
          <w:p w14:paraId="33B867A8">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w:t>
            </w:r>
          </w:p>
        </w:tc>
        <w:tc>
          <w:tcPr>
            <w:tcW w:w="1632" w:type="dxa"/>
            <w:vAlign w:val="center"/>
          </w:tcPr>
          <w:p w14:paraId="32AD73F9">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0.013</w:t>
            </w:r>
          </w:p>
        </w:tc>
        <w:tc>
          <w:tcPr>
            <w:tcW w:w="1174" w:type="dxa"/>
            <w:vAlign w:val="center"/>
          </w:tcPr>
          <w:p w14:paraId="61ECE539">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+0.013</w:t>
            </w:r>
          </w:p>
        </w:tc>
      </w:tr>
      <w:tr w14:paraId="64F1F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restart"/>
            <w:vAlign w:val="center"/>
          </w:tcPr>
          <w:p w14:paraId="038138D3">
            <w:pPr>
              <w:pStyle w:val="76"/>
              <w:spacing w:beforeLines="0" w:afterLines="0" w:line="360" w:lineRule="auto"/>
              <w:jc w:val="center"/>
              <w:rPr>
                <w:rFonts w:hint="eastAsia" w:ascii="Times New Roman" w:eastAsia="宋体"/>
                <w:snapToGrid w:val="0"/>
                <w:color w:val="auto"/>
                <w:kern w:val="21"/>
                <w:szCs w:val="21"/>
                <w:lang w:eastAsia="zh-CN"/>
              </w:rPr>
            </w:pPr>
            <w:r>
              <w:rPr>
                <w:rFonts w:ascii="Times New Roman"/>
                <w:snapToGrid w:val="0"/>
                <w:color w:val="auto"/>
                <w:kern w:val="21"/>
                <w:szCs w:val="21"/>
              </w:rPr>
              <w:t>废水</w:t>
            </w:r>
            <w:r>
              <w:rPr>
                <w:rFonts w:hint="eastAsia" w:ascii="Times New Roman"/>
                <w:snapToGrid w:val="0"/>
                <w:color w:val="auto"/>
                <w:kern w:val="21"/>
                <w:szCs w:val="21"/>
                <w:lang w:eastAsia="zh-CN"/>
              </w:rPr>
              <w:t>（接管量）</w:t>
            </w:r>
          </w:p>
        </w:tc>
        <w:tc>
          <w:tcPr>
            <w:tcW w:w="1778" w:type="dxa"/>
            <w:vAlign w:val="center"/>
          </w:tcPr>
          <w:p w14:paraId="44D854F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COD</w:t>
            </w:r>
          </w:p>
        </w:tc>
        <w:tc>
          <w:tcPr>
            <w:tcW w:w="1363" w:type="dxa"/>
            <w:vAlign w:val="center"/>
          </w:tcPr>
          <w:p w14:paraId="7236D89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0BD45A1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729CD2B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572" w:type="dxa"/>
            <w:vAlign w:val="center"/>
          </w:tcPr>
          <w:p w14:paraId="1B8ACDE4">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0.1323</w:t>
            </w:r>
          </w:p>
        </w:tc>
        <w:tc>
          <w:tcPr>
            <w:tcW w:w="1774" w:type="dxa"/>
            <w:vAlign w:val="center"/>
          </w:tcPr>
          <w:p w14:paraId="50C03F1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12FD88DB">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0.1323</w:t>
            </w:r>
          </w:p>
        </w:tc>
        <w:tc>
          <w:tcPr>
            <w:tcW w:w="1174" w:type="dxa"/>
            <w:vAlign w:val="center"/>
          </w:tcPr>
          <w:p w14:paraId="72B2439C">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+0.1323</w:t>
            </w:r>
          </w:p>
        </w:tc>
      </w:tr>
      <w:tr w14:paraId="1B7D4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64CC72D3">
            <w:pPr>
              <w:pStyle w:val="76"/>
              <w:spacing w:beforeLines="0" w:afterLines="0" w:line="360" w:lineRule="auto"/>
              <w:jc w:val="center"/>
              <w:rPr>
                <w:rFonts w:ascii="Times New Roman"/>
                <w:snapToGrid w:val="0"/>
                <w:color w:val="auto"/>
                <w:kern w:val="21"/>
                <w:szCs w:val="21"/>
              </w:rPr>
            </w:pPr>
          </w:p>
        </w:tc>
        <w:tc>
          <w:tcPr>
            <w:tcW w:w="1778" w:type="dxa"/>
            <w:vAlign w:val="center"/>
          </w:tcPr>
          <w:p w14:paraId="39BCFB2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SS</w:t>
            </w:r>
          </w:p>
        </w:tc>
        <w:tc>
          <w:tcPr>
            <w:tcW w:w="1363" w:type="dxa"/>
            <w:vAlign w:val="center"/>
          </w:tcPr>
          <w:p w14:paraId="5A128EE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74E7404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612DEA3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572" w:type="dxa"/>
            <w:vAlign w:val="center"/>
          </w:tcPr>
          <w:p w14:paraId="41BA23DA">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0.0473</w:t>
            </w:r>
          </w:p>
        </w:tc>
        <w:tc>
          <w:tcPr>
            <w:tcW w:w="1774" w:type="dxa"/>
            <w:vAlign w:val="center"/>
          </w:tcPr>
          <w:p w14:paraId="3970341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72AB7260">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0.0473</w:t>
            </w:r>
          </w:p>
        </w:tc>
        <w:tc>
          <w:tcPr>
            <w:tcW w:w="1174" w:type="dxa"/>
            <w:vAlign w:val="center"/>
          </w:tcPr>
          <w:p w14:paraId="5F30EBA4">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+0.0473</w:t>
            </w:r>
          </w:p>
        </w:tc>
      </w:tr>
      <w:tr w14:paraId="6BB4A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7D39C9CC">
            <w:pPr>
              <w:pStyle w:val="76"/>
              <w:spacing w:beforeLines="0" w:afterLines="0" w:line="360" w:lineRule="auto"/>
              <w:jc w:val="center"/>
              <w:rPr>
                <w:rFonts w:ascii="Times New Roman"/>
                <w:snapToGrid w:val="0"/>
                <w:color w:val="auto"/>
                <w:kern w:val="21"/>
                <w:szCs w:val="21"/>
              </w:rPr>
            </w:pPr>
          </w:p>
        </w:tc>
        <w:tc>
          <w:tcPr>
            <w:tcW w:w="1778" w:type="dxa"/>
            <w:vAlign w:val="center"/>
          </w:tcPr>
          <w:p w14:paraId="7BE6B0C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NH</w:t>
            </w:r>
            <w:r>
              <w:rPr>
                <w:rFonts w:ascii="Times New Roman" w:hAnsi="Times New Roman" w:eastAsia="宋体" w:cs="Times New Roman"/>
                <w:snapToGrid w:val="0"/>
                <w:color w:val="auto"/>
                <w:spacing w:val="-6"/>
                <w:kern w:val="21"/>
                <w:szCs w:val="21"/>
                <w:vertAlign w:val="subscript"/>
              </w:rPr>
              <w:t>3</w:t>
            </w:r>
            <w:r>
              <w:rPr>
                <w:rFonts w:ascii="Times New Roman" w:hAnsi="Times New Roman" w:eastAsia="宋体" w:cs="Times New Roman"/>
                <w:snapToGrid w:val="0"/>
                <w:color w:val="auto"/>
                <w:spacing w:val="-6"/>
                <w:kern w:val="21"/>
                <w:szCs w:val="21"/>
              </w:rPr>
              <w:t>-N</w:t>
            </w:r>
          </w:p>
        </w:tc>
        <w:tc>
          <w:tcPr>
            <w:tcW w:w="1363" w:type="dxa"/>
            <w:vAlign w:val="center"/>
          </w:tcPr>
          <w:p w14:paraId="06ED89F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6192E63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47D2B58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572" w:type="dxa"/>
            <w:vAlign w:val="center"/>
          </w:tcPr>
          <w:p w14:paraId="53928215">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0.0142</w:t>
            </w:r>
          </w:p>
        </w:tc>
        <w:tc>
          <w:tcPr>
            <w:tcW w:w="1774" w:type="dxa"/>
            <w:vAlign w:val="center"/>
          </w:tcPr>
          <w:p w14:paraId="25A544B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2098805D">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0.0142</w:t>
            </w:r>
          </w:p>
        </w:tc>
        <w:tc>
          <w:tcPr>
            <w:tcW w:w="1174" w:type="dxa"/>
            <w:vAlign w:val="center"/>
          </w:tcPr>
          <w:p w14:paraId="4DA90B2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+0.0142</w:t>
            </w:r>
          </w:p>
        </w:tc>
      </w:tr>
      <w:tr w14:paraId="14080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2BF492DE">
            <w:pPr>
              <w:pStyle w:val="76"/>
              <w:spacing w:beforeLines="0" w:afterLines="0" w:line="360" w:lineRule="auto"/>
              <w:jc w:val="center"/>
              <w:rPr>
                <w:rFonts w:ascii="Times New Roman"/>
                <w:snapToGrid w:val="0"/>
                <w:color w:val="auto"/>
                <w:kern w:val="21"/>
                <w:szCs w:val="21"/>
              </w:rPr>
            </w:pPr>
          </w:p>
        </w:tc>
        <w:tc>
          <w:tcPr>
            <w:tcW w:w="1778" w:type="dxa"/>
            <w:vAlign w:val="center"/>
          </w:tcPr>
          <w:p w14:paraId="48C1583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TN</w:t>
            </w:r>
          </w:p>
        </w:tc>
        <w:tc>
          <w:tcPr>
            <w:tcW w:w="1363" w:type="dxa"/>
            <w:vAlign w:val="center"/>
          </w:tcPr>
          <w:p w14:paraId="5FA00A9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7CFA2B7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0894773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572" w:type="dxa"/>
            <w:vAlign w:val="center"/>
          </w:tcPr>
          <w:p w14:paraId="42A7C0D3">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0.0189</w:t>
            </w:r>
          </w:p>
        </w:tc>
        <w:tc>
          <w:tcPr>
            <w:tcW w:w="1774" w:type="dxa"/>
            <w:vAlign w:val="center"/>
          </w:tcPr>
          <w:p w14:paraId="0E695F3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69D4A6BA">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0.0189</w:t>
            </w:r>
          </w:p>
        </w:tc>
        <w:tc>
          <w:tcPr>
            <w:tcW w:w="1174" w:type="dxa"/>
            <w:vAlign w:val="center"/>
          </w:tcPr>
          <w:p w14:paraId="11AEAC2C">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+0.0189</w:t>
            </w:r>
          </w:p>
        </w:tc>
      </w:tr>
      <w:tr w14:paraId="6D858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19431C96">
            <w:pPr>
              <w:pStyle w:val="76"/>
              <w:spacing w:beforeLines="0" w:afterLines="0" w:line="360" w:lineRule="auto"/>
              <w:jc w:val="center"/>
              <w:rPr>
                <w:rFonts w:ascii="Times New Roman"/>
                <w:snapToGrid w:val="0"/>
                <w:color w:val="auto"/>
                <w:kern w:val="21"/>
                <w:szCs w:val="21"/>
              </w:rPr>
            </w:pPr>
          </w:p>
        </w:tc>
        <w:tc>
          <w:tcPr>
            <w:tcW w:w="1778" w:type="dxa"/>
            <w:vAlign w:val="center"/>
          </w:tcPr>
          <w:p w14:paraId="0F1EBD3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TP</w:t>
            </w:r>
          </w:p>
        </w:tc>
        <w:tc>
          <w:tcPr>
            <w:tcW w:w="1363" w:type="dxa"/>
            <w:vAlign w:val="center"/>
          </w:tcPr>
          <w:p w14:paraId="67350BD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4447C0A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38C7651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572" w:type="dxa"/>
            <w:vAlign w:val="center"/>
          </w:tcPr>
          <w:p w14:paraId="7276DF9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0.0019</w:t>
            </w:r>
          </w:p>
        </w:tc>
        <w:tc>
          <w:tcPr>
            <w:tcW w:w="1774" w:type="dxa"/>
            <w:vAlign w:val="center"/>
          </w:tcPr>
          <w:p w14:paraId="7277964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w:t>
            </w:r>
          </w:p>
        </w:tc>
        <w:tc>
          <w:tcPr>
            <w:tcW w:w="1632" w:type="dxa"/>
            <w:vAlign w:val="center"/>
          </w:tcPr>
          <w:p w14:paraId="0ED0178A">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0.0019</w:t>
            </w:r>
          </w:p>
        </w:tc>
        <w:tc>
          <w:tcPr>
            <w:tcW w:w="1174" w:type="dxa"/>
            <w:vAlign w:val="center"/>
          </w:tcPr>
          <w:p w14:paraId="2C46E770">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lang w:val="en-US" w:eastAsia="zh-CN"/>
              </w:rPr>
              <w:t>+0.0019</w:t>
            </w:r>
          </w:p>
        </w:tc>
      </w:tr>
      <w:tr w14:paraId="05000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restart"/>
            <w:vAlign w:val="center"/>
          </w:tcPr>
          <w:p w14:paraId="75424AD7">
            <w:pPr>
              <w:pStyle w:val="76"/>
              <w:spacing w:beforeLines="0" w:afterLines="0" w:line="360" w:lineRule="auto"/>
              <w:jc w:val="center"/>
              <w:rPr>
                <w:rFonts w:ascii="Times New Roman"/>
                <w:snapToGrid w:val="0"/>
                <w:color w:val="auto"/>
                <w:kern w:val="21"/>
                <w:szCs w:val="21"/>
              </w:rPr>
            </w:pPr>
            <w:r>
              <w:rPr>
                <w:rFonts w:ascii="Times New Roman"/>
                <w:snapToGrid w:val="0"/>
                <w:color w:val="auto"/>
                <w:kern w:val="21"/>
                <w:szCs w:val="21"/>
              </w:rPr>
              <w:t>一般工业</w:t>
            </w:r>
          </w:p>
          <w:p w14:paraId="31CF24CE">
            <w:pPr>
              <w:pStyle w:val="76"/>
              <w:spacing w:beforeLines="0" w:afterLines="0" w:line="360" w:lineRule="auto"/>
              <w:jc w:val="center"/>
              <w:rPr>
                <w:rFonts w:ascii="Times New Roman"/>
                <w:snapToGrid w:val="0"/>
                <w:color w:val="auto"/>
                <w:kern w:val="21"/>
                <w:szCs w:val="21"/>
              </w:rPr>
            </w:pPr>
            <w:r>
              <w:rPr>
                <w:rFonts w:ascii="Times New Roman"/>
                <w:snapToGrid w:val="0"/>
                <w:color w:val="auto"/>
                <w:kern w:val="21"/>
                <w:szCs w:val="21"/>
              </w:rPr>
              <w:t>固体废物</w:t>
            </w:r>
          </w:p>
        </w:tc>
        <w:tc>
          <w:tcPr>
            <w:tcW w:w="1778" w:type="dxa"/>
            <w:vAlign w:val="center"/>
          </w:tcPr>
          <w:p w14:paraId="0127F0B3">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边角料</w:t>
            </w:r>
          </w:p>
        </w:tc>
        <w:tc>
          <w:tcPr>
            <w:tcW w:w="1363" w:type="dxa"/>
            <w:vAlign w:val="center"/>
          </w:tcPr>
          <w:p w14:paraId="1E1E7C9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5947758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0C14FB1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43F9B85A">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1000</w:t>
            </w:r>
          </w:p>
        </w:tc>
        <w:tc>
          <w:tcPr>
            <w:tcW w:w="1774" w:type="dxa"/>
            <w:vAlign w:val="center"/>
          </w:tcPr>
          <w:p w14:paraId="5044D26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71AC67C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54B0457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39FF4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3F04E5CB">
            <w:pPr>
              <w:pStyle w:val="76"/>
              <w:spacing w:beforeLines="0" w:afterLines="0" w:line="360" w:lineRule="auto"/>
              <w:jc w:val="center"/>
              <w:rPr>
                <w:rFonts w:ascii="Times New Roman"/>
                <w:snapToGrid w:val="0"/>
                <w:color w:val="auto"/>
                <w:kern w:val="21"/>
                <w:szCs w:val="21"/>
              </w:rPr>
            </w:pPr>
          </w:p>
        </w:tc>
        <w:tc>
          <w:tcPr>
            <w:tcW w:w="1778" w:type="dxa"/>
            <w:vAlign w:val="center"/>
          </w:tcPr>
          <w:p w14:paraId="4C87890F">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不合格胶合板</w:t>
            </w:r>
          </w:p>
        </w:tc>
        <w:tc>
          <w:tcPr>
            <w:tcW w:w="1363" w:type="dxa"/>
            <w:vAlign w:val="center"/>
          </w:tcPr>
          <w:p w14:paraId="0DA1115D">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17B01F3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03B2FC6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5F5847FF">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5.5</w:t>
            </w:r>
          </w:p>
        </w:tc>
        <w:tc>
          <w:tcPr>
            <w:tcW w:w="1774" w:type="dxa"/>
            <w:vAlign w:val="center"/>
          </w:tcPr>
          <w:p w14:paraId="3D0436A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7DF32C1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4FBC350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6A036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0D49457B">
            <w:pPr>
              <w:pStyle w:val="76"/>
              <w:spacing w:beforeLines="0" w:afterLines="0" w:line="360" w:lineRule="auto"/>
              <w:jc w:val="center"/>
              <w:rPr>
                <w:rFonts w:ascii="Times New Roman"/>
                <w:snapToGrid w:val="0"/>
                <w:color w:val="auto"/>
                <w:kern w:val="21"/>
                <w:szCs w:val="21"/>
              </w:rPr>
            </w:pPr>
          </w:p>
        </w:tc>
        <w:tc>
          <w:tcPr>
            <w:tcW w:w="1778" w:type="dxa"/>
            <w:vAlign w:val="center"/>
          </w:tcPr>
          <w:p w14:paraId="10BF4375">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收集灰</w:t>
            </w:r>
          </w:p>
        </w:tc>
        <w:tc>
          <w:tcPr>
            <w:tcW w:w="1363" w:type="dxa"/>
            <w:vAlign w:val="center"/>
          </w:tcPr>
          <w:p w14:paraId="2A19304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5F821963">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3C5C2A0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52C2C7AE">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36.2052</w:t>
            </w:r>
          </w:p>
        </w:tc>
        <w:tc>
          <w:tcPr>
            <w:tcW w:w="1774" w:type="dxa"/>
            <w:vAlign w:val="center"/>
          </w:tcPr>
          <w:p w14:paraId="1B6F8EF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2BEF8C72">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19BFC0F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68DEB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61AABF7C">
            <w:pPr>
              <w:pStyle w:val="76"/>
              <w:spacing w:beforeLines="0" w:afterLines="0" w:line="360" w:lineRule="auto"/>
              <w:jc w:val="center"/>
              <w:rPr>
                <w:rFonts w:ascii="Times New Roman"/>
                <w:snapToGrid w:val="0"/>
                <w:color w:val="auto"/>
                <w:kern w:val="21"/>
                <w:szCs w:val="21"/>
              </w:rPr>
            </w:pPr>
          </w:p>
        </w:tc>
        <w:tc>
          <w:tcPr>
            <w:tcW w:w="1778" w:type="dxa"/>
            <w:vAlign w:val="center"/>
          </w:tcPr>
          <w:p w14:paraId="1DDAFBC0">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废布袋</w:t>
            </w:r>
          </w:p>
        </w:tc>
        <w:tc>
          <w:tcPr>
            <w:tcW w:w="1363" w:type="dxa"/>
            <w:vAlign w:val="center"/>
          </w:tcPr>
          <w:p w14:paraId="78C77E7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418B754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0CB3EAEF">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1DF3EF7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0.01</w:t>
            </w:r>
          </w:p>
        </w:tc>
        <w:tc>
          <w:tcPr>
            <w:tcW w:w="1774" w:type="dxa"/>
            <w:vAlign w:val="center"/>
          </w:tcPr>
          <w:p w14:paraId="1AAD1A2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5A68C7A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2E400A6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31D4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2BA6B357">
            <w:pPr>
              <w:pStyle w:val="76"/>
              <w:spacing w:beforeLines="0" w:afterLines="0" w:line="360" w:lineRule="auto"/>
              <w:jc w:val="center"/>
              <w:rPr>
                <w:rFonts w:ascii="Times New Roman"/>
                <w:snapToGrid w:val="0"/>
                <w:color w:val="auto"/>
                <w:kern w:val="21"/>
                <w:szCs w:val="21"/>
              </w:rPr>
            </w:pPr>
          </w:p>
        </w:tc>
        <w:tc>
          <w:tcPr>
            <w:tcW w:w="1778" w:type="dxa"/>
            <w:vAlign w:val="center"/>
          </w:tcPr>
          <w:p w14:paraId="1D543BA9">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废木屑</w:t>
            </w:r>
          </w:p>
        </w:tc>
        <w:tc>
          <w:tcPr>
            <w:tcW w:w="1363" w:type="dxa"/>
            <w:vAlign w:val="center"/>
          </w:tcPr>
          <w:p w14:paraId="2F0A9460">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17DB03C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7BE4A84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100FA744">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3.3858</w:t>
            </w:r>
          </w:p>
        </w:tc>
        <w:tc>
          <w:tcPr>
            <w:tcW w:w="1774" w:type="dxa"/>
            <w:vAlign w:val="center"/>
          </w:tcPr>
          <w:p w14:paraId="24E8BB73">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2809DF48">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06F7597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6CC9A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3F0EBC00">
            <w:pPr>
              <w:pStyle w:val="76"/>
              <w:spacing w:beforeLines="0" w:afterLines="0" w:line="360" w:lineRule="auto"/>
              <w:jc w:val="center"/>
              <w:rPr>
                <w:rFonts w:ascii="Times New Roman"/>
                <w:snapToGrid w:val="0"/>
                <w:color w:val="auto"/>
                <w:kern w:val="21"/>
                <w:szCs w:val="21"/>
              </w:rPr>
            </w:pPr>
          </w:p>
        </w:tc>
        <w:tc>
          <w:tcPr>
            <w:tcW w:w="1778" w:type="dxa"/>
            <w:vAlign w:val="center"/>
          </w:tcPr>
          <w:p w14:paraId="39C685C7">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废包装袋</w:t>
            </w:r>
          </w:p>
        </w:tc>
        <w:tc>
          <w:tcPr>
            <w:tcW w:w="1363" w:type="dxa"/>
            <w:vAlign w:val="center"/>
          </w:tcPr>
          <w:p w14:paraId="2FBEF29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66CD8D7B">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195D90B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51C0462C">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4.8</w:t>
            </w:r>
          </w:p>
        </w:tc>
        <w:tc>
          <w:tcPr>
            <w:tcW w:w="1774" w:type="dxa"/>
            <w:vAlign w:val="center"/>
          </w:tcPr>
          <w:p w14:paraId="1C1E4E0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0C97798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10EFCCE2">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31A29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4659F0D4">
            <w:pPr>
              <w:pStyle w:val="76"/>
              <w:spacing w:beforeLines="0" w:afterLines="0" w:line="360" w:lineRule="auto"/>
              <w:jc w:val="center"/>
              <w:rPr>
                <w:rFonts w:ascii="Times New Roman"/>
                <w:snapToGrid w:val="0"/>
                <w:color w:val="auto"/>
                <w:kern w:val="21"/>
                <w:szCs w:val="21"/>
              </w:rPr>
            </w:pPr>
          </w:p>
        </w:tc>
        <w:tc>
          <w:tcPr>
            <w:tcW w:w="1778" w:type="dxa"/>
            <w:vAlign w:val="center"/>
          </w:tcPr>
          <w:p w14:paraId="69269D0C">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废砂轮</w:t>
            </w:r>
          </w:p>
        </w:tc>
        <w:tc>
          <w:tcPr>
            <w:tcW w:w="1363" w:type="dxa"/>
            <w:vAlign w:val="center"/>
          </w:tcPr>
          <w:p w14:paraId="0F62C62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091C4CC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49ABF00D">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33813463">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0.01</w:t>
            </w:r>
          </w:p>
        </w:tc>
        <w:tc>
          <w:tcPr>
            <w:tcW w:w="1774" w:type="dxa"/>
            <w:vAlign w:val="center"/>
          </w:tcPr>
          <w:p w14:paraId="51C8E884">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3B2BBBD8">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693A16D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2B901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restart"/>
            <w:vAlign w:val="center"/>
          </w:tcPr>
          <w:p w14:paraId="3D131604">
            <w:pPr>
              <w:pStyle w:val="76"/>
              <w:spacing w:beforeLines="0" w:afterLines="0" w:line="360" w:lineRule="auto"/>
              <w:jc w:val="center"/>
              <w:rPr>
                <w:rFonts w:ascii="Times New Roman"/>
                <w:snapToGrid w:val="0"/>
                <w:color w:val="auto"/>
                <w:kern w:val="21"/>
                <w:szCs w:val="21"/>
              </w:rPr>
            </w:pPr>
            <w:r>
              <w:rPr>
                <w:rFonts w:ascii="Times New Roman"/>
                <w:snapToGrid w:val="0"/>
                <w:color w:val="auto"/>
                <w:kern w:val="21"/>
                <w:szCs w:val="21"/>
              </w:rPr>
              <w:t>危险废物</w:t>
            </w:r>
          </w:p>
        </w:tc>
        <w:tc>
          <w:tcPr>
            <w:tcW w:w="1778" w:type="dxa"/>
            <w:vAlign w:val="center"/>
          </w:tcPr>
          <w:p w14:paraId="3A594C9C">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废活性炭</w:t>
            </w:r>
          </w:p>
        </w:tc>
        <w:tc>
          <w:tcPr>
            <w:tcW w:w="1363" w:type="dxa"/>
            <w:vAlign w:val="center"/>
          </w:tcPr>
          <w:p w14:paraId="6868EAC6">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69B202E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05ABFFDC">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09804504">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1.77</w:t>
            </w:r>
          </w:p>
        </w:tc>
        <w:tc>
          <w:tcPr>
            <w:tcW w:w="1774" w:type="dxa"/>
            <w:vAlign w:val="center"/>
          </w:tcPr>
          <w:p w14:paraId="067AD3F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3CE76B6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0D758A2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57A1B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1ACF6336">
            <w:pPr>
              <w:pStyle w:val="76"/>
              <w:spacing w:beforeLines="0" w:afterLines="0" w:line="360" w:lineRule="auto"/>
              <w:jc w:val="center"/>
              <w:rPr>
                <w:rFonts w:ascii="Times New Roman"/>
                <w:snapToGrid w:val="0"/>
                <w:color w:val="auto"/>
                <w:kern w:val="21"/>
                <w:szCs w:val="21"/>
              </w:rPr>
            </w:pPr>
          </w:p>
        </w:tc>
        <w:tc>
          <w:tcPr>
            <w:tcW w:w="1778" w:type="dxa"/>
            <w:vAlign w:val="center"/>
          </w:tcPr>
          <w:p w14:paraId="3B9DCD58">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废油桶</w:t>
            </w:r>
          </w:p>
        </w:tc>
        <w:tc>
          <w:tcPr>
            <w:tcW w:w="1363" w:type="dxa"/>
            <w:vAlign w:val="center"/>
          </w:tcPr>
          <w:p w14:paraId="7402567D">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63FDC58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36164A8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3F4C89C7">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0.0</w:t>
            </w:r>
            <w:r>
              <w:rPr>
                <w:rFonts w:hint="eastAsia" w:ascii="Times New Roman" w:hAnsi="Times New Roman" w:eastAsia="宋体" w:cs="Times New Roman"/>
                <w:snapToGrid w:val="0"/>
                <w:color w:val="auto"/>
                <w:spacing w:val="-6"/>
                <w:kern w:val="21"/>
                <w:szCs w:val="21"/>
                <w:lang w:val="en-US" w:eastAsia="zh-CN"/>
              </w:rPr>
              <w:t>0</w:t>
            </w:r>
            <w:r>
              <w:rPr>
                <w:rFonts w:hint="eastAsia" w:ascii="Times New Roman" w:hAnsi="Times New Roman" w:eastAsia="宋体" w:cs="Times New Roman"/>
                <w:snapToGrid w:val="0"/>
                <w:color w:val="auto"/>
                <w:spacing w:val="-6"/>
                <w:kern w:val="21"/>
                <w:szCs w:val="21"/>
              </w:rPr>
              <w:t>6</w:t>
            </w:r>
          </w:p>
        </w:tc>
        <w:tc>
          <w:tcPr>
            <w:tcW w:w="1774" w:type="dxa"/>
            <w:vAlign w:val="center"/>
          </w:tcPr>
          <w:p w14:paraId="22D79078">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7337C972">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41E3A90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12611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68259D78">
            <w:pPr>
              <w:pStyle w:val="76"/>
              <w:spacing w:beforeLines="0" w:afterLines="0" w:line="360" w:lineRule="auto"/>
              <w:jc w:val="center"/>
              <w:rPr>
                <w:rFonts w:ascii="Times New Roman"/>
                <w:snapToGrid w:val="0"/>
                <w:color w:val="auto"/>
                <w:kern w:val="21"/>
                <w:szCs w:val="21"/>
              </w:rPr>
            </w:pPr>
          </w:p>
        </w:tc>
        <w:tc>
          <w:tcPr>
            <w:tcW w:w="1778" w:type="dxa"/>
            <w:vAlign w:val="center"/>
          </w:tcPr>
          <w:p w14:paraId="0E69F5CF">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废胶桶</w:t>
            </w:r>
          </w:p>
        </w:tc>
        <w:tc>
          <w:tcPr>
            <w:tcW w:w="1363" w:type="dxa"/>
            <w:vAlign w:val="center"/>
          </w:tcPr>
          <w:p w14:paraId="187DF1AD">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286" w:type="dxa"/>
            <w:vAlign w:val="center"/>
          </w:tcPr>
          <w:p w14:paraId="100BCFC9">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714" w:type="dxa"/>
            <w:vAlign w:val="center"/>
          </w:tcPr>
          <w:p w14:paraId="046B19C0">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572" w:type="dxa"/>
            <w:vAlign w:val="center"/>
          </w:tcPr>
          <w:p w14:paraId="76CC18B2">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0.103</w:t>
            </w:r>
          </w:p>
        </w:tc>
        <w:tc>
          <w:tcPr>
            <w:tcW w:w="1774" w:type="dxa"/>
            <w:vAlign w:val="center"/>
          </w:tcPr>
          <w:p w14:paraId="417145B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48B57321">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35F701C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67379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72401B01">
            <w:pPr>
              <w:pStyle w:val="76"/>
              <w:spacing w:beforeLines="0" w:afterLines="0" w:line="360" w:lineRule="auto"/>
              <w:jc w:val="center"/>
              <w:rPr>
                <w:rFonts w:ascii="Times New Roman"/>
                <w:snapToGrid w:val="0"/>
                <w:color w:val="auto"/>
                <w:kern w:val="21"/>
                <w:szCs w:val="21"/>
              </w:rPr>
            </w:pPr>
          </w:p>
        </w:tc>
        <w:tc>
          <w:tcPr>
            <w:tcW w:w="1778" w:type="dxa"/>
            <w:vAlign w:val="center"/>
          </w:tcPr>
          <w:p w14:paraId="1099689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含油抹布和手套</w:t>
            </w:r>
          </w:p>
        </w:tc>
        <w:tc>
          <w:tcPr>
            <w:tcW w:w="1363" w:type="dxa"/>
            <w:vAlign w:val="center"/>
          </w:tcPr>
          <w:p w14:paraId="45A0256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286" w:type="dxa"/>
            <w:vAlign w:val="center"/>
          </w:tcPr>
          <w:p w14:paraId="403027B1">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714" w:type="dxa"/>
            <w:vAlign w:val="center"/>
          </w:tcPr>
          <w:p w14:paraId="74D26416">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572" w:type="dxa"/>
            <w:vAlign w:val="center"/>
          </w:tcPr>
          <w:p w14:paraId="711D4B77">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0.002</w:t>
            </w:r>
          </w:p>
        </w:tc>
        <w:tc>
          <w:tcPr>
            <w:tcW w:w="1774" w:type="dxa"/>
            <w:vAlign w:val="center"/>
          </w:tcPr>
          <w:p w14:paraId="4310693D">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0</w:t>
            </w:r>
          </w:p>
        </w:tc>
        <w:tc>
          <w:tcPr>
            <w:tcW w:w="1632" w:type="dxa"/>
            <w:vAlign w:val="center"/>
          </w:tcPr>
          <w:p w14:paraId="1ACD6AAA">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0CC34F5E">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r w14:paraId="3688A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6D0CAF13">
            <w:pPr>
              <w:pStyle w:val="76"/>
              <w:spacing w:beforeLines="0" w:afterLines="0" w:line="360" w:lineRule="auto"/>
              <w:jc w:val="center"/>
              <w:rPr>
                <w:rFonts w:ascii="Times New Roman"/>
                <w:snapToGrid w:val="0"/>
                <w:color w:val="auto"/>
                <w:kern w:val="21"/>
                <w:szCs w:val="21"/>
              </w:rPr>
            </w:pPr>
          </w:p>
        </w:tc>
        <w:tc>
          <w:tcPr>
            <w:tcW w:w="1778" w:type="dxa"/>
            <w:vAlign w:val="center"/>
          </w:tcPr>
          <w:p w14:paraId="67DD865D">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清洗废水</w:t>
            </w:r>
          </w:p>
        </w:tc>
        <w:tc>
          <w:tcPr>
            <w:tcW w:w="1363" w:type="dxa"/>
            <w:vAlign w:val="center"/>
          </w:tcPr>
          <w:p w14:paraId="65A3D080">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286" w:type="dxa"/>
            <w:vAlign w:val="center"/>
          </w:tcPr>
          <w:p w14:paraId="40E69F0F">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714" w:type="dxa"/>
            <w:vAlign w:val="center"/>
          </w:tcPr>
          <w:p w14:paraId="21207965">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572" w:type="dxa"/>
            <w:vAlign w:val="center"/>
          </w:tcPr>
          <w:p w14:paraId="3FDB0830">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9.6</w:t>
            </w:r>
          </w:p>
        </w:tc>
        <w:tc>
          <w:tcPr>
            <w:tcW w:w="1774" w:type="dxa"/>
            <w:vAlign w:val="center"/>
          </w:tcPr>
          <w:p w14:paraId="2502CAB6">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632" w:type="dxa"/>
            <w:vAlign w:val="center"/>
          </w:tcPr>
          <w:p w14:paraId="2A9453D1">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174" w:type="dxa"/>
            <w:vAlign w:val="center"/>
          </w:tcPr>
          <w:p w14:paraId="41CBC6D6">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r>
      <w:tr w14:paraId="5C42E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Merge w:val="continue"/>
            <w:vAlign w:val="center"/>
          </w:tcPr>
          <w:p w14:paraId="216B5683">
            <w:pPr>
              <w:pStyle w:val="76"/>
              <w:spacing w:beforeLines="0" w:afterLines="0" w:line="360" w:lineRule="auto"/>
              <w:jc w:val="center"/>
              <w:rPr>
                <w:rFonts w:ascii="Times New Roman"/>
                <w:snapToGrid w:val="0"/>
                <w:color w:val="auto"/>
                <w:kern w:val="21"/>
                <w:szCs w:val="21"/>
              </w:rPr>
            </w:pPr>
          </w:p>
        </w:tc>
        <w:tc>
          <w:tcPr>
            <w:tcW w:w="1778" w:type="dxa"/>
            <w:vAlign w:val="center"/>
          </w:tcPr>
          <w:p w14:paraId="77FB757B">
            <w:pPr>
              <w:pStyle w:val="76"/>
              <w:spacing w:beforeLines="0" w:afterLines="0" w:line="240" w:lineRule="auto"/>
              <w:rPr>
                <w:rFonts w:hint="eastAsia" w:ascii="Times New Roman" w:hAnsi="Times New Roman" w:eastAsia="宋体" w:cs="Times New Roman"/>
                <w:snapToGrid w:val="0"/>
                <w:color w:val="auto"/>
                <w:spacing w:val="-6"/>
                <w:kern w:val="21"/>
                <w:szCs w:val="21"/>
                <w:lang w:eastAsia="zh-CN"/>
              </w:rPr>
            </w:pPr>
            <w:r>
              <w:rPr>
                <w:rFonts w:hint="eastAsia" w:ascii="Times New Roman" w:hAnsi="Times New Roman" w:eastAsia="宋体" w:cs="Times New Roman"/>
                <w:snapToGrid w:val="0"/>
                <w:color w:val="auto"/>
                <w:spacing w:val="-6"/>
                <w:kern w:val="21"/>
                <w:szCs w:val="21"/>
                <w:lang w:eastAsia="zh-CN"/>
              </w:rPr>
              <w:t>水喷淋废水</w:t>
            </w:r>
          </w:p>
        </w:tc>
        <w:tc>
          <w:tcPr>
            <w:tcW w:w="1363" w:type="dxa"/>
            <w:vAlign w:val="center"/>
          </w:tcPr>
          <w:p w14:paraId="642DE4C4">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286" w:type="dxa"/>
            <w:vAlign w:val="center"/>
          </w:tcPr>
          <w:p w14:paraId="293AFAD3">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714" w:type="dxa"/>
            <w:vAlign w:val="center"/>
          </w:tcPr>
          <w:p w14:paraId="0E0B2475">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572" w:type="dxa"/>
            <w:vAlign w:val="center"/>
          </w:tcPr>
          <w:p w14:paraId="1036CFBA">
            <w:pPr>
              <w:pStyle w:val="76"/>
              <w:spacing w:beforeLines="0" w:afterLines="0" w:line="240" w:lineRule="auto"/>
              <w:rPr>
                <w:rFonts w:hint="default"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lang w:val="en-US" w:eastAsia="zh-CN"/>
              </w:rPr>
              <w:t>10</w:t>
            </w:r>
          </w:p>
        </w:tc>
        <w:tc>
          <w:tcPr>
            <w:tcW w:w="1774" w:type="dxa"/>
            <w:vAlign w:val="center"/>
          </w:tcPr>
          <w:p w14:paraId="19C2FE40">
            <w:pPr>
              <w:pStyle w:val="76"/>
              <w:spacing w:beforeLines="0" w:afterLines="0" w:line="240" w:lineRule="auto"/>
              <w:rPr>
                <w:rFonts w:hint="eastAsia" w:ascii="Times New Roman" w:hAnsi="Times New Roman" w:eastAsia="宋体" w:cs="Times New Roman"/>
                <w:snapToGrid w:val="0"/>
                <w:color w:val="auto"/>
                <w:spacing w:val="-6"/>
                <w:kern w:val="21"/>
                <w:szCs w:val="21"/>
                <w:lang w:val="en-US" w:eastAsia="zh-CN"/>
              </w:rPr>
            </w:pPr>
            <w:r>
              <w:rPr>
                <w:rFonts w:hint="eastAsia" w:ascii="Times New Roman" w:hAnsi="Times New Roman" w:eastAsia="宋体" w:cs="Times New Roman"/>
                <w:snapToGrid w:val="0"/>
                <w:color w:val="auto"/>
                <w:spacing w:val="-6"/>
                <w:kern w:val="21"/>
                <w:szCs w:val="21"/>
              </w:rPr>
              <w:t>0</w:t>
            </w:r>
          </w:p>
        </w:tc>
        <w:tc>
          <w:tcPr>
            <w:tcW w:w="1632" w:type="dxa"/>
            <w:vAlign w:val="center"/>
          </w:tcPr>
          <w:p w14:paraId="2DBEACE4">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c>
          <w:tcPr>
            <w:tcW w:w="1174" w:type="dxa"/>
            <w:vAlign w:val="center"/>
          </w:tcPr>
          <w:p w14:paraId="28390CE0">
            <w:pPr>
              <w:pStyle w:val="76"/>
              <w:spacing w:beforeLines="0" w:afterLines="0" w:line="240" w:lineRule="auto"/>
              <w:rPr>
                <w:rFonts w:ascii="Times New Roman" w:hAnsi="Times New Roman" w:eastAsia="宋体" w:cs="Times New Roman"/>
                <w:snapToGrid w:val="0"/>
                <w:color w:val="auto"/>
                <w:spacing w:val="-6"/>
                <w:kern w:val="21"/>
                <w:szCs w:val="21"/>
                <w:lang w:val="en-US" w:eastAsia="zh-CN"/>
              </w:rPr>
            </w:pPr>
            <w:r>
              <w:rPr>
                <w:rFonts w:ascii="Times New Roman" w:hAnsi="Times New Roman" w:eastAsia="宋体" w:cs="Times New Roman"/>
                <w:snapToGrid w:val="0"/>
                <w:color w:val="auto"/>
                <w:spacing w:val="-6"/>
                <w:kern w:val="21"/>
                <w:szCs w:val="21"/>
              </w:rPr>
              <w:t>0</w:t>
            </w:r>
          </w:p>
        </w:tc>
      </w:tr>
      <w:tr w14:paraId="7991C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01" w:type="dxa"/>
            <w:vAlign w:val="center"/>
          </w:tcPr>
          <w:p w14:paraId="1A10E7D9">
            <w:pPr>
              <w:pStyle w:val="76"/>
              <w:spacing w:beforeLines="0" w:afterLines="0" w:line="360" w:lineRule="auto"/>
              <w:jc w:val="center"/>
              <w:rPr>
                <w:rFonts w:ascii="Times New Roman"/>
                <w:snapToGrid w:val="0"/>
                <w:color w:val="auto"/>
                <w:kern w:val="21"/>
                <w:szCs w:val="21"/>
              </w:rPr>
            </w:pPr>
            <w:r>
              <w:rPr>
                <w:rFonts w:ascii="Times New Roman"/>
                <w:snapToGrid w:val="0"/>
                <w:color w:val="auto"/>
                <w:kern w:val="21"/>
                <w:szCs w:val="21"/>
              </w:rPr>
              <w:t>生活垃圾</w:t>
            </w:r>
          </w:p>
        </w:tc>
        <w:tc>
          <w:tcPr>
            <w:tcW w:w="1778" w:type="dxa"/>
            <w:vAlign w:val="center"/>
          </w:tcPr>
          <w:p w14:paraId="7774073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生活垃圾</w:t>
            </w:r>
          </w:p>
        </w:tc>
        <w:tc>
          <w:tcPr>
            <w:tcW w:w="1363" w:type="dxa"/>
            <w:vAlign w:val="center"/>
          </w:tcPr>
          <w:p w14:paraId="44C8DAE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286" w:type="dxa"/>
            <w:vAlign w:val="center"/>
          </w:tcPr>
          <w:p w14:paraId="2C78860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714" w:type="dxa"/>
            <w:vAlign w:val="center"/>
          </w:tcPr>
          <w:p w14:paraId="1D569EC5">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572" w:type="dxa"/>
            <w:vAlign w:val="center"/>
          </w:tcPr>
          <w:p w14:paraId="2A066DB2">
            <w:pPr>
              <w:pStyle w:val="76"/>
              <w:spacing w:beforeLines="0" w:afterLines="0" w:line="240" w:lineRule="auto"/>
              <w:rPr>
                <w:rFonts w:ascii="Times New Roman" w:hAnsi="Times New Roman" w:eastAsia="宋体" w:cs="Times New Roman"/>
                <w:snapToGrid w:val="0"/>
                <w:color w:val="auto"/>
                <w:spacing w:val="-6"/>
                <w:kern w:val="21"/>
                <w:szCs w:val="21"/>
              </w:rPr>
            </w:pPr>
            <w:r>
              <w:rPr>
                <w:rFonts w:hint="eastAsia" w:ascii="Times New Roman" w:hAnsi="Times New Roman" w:eastAsia="宋体" w:cs="Times New Roman"/>
                <w:snapToGrid w:val="0"/>
                <w:color w:val="auto"/>
                <w:spacing w:val="-6"/>
                <w:kern w:val="21"/>
                <w:szCs w:val="21"/>
              </w:rPr>
              <w:t>4.41</w:t>
            </w:r>
          </w:p>
        </w:tc>
        <w:tc>
          <w:tcPr>
            <w:tcW w:w="1774" w:type="dxa"/>
            <w:vAlign w:val="center"/>
          </w:tcPr>
          <w:p w14:paraId="19396337">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632" w:type="dxa"/>
            <w:vAlign w:val="center"/>
          </w:tcPr>
          <w:p w14:paraId="1CC125D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c>
          <w:tcPr>
            <w:tcW w:w="1174" w:type="dxa"/>
            <w:vAlign w:val="center"/>
          </w:tcPr>
          <w:p w14:paraId="684287B9">
            <w:pPr>
              <w:pStyle w:val="76"/>
              <w:spacing w:beforeLines="0" w:afterLines="0" w:line="240" w:lineRule="auto"/>
              <w:rPr>
                <w:rFonts w:ascii="Times New Roman" w:hAnsi="Times New Roman" w:eastAsia="宋体" w:cs="Times New Roman"/>
                <w:snapToGrid w:val="0"/>
                <w:color w:val="auto"/>
                <w:spacing w:val="-6"/>
                <w:kern w:val="21"/>
                <w:szCs w:val="21"/>
              </w:rPr>
            </w:pPr>
            <w:r>
              <w:rPr>
                <w:rFonts w:ascii="Times New Roman" w:hAnsi="Times New Roman" w:eastAsia="宋体" w:cs="Times New Roman"/>
                <w:snapToGrid w:val="0"/>
                <w:color w:val="auto"/>
                <w:spacing w:val="-6"/>
                <w:kern w:val="21"/>
                <w:szCs w:val="21"/>
              </w:rPr>
              <w:t>0</w:t>
            </w:r>
          </w:p>
        </w:tc>
      </w:tr>
    </w:tbl>
    <w:p w14:paraId="5DD03242">
      <w:pPr>
        <w:pStyle w:val="76"/>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7640B">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B2734">
    <w:pPr>
      <w:pStyle w:val="2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2EBCA">
                          <w:pPr>
                            <w:pStyle w:val="28"/>
                            <w:ind w:right="360" w:firstLine="360"/>
                            <w:jc w:val="center"/>
                          </w:pPr>
                          <w:r>
                            <w:fldChar w:fldCharType="begin"/>
                          </w:r>
                          <w:r>
                            <w:instrText xml:space="preserve">PAGE   \* MERGEFORMAT</w:instrText>
                          </w:r>
                          <w:r>
                            <w:fldChar w:fldCharType="separate"/>
                          </w:r>
                          <w:r>
                            <w:rPr>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66F2EBCA">
                    <w:pPr>
                      <w:pStyle w:val="28"/>
                      <w:ind w:right="360" w:firstLine="360"/>
                      <w:jc w:val="center"/>
                    </w:pPr>
                    <w:r>
                      <w:fldChar w:fldCharType="begin"/>
                    </w:r>
                    <w:r>
                      <w:instrText xml:space="preserve">PAGE   \* MERGEFORMAT</w:instrText>
                    </w:r>
                    <w:r>
                      <w:fldChar w:fldCharType="separate"/>
                    </w:r>
                    <w:r>
                      <w:rPr>
                        <w:lang w:val="zh-CN"/>
                      </w:rPr>
                      <w:t>5</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DE1A">
    <w:pPr>
      <w:pStyle w:val="2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089FC7">
                          <w:pPr>
                            <w:pStyle w:val="2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7089FC7">
                    <w:pPr>
                      <w:pStyle w:val="2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28F98"/>
    <w:multiLevelType w:val="multilevel"/>
    <w:tmpl w:val="80628F9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85BCED8"/>
    <w:multiLevelType w:val="singleLevel"/>
    <w:tmpl w:val="985BCED8"/>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
    <w:nsid w:val="9EDC245E"/>
    <w:multiLevelType w:val="singleLevel"/>
    <w:tmpl w:val="9EDC245E"/>
    <w:lvl w:ilvl="0" w:tentative="0">
      <w:start w:val="1"/>
      <w:numFmt w:val="decimal"/>
      <w:suff w:val="nothing"/>
      <w:lvlText w:val="（%1）"/>
      <w:lvlJc w:val="left"/>
    </w:lvl>
  </w:abstractNum>
  <w:abstractNum w:abstractNumId="3">
    <w:nsid w:val="194E7345"/>
    <w:multiLevelType w:val="singleLevel"/>
    <w:tmpl w:val="194E7345"/>
    <w:lvl w:ilvl="0" w:tentative="0">
      <w:start w:val="4"/>
      <w:numFmt w:val="decimal"/>
      <w:suff w:val="nothing"/>
      <w:lvlText w:val="（%1）"/>
      <w:lvlJc w:val="left"/>
    </w:lvl>
  </w:abstractNum>
  <w:abstractNum w:abstractNumId="4">
    <w:nsid w:val="5C532B8D"/>
    <w:multiLevelType w:val="singleLevel"/>
    <w:tmpl w:val="5C532B8D"/>
    <w:lvl w:ilvl="0" w:tentative="0">
      <w:start w:val="3"/>
      <w:numFmt w:val="decimal"/>
      <w:suff w:val="nothing"/>
      <w:lvlText w:val="（%1）"/>
      <w:lvlJc w:val="left"/>
    </w:lvl>
  </w:abstractNum>
  <w:abstractNum w:abstractNumId="5">
    <w:nsid w:val="61D57940"/>
    <w:multiLevelType w:val="multilevel"/>
    <w:tmpl w:val="61D57940"/>
    <w:lvl w:ilvl="0" w:tentative="0">
      <w:start w:val="1"/>
      <w:numFmt w:val="decimal"/>
      <w:pStyle w:val="228"/>
      <w:lvlText w:val="%1"/>
      <w:lvlJc w:val="left"/>
      <w:pPr>
        <w:tabs>
          <w:tab w:val="left" w:pos="432"/>
        </w:tabs>
        <w:ind w:left="432" w:hanging="432"/>
      </w:pPr>
      <w:rPr>
        <w:rFonts w:hint="default" w:ascii="Times New Roman" w:hAnsi="Times New Roman" w:eastAsia="宋体" w:cs="Times New Roman"/>
        <w:b/>
        <w:i w:val="0"/>
        <w:sz w:val="32"/>
        <w:szCs w:val="32"/>
        <w:u w:val="none"/>
      </w:rPr>
    </w:lvl>
    <w:lvl w:ilvl="1" w:tentative="0">
      <w:start w:val="1"/>
      <w:numFmt w:val="decimal"/>
      <w:pStyle w:val="226"/>
      <w:lvlText w:val="%1.%2"/>
      <w:lvlJc w:val="left"/>
      <w:pPr>
        <w:tabs>
          <w:tab w:val="left" w:pos="720"/>
        </w:tabs>
        <w:ind w:left="397" w:hanging="397"/>
      </w:pPr>
      <w:rPr>
        <w:rFonts w:hint="default" w:ascii="Times New Roman" w:hAnsi="Times New Roman" w:eastAsia="宋体" w:cs="Times New Roman"/>
        <w:b/>
        <w:i w:val="0"/>
        <w:sz w:val="28"/>
        <w:szCs w:val="28"/>
      </w:rPr>
    </w:lvl>
    <w:lvl w:ilvl="2" w:tentative="0">
      <w:start w:val="1"/>
      <w:numFmt w:val="decimal"/>
      <w:pStyle w:val="227"/>
      <w:lvlText w:val="%1.%2.%3"/>
      <w:lvlJc w:val="left"/>
      <w:pPr>
        <w:tabs>
          <w:tab w:val="left" w:pos="1021"/>
        </w:tabs>
        <w:ind w:left="1021" w:hanging="1021"/>
      </w:pPr>
      <w:rPr>
        <w:rFonts w:hint="default" w:ascii="Times New Roman" w:hAnsi="Times New Roman" w:eastAsia="宋体" w:cs="Times New Roman"/>
        <w:b/>
        <w:i w:val="0"/>
        <w:iCs w:val="0"/>
        <w:caps w:val="0"/>
        <w:smallCaps w:val="0"/>
        <w:strike w:val="0"/>
        <w:dstrike w:val="0"/>
        <w:snapToGrid w:val="0"/>
        <w:vanish w:val="0"/>
        <w:color w:val="000000"/>
        <w:spacing w:val="0"/>
        <w:kern w:val="0"/>
        <w:position w:val="0"/>
        <w:sz w:val="24"/>
        <w:szCs w:val="24"/>
        <w:u w:val="none"/>
        <w:vertAlign w:val="baseline"/>
      </w:rPr>
    </w:lvl>
    <w:lvl w:ilvl="3" w:tentative="0">
      <w:start w:val="1"/>
      <w:numFmt w:val="decimal"/>
      <w:pStyle w:val="229"/>
      <w:lvlText w:val="%1.%2.%3.%4"/>
      <w:lvlJc w:val="left"/>
      <w:pPr>
        <w:tabs>
          <w:tab w:val="left" w:pos="1247"/>
        </w:tabs>
        <w:ind w:left="964" w:hanging="964"/>
      </w:pPr>
      <w:rPr>
        <w:rFonts w:hint="eastAsia" w:ascii="宋体" w:hAnsi="宋体" w:eastAsia="宋体" w:cs="Times New Roman"/>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0OGYzOTI3NzkyZmY2MjZiMmUwYWVkZGIzMmM4ZmMifQ=="/>
    <w:docVar w:name="KSO_WPS_MARK_KEY" w:val="ed188b8b-d94c-419b-a09c-26d1c0509f4a"/>
  </w:docVars>
  <w:rsids>
    <w:rsidRoot w:val="00172A27"/>
    <w:rsid w:val="0000116E"/>
    <w:rsid w:val="000023DB"/>
    <w:rsid w:val="00004F80"/>
    <w:rsid w:val="000060B3"/>
    <w:rsid w:val="0000654C"/>
    <w:rsid w:val="00010CAC"/>
    <w:rsid w:val="00010D7E"/>
    <w:rsid w:val="00011A83"/>
    <w:rsid w:val="00013117"/>
    <w:rsid w:val="00014457"/>
    <w:rsid w:val="000146A7"/>
    <w:rsid w:val="0001658A"/>
    <w:rsid w:val="00016813"/>
    <w:rsid w:val="000202C8"/>
    <w:rsid w:val="00025ED3"/>
    <w:rsid w:val="00026A19"/>
    <w:rsid w:val="00033507"/>
    <w:rsid w:val="0004183D"/>
    <w:rsid w:val="0004364B"/>
    <w:rsid w:val="00050DC8"/>
    <w:rsid w:val="000511BF"/>
    <w:rsid w:val="00051705"/>
    <w:rsid w:val="00052A77"/>
    <w:rsid w:val="00061B1F"/>
    <w:rsid w:val="00065025"/>
    <w:rsid w:val="0007143C"/>
    <w:rsid w:val="00071BEE"/>
    <w:rsid w:val="000733C4"/>
    <w:rsid w:val="00074783"/>
    <w:rsid w:val="00074DCB"/>
    <w:rsid w:val="00076376"/>
    <w:rsid w:val="00077DE4"/>
    <w:rsid w:val="0008070B"/>
    <w:rsid w:val="000810AC"/>
    <w:rsid w:val="00081A02"/>
    <w:rsid w:val="00082231"/>
    <w:rsid w:val="00084087"/>
    <w:rsid w:val="00092D38"/>
    <w:rsid w:val="0009377B"/>
    <w:rsid w:val="00094110"/>
    <w:rsid w:val="000946E0"/>
    <w:rsid w:val="0009473C"/>
    <w:rsid w:val="00094FDC"/>
    <w:rsid w:val="000953A0"/>
    <w:rsid w:val="00097452"/>
    <w:rsid w:val="000A20C9"/>
    <w:rsid w:val="000A21B3"/>
    <w:rsid w:val="000A7C43"/>
    <w:rsid w:val="000B058F"/>
    <w:rsid w:val="000B0744"/>
    <w:rsid w:val="000B0804"/>
    <w:rsid w:val="000B4467"/>
    <w:rsid w:val="000B4DB9"/>
    <w:rsid w:val="000B5901"/>
    <w:rsid w:val="000C07DB"/>
    <w:rsid w:val="000C09AC"/>
    <w:rsid w:val="000C1A48"/>
    <w:rsid w:val="000C6CA1"/>
    <w:rsid w:val="000C73C5"/>
    <w:rsid w:val="000C767F"/>
    <w:rsid w:val="000D0859"/>
    <w:rsid w:val="000D1CBD"/>
    <w:rsid w:val="000D3488"/>
    <w:rsid w:val="000D4B6C"/>
    <w:rsid w:val="000D5990"/>
    <w:rsid w:val="000D5A44"/>
    <w:rsid w:val="000D5C6D"/>
    <w:rsid w:val="000E09E2"/>
    <w:rsid w:val="000E3AD8"/>
    <w:rsid w:val="000E3ED2"/>
    <w:rsid w:val="000E71F6"/>
    <w:rsid w:val="000E751A"/>
    <w:rsid w:val="000F22A7"/>
    <w:rsid w:val="000F31F0"/>
    <w:rsid w:val="000F4858"/>
    <w:rsid w:val="000F7A68"/>
    <w:rsid w:val="00112CB5"/>
    <w:rsid w:val="001144A2"/>
    <w:rsid w:val="001146B1"/>
    <w:rsid w:val="00115290"/>
    <w:rsid w:val="001217A6"/>
    <w:rsid w:val="001247A4"/>
    <w:rsid w:val="001262A9"/>
    <w:rsid w:val="00131F42"/>
    <w:rsid w:val="001357F1"/>
    <w:rsid w:val="00135FA4"/>
    <w:rsid w:val="00137F32"/>
    <w:rsid w:val="00140FA8"/>
    <w:rsid w:val="00142FEB"/>
    <w:rsid w:val="00143A2D"/>
    <w:rsid w:val="00145A41"/>
    <w:rsid w:val="0014645B"/>
    <w:rsid w:val="0014678C"/>
    <w:rsid w:val="00146A68"/>
    <w:rsid w:val="00146DE5"/>
    <w:rsid w:val="00151675"/>
    <w:rsid w:val="00152EBF"/>
    <w:rsid w:val="00154CFF"/>
    <w:rsid w:val="00157435"/>
    <w:rsid w:val="001628FC"/>
    <w:rsid w:val="00163332"/>
    <w:rsid w:val="00166CDF"/>
    <w:rsid w:val="00166D40"/>
    <w:rsid w:val="00167455"/>
    <w:rsid w:val="00172A27"/>
    <w:rsid w:val="0017504D"/>
    <w:rsid w:val="0017671A"/>
    <w:rsid w:val="00177422"/>
    <w:rsid w:val="00184590"/>
    <w:rsid w:val="001870D1"/>
    <w:rsid w:val="001877BC"/>
    <w:rsid w:val="0018781E"/>
    <w:rsid w:val="0019262D"/>
    <w:rsid w:val="001939B0"/>
    <w:rsid w:val="00193AF4"/>
    <w:rsid w:val="001A1B35"/>
    <w:rsid w:val="001A2061"/>
    <w:rsid w:val="001A48A2"/>
    <w:rsid w:val="001A6F61"/>
    <w:rsid w:val="001B16E5"/>
    <w:rsid w:val="001B72B8"/>
    <w:rsid w:val="001C1C7E"/>
    <w:rsid w:val="001C5D4C"/>
    <w:rsid w:val="001C69B3"/>
    <w:rsid w:val="001D4B33"/>
    <w:rsid w:val="001D5595"/>
    <w:rsid w:val="001D7874"/>
    <w:rsid w:val="001D7F22"/>
    <w:rsid w:val="001E2E19"/>
    <w:rsid w:val="001E4B58"/>
    <w:rsid w:val="001F0F17"/>
    <w:rsid w:val="001F29E6"/>
    <w:rsid w:val="001F3347"/>
    <w:rsid w:val="001F69E4"/>
    <w:rsid w:val="002026C4"/>
    <w:rsid w:val="00204263"/>
    <w:rsid w:val="00211854"/>
    <w:rsid w:val="002125B4"/>
    <w:rsid w:val="00213F70"/>
    <w:rsid w:val="002155B8"/>
    <w:rsid w:val="002159FB"/>
    <w:rsid w:val="00220678"/>
    <w:rsid w:val="00224839"/>
    <w:rsid w:val="002249B2"/>
    <w:rsid w:val="00226574"/>
    <w:rsid w:val="002278EC"/>
    <w:rsid w:val="00230D16"/>
    <w:rsid w:val="0023280E"/>
    <w:rsid w:val="00233A84"/>
    <w:rsid w:val="00235008"/>
    <w:rsid w:val="002377D1"/>
    <w:rsid w:val="002506BC"/>
    <w:rsid w:val="00254345"/>
    <w:rsid w:val="00254862"/>
    <w:rsid w:val="002554BE"/>
    <w:rsid w:val="00264557"/>
    <w:rsid w:val="00267A6F"/>
    <w:rsid w:val="002703B6"/>
    <w:rsid w:val="00272AE0"/>
    <w:rsid w:val="002742E9"/>
    <w:rsid w:val="002802A7"/>
    <w:rsid w:val="002805AB"/>
    <w:rsid w:val="00281DBC"/>
    <w:rsid w:val="002839BD"/>
    <w:rsid w:val="00284204"/>
    <w:rsid w:val="00284C7E"/>
    <w:rsid w:val="002868DE"/>
    <w:rsid w:val="00291773"/>
    <w:rsid w:val="0029284A"/>
    <w:rsid w:val="002969A2"/>
    <w:rsid w:val="002A1376"/>
    <w:rsid w:val="002A168C"/>
    <w:rsid w:val="002A3DC7"/>
    <w:rsid w:val="002A7A95"/>
    <w:rsid w:val="002B224F"/>
    <w:rsid w:val="002B2393"/>
    <w:rsid w:val="002B49E2"/>
    <w:rsid w:val="002B7B00"/>
    <w:rsid w:val="002B7C44"/>
    <w:rsid w:val="002C2B17"/>
    <w:rsid w:val="002C4B0D"/>
    <w:rsid w:val="002C68C4"/>
    <w:rsid w:val="002D3DD0"/>
    <w:rsid w:val="002D612A"/>
    <w:rsid w:val="002D72A6"/>
    <w:rsid w:val="002E1F3A"/>
    <w:rsid w:val="002E298A"/>
    <w:rsid w:val="002E4465"/>
    <w:rsid w:val="002E7B01"/>
    <w:rsid w:val="002F47AD"/>
    <w:rsid w:val="002F694E"/>
    <w:rsid w:val="00301978"/>
    <w:rsid w:val="0030332C"/>
    <w:rsid w:val="00303362"/>
    <w:rsid w:val="00303E3B"/>
    <w:rsid w:val="003051C2"/>
    <w:rsid w:val="003076E5"/>
    <w:rsid w:val="00307C83"/>
    <w:rsid w:val="00312296"/>
    <w:rsid w:val="00314488"/>
    <w:rsid w:val="00314F0E"/>
    <w:rsid w:val="003167EB"/>
    <w:rsid w:val="00317672"/>
    <w:rsid w:val="00321D8E"/>
    <w:rsid w:val="003245F5"/>
    <w:rsid w:val="00324930"/>
    <w:rsid w:val="003254C2"/>
    <w:rsid w:val="00325928"/>
    <w:rsid w:val="00325F89"/>
    <w:rsid w:val="003304C4"/>
    <w:rsid w:val="00332032"/>
    <w:rsid w:val="00332863"/>
    <w:rsid w:val="0033684D"/>
    <w:rsid w:val="00336C19"/>
    <w:rsid w:val="00337B42"/>
    <w:rsid w:val="0034060C"/>
    <w:rsid w:val="003410E1"/>
    <w:rsid w:val="00341846"/>
    <w:rsid w:val="00341B42"/>
    <w:rsid w:val="0034348F"/>
    <w:rsid w:val="0034642E"/>
    <w:rsid w:val="00346848"/>
    <w:rsid w:val="00347D08"/>
    <w:rsid w:val="00353F7A"/>
    <w:rsid w:val="0035619F"/>
    <w:rsid w:val="00356653"/>
    <w:rsid w:val="0035743F"/>
    <w:rsid w:val="00357BE2"/>
    <w:rsid w:val="0036170C"/>
    <w:rsid w:val="00362F2F"/>
    <w:rsid w:val="0036387C"/>
    <w:rsid w:val="00365370"/>
    <w:rsid w:val="00366E0F"/>
    <w:rsid w:val="00370BB5"/>
    <w:rsid w:val="00371A04"/>
    <w:rsid w:val="00371B03"/>
    <w:rsid w:val="0037212C"/>
    <w:rsid w:val="003745EA"/>
    <w:rsid w:val="003801CC"/>
    <w:rsid w:val="00381A72"/>
    <w:rsid w:val="00384676"/>
    <w:rsid w:val="00390857"/>
    <w:rsid w:val="0039318A"/>
    <w:rsid w:val="003970D1"/>
    <w:rsid w:val="003976F5"/>
    <w:rsid w:val="00397D0B"/>
    <w:rsid w:val="003A4BF3"/>
    <w:rsid w:val="003B420D"/>
    <w:rsid w:val="003B7791"/>
    <w:rsid w:val="003C18EC"/>
    <w:rsid w:val="003C30F1"/>
    <w:rsid w:val="003C6192"/>
    <w:rsid w:val="003C6C16"/>
    <w:rsid w:val="003D066B"/>
    <w:rsid w:val="003D1947"/>
    <w:rsid w:val="003D20EC"/>
    <w:rsid w:val="003D2449"/>
    <w:rsid w:val="003D444C"/>
    <w:rsid w:val="003D4530"/>
    <w:rsid w:val="003D794D"/>
    <w:rsid w:val="003E144E"/>
    <w:rsid w:val="003E2C0E"/>
    <w:rsid w:val="003E3058"/>
    <w:rsid w:val="003E32A0"/>
    <w:rsid w:val="003E5124"/>
    <w:rsid w:val="003E59A0"/>
    <w:rsid w:val="003E70B1"/>
    <w:rsid w:val="003E7127"/>
    <w:rsid w:val="003E76A9"/>
    <w:rsid w:val="003F0809"/>
    <w:rsid w:val="003F20A8"/>
    <w:rsid w:val="003F20FB"/>
    <w:rsid w:val="003F34FB"/>
    <w:rsid w:val="003F6A8C"/>
    <w:rsid w:val="003F755C"/>
    <w:rsid w:val="003F7643"/>
    <w:rsid w:val="004035E1"/>
    <w:rsid w:val="004049A0"/>
    <w:rsid w:val="00405182"/>
    <w:rsid w:val="0040680E"/>
    <w:rsid w:val="00406F01"/>
    <w:rsid w:val="00416D50"/>
    <w:rsid w:val="00416FD5"/>
    <w:rsid w:val="00417772"/>
    <w:rsid w:val="00420E6A"/>
    <w:rsid w:val="00425A9E"/>
    <w:rsid w:val="00425E4A"/>
    <w:rsid w:val="00426D6B"/>
    <w:rsid w:val="004311AD"/>
    <w:rsid w:val="00431297"/>
    <w:rsid w:val="00431E6C"/>
    <w:rsid w:val="00433579"/>
    <w:rsid w:val="00433CE7"/>
    <w:rsid w:val="00437FF9"/>
    <w:rsid w:val="00446F9A"/>
    <w:rsid w:val="00452738"/>
    <w:rsid w:val="00456091"/>
    <w:rsid w:val="004621F9"/>
    <w:rsid w:val="00466321"/>
    <w:rsid w:val="004718A5"/>
    <w:rsid w:val="004720EA"/>
    <w:rsid w:val="00474D1A"/>
    <w:rsid w:val="004759A4"/>
    <w:rsid w:val="00476C87"/>
    <w:rsid w:val="00484B9B"/>
    <w:rsid w:val="004855F6"/>
    <w:rsid w:val="0048661E"/>
    <w:rsid w:val="0049065F"/>
    <w:rsid w:val="00494670"/>
    <w:rsid w:val="00495E0D"/>
    <w:rsid w:val="00496CE3"/>
    <w:rsid w:val="00497E8E"/>
    <w:rsid w:val="004A0326"/>
    <w:rsid w:val="004A35F6"/>
    <w:rsid w:val="004A3823"/>
    <w:rsid w:val="004A76E9"/>
    <w:rsid w:val="004B113E"/>
    <w:rsid w:val="004B3698"/>
    <w:rsid w:val="004C1DE6"/>
    <w:rsid w:val="004C40F2"/>
    <w:rsid w:val="004C6F40"/>
    <w:rsid w:val="004D32C9"/>
    <w:rsid w:val="004D4003"/>
    <w:rsid w:val="004D7C7C"/>
    <w:rsid w:val="004E0252"/>
    <w:rsid w:val="004E6946"/>
    <w:rsid w:val="004E6F56"/>
    <w:rsid w:val="004E77E8"/>
    <w:rsid w:val="004F1AD8"/>
    <w:rsid w:val="005039CB"/>
    <w:rsid w:val="0050558F"/>
    <w:rsid w:val="00506286"/>
    <w:rsid w:val="00510813"/>
    <w:rsid w:val="00511990"/>
    <w:rsid w:val="00511DE0"/>
    <w:rsid w:val="00511EE5"/>
    <w:rsid w:val="00512A4F"/>
    <w:rsid w:val="005145AF"/>
    <w:rsid w:val="00514870"/>
    <w:rsid w:val="00514B9B"/>
    <w:rsid w:val="00514BDC"/>
    <w:rsid w:val="00517F02"/>
    <w:rsid w:val="00520A01"/>
    <w:rsid w:val="005219CF"/>
    <w:rsid w:val="00522FE1"/>
    <w:rsid w:val="00523B63"/>
    <w:rsid w:val="00524303"/>
    <w:rsid w:val="005258A2"/>
    <w:rsid w:val="00530709"/>
    <w:rsid w:val="005319DD"/>
    <w:rsid w:val="005401AE"/>
    <w:rsid w:val="00540748"/>
    <w:rsid w:val="0054248E"/>
    <w:rsid w:val="00542E07"/>
    <w:rsid w:val="005436E7"/>
    <w:rsid w:val="00545424"/>
    <w:rsid w:val="00550B64"/>
    <w:rsid w:val="0055256A"/>
    <w:rsid w:val="00552EBF"/>
    <w:rsid w:val="00554A7B"/>
    <w:rsid w:val="0055572C"/>
    <w:rsid w:val="00556F24"/>
    <w:rsid w:val="0056106A"/>
    <w:rsid w:val="00562BDA"/>
    <w:rsid w:val="00562FDF"/>
    <w:rsid w:val="005646EE"/>
    <w:rsid w:val="005659BE"/>
    <w:rsid w:val="005720AE"/>
    <w:rsid w:val="00575659"/>
    <w:rsid w:val="0058122B"/>
    <w:rsid w:val="0059266A"/>
    <w:rsid w:val="00594D77"/>
    <w:rsid w:val="005969E4"/>
    <w:rsid w:val="005A0610"/>
    <w:rsid w:val="005A06B7"/>
    <w:rsid w:val="005A1759"/>
    <w:rsid w:val="005A18A8"/>
    <w:rsid w:val="005A4E48"/>
    <w:rsid w:val="005A5776"/>
    <w:rsid w:val="005A68A7"/>
    <w:rsid w:val="005A6DC1"/>
    <w:rsid w:val="005B19C8"/>
    <w:rsid w:val="005B2BF9"/>
    <w:rsid w:val="005B3306"/>
    <w:rsid w:val="005B4E4D"/>
    <w:rsid w:val="005C103C"/>
    <w:rsid w:val="005C4D45"/>
    <w:rsid w:val="005C5568"/>
    <w:rsid w:val="005C5684"/>
    <w:rsid w:val="005D1393"/>
    <w:rsid w:val="005D1DDC"/>
    <w:rsid w:val="005D36AB"/>
    <w:rsid w:val="005D4185"/>
    <w:rsid w:val="005D64FA"/>
    <w:rsid w:val="005E04CC"/>
    <w:rsid w:val="005F0288"/>
    <w:rsid w:val="005F04F9"/>
    <w:rsid w:val="005F0E2A"/>
    <w:rsid w:val="006079E7"/>
    <w:rsid w:val="00613E99"/>
    <w:rsid w:val="0061429D"/>
    <w:rsid w:val="006152A8"/>
    <w:rsid w:val="00617CC3"/>
    <w:rsid w:val="006211A7"/>
    <w:rsid w:val="006339DB"/>
    <w:rsid w:val="0063407B"/>
    <w:rsid w:val="006371F3"/>
    <w:rsid w:val="006377A6"/>
    <w:rsid w:val="00637A3D"/>
    <w:rsid w:val="00637BC7"/>
    <w:rsid w:val="006411EF"/>
    <w:rsid w:val="00641710"/>
    <w:rsid w:val="00641AF8"/>
    <w:rsid w:val="00643C9A"/>
    <w:rsid w:val="006479F9"/>
    <w:rsid w:val="00650B82"/>
    <w:rsid w:val="00654DF9"/>
    <w:rsid w:val="00664340"/>
    <w:rsid w:val="00664BE8"/>
    <w:rsid w:val="00670E24"/>
    <w:rsid w:val="00672CA4"/>
    <w:rsid w:val="00674333"/>
    <w:rsid w:val="006748B8"/>
    <w:rsid w:val="006775C3"/>
    <w:rsid w:val="00677CC2"/>
    <w:rsid w:val="006874F8"/>
    <w:rsid w:val="0069290A"/>
    <w:rsid w:val="0069775A"/>
    <w:rsid w:val="00697813"/>
    <w:rsid w:val="006A12D0"/>
    <w:rsid w:val="006A20DB"/>
    <w:rsid w:val="006A3EE8"/>
    <w:rsid w:val="006A72BF"/>
    <w:rsid w:val="006A756F"/>
    <w:rsid w:val="006B03F2"/>
    <w:rsid w:val="006B0D89"/>
    <w:rsid w:val="006B2258"/>
    <w:rsid w:val="006B25E1"/>
    <w:rsid w:val="006B2DEC"/>
    <w:rsid w:val="006B37DC"/>
    <w:rsid w:val="006B4F68"/>
    <w:rsid w:val="006B69F8"/>
    <w:rsid w:val="006B7323"/>
    <w:rsid w:val="006C052B"/>
    <w:rsid w:val="006C0592"/>
    <w:rsid w:val="006C272E"/>
    <w:rsid w:val="006C3CFE"/>
    <w:rsid w:val="006C5479"/>
    <w:rsid w:val="006C7EFA"/>
    <w:rsid w:val="006D13B5"/>
    <w:rsid w:val="006D3A82"/>
    <w:rsid w:val="006D432E"/>
    <w:rsid w:val="006D5724"/>
    <w:rsid w:val="006D58A4"/>
    <w:rsid w:val="006E12FF"/>
    <w:rsid w:val="006E185D"/>
    <w:rsid w:val="006E1FE6"/>
    <w:rsid w:val="006E607E"/>
    <w:rsid w:val="00706C5D"/>
    <w:rsid w:val="00712483"/>
    <w:rsid w:val="0072189F"/>
    <w:rsid w:val="00722412"/>
    <w:rsid w:val="00723DD6"/>
    <w:rsid w:val="00724869"/>
    <w:rsid w:val="00725600"/>
    <w:rsid w:val="00732922"/>
    <w:rsid w:val="00740F4B"/>
    <w:rsid w:val="0074514D"/>
    <w:rsid w:val="0075162E"/>
    <w:rsid w:val="00751D82"/>
    <w:rsid w:val="00754034"/>
    <w:rsid w:val="00756556"/>
    <w:rsid w:val="007618C4"/>
    <w:rsid w:val="007668C9"/>
    <w:rsid w:val="00767980"/>
    <w:rsid w:val="00770B19"/>
    <w:rsid w:val="00773A30"/>
    <w:rsid w:val="0077425E"/>
    <w:rsid w:val="0077463F"/>
    <w:rsid w:val="00774E9A"/>
    <w:rsid w:val="0077601F"/>
    <w:rsid w:val="007800A2"/>
    <w:rsid w:val="007814BA"/>
    <w:rsid w:val="00781F46"/>
    <w:rsid w:val="007836EA"/>
    <w:rsid w:val="00784711"/>
    <w:rsid w:val="00784CDA"/>
    <w:rsid w:val="007903C4"/>
    <w:rsid w:val="007906C4"/>
    <w:rsid w:val="007924B7"/>
    <w:rsid w:val="00793D59"/>
    <w:rsid w:val="007940EA"/>
    <w:rsid w:val="00794BDA"/>
    <w:rsid w:val="007967E8"/>
    <w:rsid w:val="00797EB2"/>
    <w:rsid w:val="007A1662"/>
    <w:rsid w:val="007A1F81"/>
    <w:rsid w:val="007A2170"/>
    <w:rsid w:val="007A22BF"/>
    <w:rsid w:val="007A2F3A"/>
    <w:rsid w:val="007A3323"/>
    <w:rsid w:val="007A36B6"/>
    <w:rsid w:val="007A75B4"/>
    <w:rsid w:val="007B2D66"/>
    <w:rsid w:val="007B457B"/>
    <w:rsid w:val="007B72B8"/>
    <w:rsid w:val="007B7A58"/>
    <w:rsid w:val="007C21B5"/>
    <w:rsid w:val="007C67D5"/>
    <w:rsid w:val="007C753B"/>
    <w:rsid w:val="007D36F9"/>
    <w:rsid w:val="007D48BE"/>
    <w:rsid w:val="007D5203"/>
    <w:rsid w:val="007E0163"/>
    <w:rsid w:val="007E1CCD"/>
    <w:rsid w:val="007E2CC5"/>
    <w:rsid w:val="007E4BD2"/>
    <w:rsid w:val="007F18DD"/>
    <w:rsid w:val="007F2903"/>
    <w:rsid w:val="007F5D16"/>
    <w:rsid w:val="00800517"/>
    <w:rsid w:val="0080100C"/>
    <w:rsid w:val="00801393"/>
    <w:rsid w:val="00802043"/>
    <w:rsid w:val="00802F88"/>
    <w:rsid w:val="00806D4C"/>
    <w:rsid w:val="0081293E"/>
    <w:rsid w:val="00815465"/>
    <w:rsid w:val="00815A2F"/>
    <w:rsid w:val="008165B9"/>
    <w:rsid w:val="00817266"/>
    <w:rsid w:val="00817E9A"/>
    <w:rsid w:val="008236BB"/>
    <w:rsid w:val="00824E70"/>
    <w:rsid w:val="008306BD"/>
    <w:rsid w:val="00831A80"/>
    <w:rsid w:val="00833743"/>
    <w:rsid w:val="008340A4"/>
    <w:rsid w:val="00836137"/>
    <w:rsid w:val="00843BAB"/>
    <w:rsid w:val="00844A41"/>
    <w:rsid w:val="00844C6E"/>
    <w:rsid w:val="008455DF"/>
    <w:rsid w:val="0085068A"/>
    <w:rsid w:val="008603C8"/>
    <w:rsid w:val="00862280"/>
    <w:rsid w:val="00867D29"/>
    <w:rsid w:val="0087135F"/>
    <w:rsid w:val="00872D94"/>
    <w:rsid w:val="00874FC9"/>
    <w:rsid w:val="008763F6"/>
    <w:rsid w:val="008771CD"/>
    <w:rsid w:val="00880364"/>
    <w:rsid w:val="00881604"/>
    <w:rsid w:val="0088467F"/>
    <w:rsid w:val="008872FF"/>
    <w:rsid w:val="00891592"/>
    <w:rsid w:val="00891E9E"/>
    <w:rsid w:val="00894AAB"/>
    <w:rsid w:val="00897673"/>
    <w:rsid w:val="008A113B"/>
    <w:rsid w:val="008A2F68"/>
    <w:rsid w:val="008A37E9"/>
    <w:rsid w:val="008A5D80"/>
    <w:rsid w:val="008A7166"/>
    <w:rsid w:val="008B2270"/>
    <w:rsid w:val="008B380D"/>
    <w:rsid w:val="008B4FA6"/>
    <w:rsid w:val="008B5282"/>
    <w:rsid w:val="008B6E9F"/>
    <w:rsid w:val="008B7C17"/>
    <w:rsid w:val="008C2155"/>
    <w:rsid w:val="008C2D01"/>
    <w:rsid w:val="008C3451"/>
    <w:rsid w:val="008C40E6"/>
    <w:rsid w:val="008D0F7A"/>
    <w:rsid w:val="008D32B4"/>
    <w:rsid w:val="008D44D2"/>
    <w:rsid w:val="008D68E4"/>
    <w:rsid w:val="008D6969"/>
    <w:rsid w:val="008E0506"/>
    <w:rsid w:val="008E0CFF"/>
    <w:rsid w:val="008E557F"/>
    <w:rsid w:val="008E5D6B"/>
    <w:rsid w:val="008E76F0"/>
    <w:rsid w:val="008E7932"/>
    <w:rsid w:val="008F0A46"/>
    <w:rsid w:val="008F15FE"/>
    <w:rsid w:val="008F195C"/>
    <w:rsid w:val="008F29AB"/>
    <w:rsid w:val="008F2D29"/>
    <w:rsid w:val="008F4E16"/>
    <w:rsid w:val="008F5187"/>
    <w:rsid w:val="008F5195"/>
    <w:rsid w:val="008F5933"/>
    <w:rsid w:val="008F60D8"/>
    <w:rsid w:val="009003D0"/>
    <w:rsid w:val="00902727"/>
    <w:rsid w:val="0090312B"/>
    <w:rsid w:val="00903927"/>
    <w:rsid w:val="009056F4"/>
    <w:rsid w:val="0091331F"/>
    <w:rsid w:val="00915B30"/>
    <w:rsid w:val="0091736D"/>
    <w:rsid w:val="009203A4"/>
    <w:rsid w:val="009227F0"/>
    <w:rsid w:val="00924767"/>
    <w:rsid w:val="009253F7"/>
    <w:rsid w:val="0092572C"/>
    <w:rsid w:val="0093037A"/>
    <w:rsid w:val="00937C56"/>
    <w:rsid w:val="0094154D"/>
    <w:rsid w:val="00941968"/>
    <w:rsid w:val="009427DC"/>
    <w:rsid w:val="009432AD"/>
    <w:rsid w:val="00943A0A"/>
    <w:rsid w:val="00947806"/>
    <w:rsid w:val="0095155F"/>
    <w:rsid w:val="00953DD6"/>
    <w:rsid w:val="00954429"/>
    <w:rsid w:val="0095476E"/>
    <w:rsid w:val="009563CE"/>
    <w:rsid w:val="0096029B"/>
    <w:rsid w:val="00961DF0"/>
    <w:rsid w:val="0096716E"/>
    <w:rsid w:val="00967548"/>
    <w:rsid w:val="0097314B"/>
    <w:rsid w:val="00975E06"/>
    <w:rsid w:val="00976328"/>
    <w:rsid w:val="0097680D"/>
    <w:rsid w:val="00981521"/>
    <w:rsid w:val="00982438"/>
    <w:rsid w:val="00983C17"/>
    <w:rsid w:val="0098404C"/>
    <w:rsid w:val="00985283"/>
    <w:rsid w:val="009852A5"/>
    <w:rsid w:val="009856E6"/>
    <w:rsid w:val="00986ACE"/>
    <w:rsid w:val="00995992"/>
    <w:rsid w:val="00996DB2"/>
    <w:rsid w:val="009A03E5"/>
    <w:rsid w:val="009A0F3B"/>
    <w:rsid w:val="009A1BB4"/>
    <w:rsid w:val="009A2628"/>
    <w:rsid w:val="009A3200"/>
    <w:rsid w:val="009A5EA3"/>
    <w:rsid w:val="009B0897"/>
    <w:rsid w:val="009B1111"/>
    <w:rsid w:val="009B2E01"/>
    <w:rsid w:val="009B3C09"/>
    <w:rsid w:val="009B6204"/>
    <w:rsid w:val="009B632E"/>
    <w:rsid w:val="009B7BD9"/>
    <w:rsid w:val="009C3DD6"/>
    <w:rsid w:val="009C7DD5"/>
    <w:rsid w:val="009D3ADD"/>
    <w:rsid w:val="009D4592"/>
    <w:rsid w:val="009D7F9A"/>
    <w:rsid w:val="009E227D"/>
    <w:rsid w:val="009E5019"/>
    <w:rsid w:val="009F01FC"/>
    <w:rsid w:val="009F0A54"/>
    <w:rsid w:val="009F0AD2"/>
    <w:rsid w:val="009F2AC2"/>
    <w:rsid w:val="009F6295"/>
    <w:rsid w:val="009F6DED"/>
    <w:rsid w:val="00A03220"/>
    <w:rsid w:val="00A04F1B"/>
    <w:rsid w:val="00A0501B"/>
    <w:rsid w:val="00A06E1D"/>
    <w:rsid w:val="00A13812"/>
    <w:rsid w:val="00A14947"/>
    <w:rsid w:val="00A2182A"/>
    <w:rsid w:val="00A25A1B"/>
    <w:rsid w:val="00A2788C"/>
    <w:rsid w:val="00A30B9D"/>
    <w:rsid w:val="00A32A83"/>
    <w:rsid w:val="00A34F7A"/>
    <w:rsid w:val="00A368DB"/>
    <w:rsid w:val="00A37109"/>
    <w:rsid w:val="00A423AA"/>
    <w:rsid w:val="00A433BC"/>
    <w:rsid w:val="00A43B62"/>
    <w:rsid w:val="00A445CB"/>
    <w:rsid w:val="00A46582"/>
    <w:rsid w:val="00A528E7"/>
    <w:rsid w:val="00A53EC6"/>
    <w:rsid w:val="00A55C0F"/>
    <w:rsid w:val="00A56407"/>
    <w:rsid w:val="00A5771C"/>
    <w:rsid w:val="00A63D2C"/>
    <w:rsid w:val="00A670F5"/>
    <w:rsid w:val="00A67350"/>
    <w:rsid w:val="00A7268D"/>
    <w:rsid w:val="00A828CF"/>
    <w:rsid w:val="00A8354D"/>
    <w:rsid w:val="00A8713F"/>
    <w:rsid w:val="00A90BA1"/>
    <w:rsid w:val="00A97A9A"/>
    <w:rsid w:val="00AA0096"/>
    <w:rsid w:val="00AA043E"/>
    <w:rsid w:val="00AA0671"/>
    <w:rsid w:val="00AA13E5"/>
    <w:rsid w:val="00AA2531"/>
    <w:rsid w:val="00AA2AD6"/>
    <w:rsid w:val="00AA3D26"/>
    <w:rsid w:val="00AA73FE"/>
    <w:rsid w:val="00AB1E09"/>
    <w:rsid w:val="00AB5330"/>
    <w:rsid w:val="00AB5FE7"/>
    <w:rsid w:val="00AB69AF"/>
    <w:rsid w:val="00AB6B2D"/>
    <w:rsid w:val="00AB7747"/>
    <w:rsid w:val="00AC14CE"/>
    <w:rsid w:val="00AC2A3C"/>
    <w:rsid w:val="00AC2A56"/>
    <w:rsid w:val="00AC2FE8"/>
    <w:rsid w:val="00AD055E"/>
    <w:rsid w:val="00AD47A7"/>
    <w:rsid w:val="00AD7DD0"/>
    <w:rsid w:val="00AE3D6A"/>
    <w:rsid w:val="00AF0B61"/>
    <w:rsid w:val="00AF0CBF"/>
    <w:rsid w:val="00AF257F"/>
    <w:rsid w:val="00AF33CF"/>
    <w:rsid w:val="00AF4D50"/>
    <w:rsid w:val="00AF5F3F"/>
    <w:rsid w:val="00AF6179"/>
    <w:rsid w:val="00B114A0"/>
    <w:rsid w:val="00B1295A"/>
    <w:rsid w:val="00B14068"/>
    <w:rsid w:val="00B16782"/>
    <w:rsid w:val="00B20294"/>
    <w:rsid w:val="00B20A45"/>
    <w:rsid w:val="00B20A56"/>
    <w:rsid w:val="00B21CC9"/>
    <w:rsid w:val="00B220F2"/>
    <w:rsid w:val="00B22C5C"/>
    <w:rsid w:val="00B24089"/>
    <w:rsid w:val="00B2446C"/>
    <w:rsid w:val="00B24F30"/>
    <w:rsid w:val="00B264DD"/>
    <w:rsid w:val="00B31ABF"/>
    <w:rsid w:val="00B33BE3"/>
    <w:rsid w:val="00B35B4C"/>
    <w:rsid w:val="00B374D6"/>
    <w:rsid w:val="00B4137C"/>
    <w:rsid w:val="00B52DE1"/>
    <w:rsid w:val="00B53B5D"/>
    <w:rsid w:val="00B55181"/>
    <w:rsid w:val="00B55248"/>
    <w:rsid w:val="00B6055E"/>
    <w:rsid w:val="00B6317D"/>
    <w:rsid w:val="00B71925"/>
    <w:rsid w:val="00B7723F"/>
    <w:rsid w:val="00B80534"/>
    <w:rsid w:val="00B8433C"/>
    <w:rsid w:val="00B84BC3"/>
    <w:rsid w:val="00B8607E"/>
    <w:rsid w:val="00B87491"/>
    <w:rsid w:val="00B911E9"/>
    <w:rsid w:val="00B914CF"/>
    <w:rsid w:val="00B91805"/>
    <w:rsid w:val="00B95321"/>
    <w:rsid w:val="00B96073"/>
    <w:rsid w:val="00BA2730"/>
    <w:rsid w:val="00BA29E9"/>
    <w:rsid w:val="00BA3678"/>
    <w:rsid w:val="00BA4FF3"/>
    <w:rsid w:val="00BA5326"/>
    <w:rsid w:val="00BA7142"/>
    <w:rsid w:val="00BA7AB0"/>
    <w:rsid w:val="00BB1BC8"/>
    <w:rsid w:val="00BB237C"/>
    <w:rsid w:val="00BB32AF"/>
    <w:rsid w:val="00BB41A3"/>
    <w:rsid w:val="00BB5157"/>
    <w:rsid w:val="00BC070A"/>
    <w:rsid w:val="00BC32DC"/>
    <w:rsid w:val="00BC35B6"/>
    <w:rsid w:val="00BC370E"/>
    <w:rsid w:val="00BC6783"/>
    <w:rsid w:val="00BD1B51"/>
    <w:rsid w:val="00BD4596"/>
    <w:rsid w:val="00BD4A77"/>
    <w:rsid w:val="00BD62AE"/>
    <w:rsid w:val="00BE1405"/>
    <w:rsid w:val="00BE312D"/>
    <w:rsid w:val="00BE7ECF"/>
    <w:rsid w:val="00BE7FC3"/>
    <w:rsid w:val="00BF040B"/>
    <w:rsid w:val="00BF1C20"/>
    <w:rsid w:val="00BF31AE"/>
    <w:rsid w:val="00C07D18"/>
    <w:rsid w:val="00C10578"/>
    <w:rsid w:val="00C135BC"/>
    <w:rsid w:val="00C13E1C"/>
    <w:rsid w:val="00C141F5"/>
    <w:rsid w:val="00C15C95"/>
    <w:rsid w:val="00C16C67"/>
    <w:rsid w:val="00C207AE"/>
    <w:rsid w:val="00C22FEC"/>
    <w:rsid w:val="00C2596A"/>
    <w:rsid w:val="00C27537"/>
    <w:rsid w:val="00C27BB6"/>
    <w:rsid w:val="00C310C7"/>
    <w:rsid w:val="00C312C9"/>
    <w:rsid w:val="00C3189A"/>
    <w:rsid w:val="00C328FE"/>
    <w:rsid w:val="00C33507"/>
    <w:rsid w:val="00C33FF2"/>
    <w:rsid w:val="00C43AB7"/>
    <w:rsid w:val="00C4409D"/>
    <w:rsid w:val="00C44E72"/>
    <w:rsid w:val="00C45A06"/>
    <w:rsid w:val="00C4720C"/>
    <w:rsid w:val="00C47E5B"/>
    <w:rsid w:val="00C510A1"/>
    <w:rsid w:val="00C51AD7"/>
    <w:rsid w:val="00C53DDB"/>
    <w:rsid w:val="00C61E4B"/>
    <w:rsid w:val="00C6444C"/>
    <w:rsid w:val="00C64BFF"/>
    <w:rsid w:val="00C704E9"/>
    <w:rsid w:val="00C70933"/>
    <w:rsid w:val="00C70A93"/>
    <w:rsid w:val="00C73332"/>
    <w:rsid w:val="00C763C9"/>
    <w:rsid w:val="00C76A6C"/>
    <w:rsid w:val="00C80057"/>
    <w:rsid w:val="00C82232"/>
    <w:rsid w:val="00C82913"/>
    <w:rsid w:val="00C86AAC"/>
    <w:rsid w:val="00C86C20"/>
    <w:rsid w:val="00C923ED"/>
    <w:rsid w:val="00C92F4C"/>
    <w:rsid w:val="00C9316B"/>
    <w:rsid w:val="00C972B1"/>
    <w:rsid w:val="00CA0069"/>
    <w:rsid w:val="00CA130F"/>
    <w:rsid w:val="00CA2CCE"/>
    <w:rsid w:val="00CA43FD"/>
    <w:rsid w:val="00CA67D5"/>
    <w:rsid w:val="00CA7EF8"/>
    <w:rsid w:val="00CB0AC8"/>
    <w:rsid w:val="00CB755D"/>
    <w:rsid w:val="00CC09FC"/>
    <w:rsid w:val="00CC489B"/>
    <w:rsid w:val="00CD0183"/>
    <w:rsid w:val="00CD0884"/>
    <w:rsid w:val="00CD1D6C"/>
    <w:rsid w:val="00CD2BCD"/>
    <w:rsid w:val="00CD2F49"/>
    <w:rsid w:val="00CD3A4C"/>
    <w:rsid w:val="00CD45DE"/>
    <w:rsid w:val="00CD4925"/>
    <w:rsid w:val="00CD4DAB"/>
    <w:rsid w:val="00CD71B5"/>
    <w:rsid w:val="00CD797E"/>
    <w:rsid w:val="00CE10E9"/>
    <w:rsid w:val="00CE2910"/>
    <w:rsid w:val="00CE5393"/>
    <w:rsid w:val="00CE5BEA"/>
    <w:rsid w:val="00CE6A63"/>
    <w:rsid w:val="00CF115B"/>
    <w:rsid w:val="00CF21C5"/>
    <w:rsid w:val="00CF2FC9"/>
    <w:rsid w:val="00CF36BE"/>
    <w:rsid w:val="00CF435C"/>
    <w:rsid w:val="00CF6000"/>
    <w:rsid w:val="00D003F3"/>
    <w:rsid w:val="00D0364F"/>
    <w:rsid w:val="00D06834"/>
    <w:rsid w:val="00D06849"/>
    <w:rsid w:val="00D075E8"/>
    <w:rsid w:val="00D11769"/>
    <w:rsid w:val="00D1404F"/>
    <w:rsid w:val="00D2033F"/>
    <w:rsid w:val="00D20609"/>
    <w:rsid w:val="00D23199"/>
    <w:rsid w:val="00D26973"/>
    <w:rsid w:val="00D308ED"/>
    <w:rsid w:val="00D31F57"/>
    <w:rsid w:val="00D32420"/>
    <w:rsid w:val="00D33745"/>
    <w:rsid w:val="00D36D86"/>
    <w:rsid w:val="00D42340"/>
    <w:rsid w:val="00D428AA"/>
    <w:rsid w:val="00D50A34"/>
    <w:rsid w:val="00D5135B"/>
    <w:rsid w:val="00D51689"/>
    <w:rsid w:val="00D53EFA"/>
    <w:rsid w:val="00D53FD6"/>
    <w:rsid w:val="00D5410E"/>
    <w:rsid w:val="00D56777"/>
    <w:rsid w:val="00D570F2"/>
    <w:rsid w:val="00D63CE0"/>
    <w:rsid w:val="00D6780C"/>
    <w:rsid w:val="00D67A23"/>
    <w:rsid w:val="00D72FB7"/>
    <w:rsid w:val="00D81129"/>
    <w:rsid w:val="00D84B1D"/>
    <w:rsid w:val="00D8598E"/>
    <w:rsid w:val="00D85DF2"/>
    <w:rsid w:val="00D94A7C"/>
    <w:rsid w:val="00D95896"/>
    <w:rsid w:val="00D966D8"/>
    <w:rsid w:val="00DA364E"/>
    <w:rsid w:val="00DA552E"/>
    <w:rsid w:val="00DB0FC1"/>
    <w:rsid w:val="00DB2983"/>
    <w:rsid w:val="00DB2A41"/>
    <w:rsid w:val="00DB78ED"/>
    <w:rsid w:val="00DC1257"/>
    <w:rsid w:val="00DC3DC0"/>
    <w:rsid w:val="00DC47BE"/>
    <w:rsid w:val="00DC5B2B"/>
    <w:rsid w:val="00DD10CD"/>
    <w:rsid w:val="00DD318D"/>
    <w:rsid w:val="00DE18E4"/>
    <w:rsid w:val="00DE1C6B"/>
    <w:rsid w:val="00DE62AD"/>
    <w:rsid w:val="00DE717C"/>
    <w:rsid w:val="00DF2E12"/>
    <w:rsid w:val="00DF514A"/>
    <w:rsid w:val="00DF6690"/>
    <w:rsid w:val="00DF6804"/>
    <w:rsid w:val="00E00363"/>
    <w:rsid w:val="00E0358D"/>
    <w:rsid w:val="00E04323"/>
    <w:rsid w:val="00E0661B"/>
    <w:rsid w:val="00E06C4F"/>
    <w:rsid w:val="00E070A2"/>
    <w:rsid w:val="00E11009"/>
    <w:rsid w:val="00E1189F"/>
    <w:rsid w:val="00E16C9D"/>
    <w:rsid w:val="00E2150D"/>
    <w:rsid w:val="00E219A6"/>
    <w:rsid w:val="00E22CE5"/>
    <w:rsid w:val="00E23A27"/>
    <w:rsid w:val="00E2656A"/>
    <w:rsid w:val="00E30906"/>
    <w:rsid w:val="00E32E57"/>
    <w:rsid w:val="00E35355"/>
    <w:rsid w:val="00E37ADC"/>
    <w:rsid w:val="00E412D0"/>
    <w:rsid w:val="00E413D2"/>
    <w:rsid w:val="00E42B05"/>
    <w:rsid w:val="00E51161"/>
    <w:rsid w:val="00E514CD"/>
    <w:rsid w:val="00E53A94"/>
    <w:rsid w:val="00E56322"/>
    <w:rsid w:val="00E573F1"/>
    <w:rsid w:val="00E60982"/>
    <w:rsid w:val="00E616A1"/>
    <w:rsid w:val="00E61C30"/>
    <w:rsid w:val="00E62C62"/>
    <w:rsid w:val="00E64265"/>
    <w:rsid w:val="00E654C1"/>
    <w:rsid w:val="00E65D97"/>
    <w:rsid w:val="00E67450"/>
    <w:rsid w:val="00E71A42"/>
    <w:rsid w:val="00E71FE7"/>
    <w:rsid w:val="00E72A5A"/>
    <w:rsid w:val="00E73354"/>
    <w:rsid w:val="00E77B1D"/>
    <w:rsid w:val="00E800DF"/>
    <w:rsid w:val="00E8026B"/>
    <w:rsid w:val="00E80F06"/>
    <w:rsid w:val="00E82396"/>
    <w:rsid w:val="00E85A00"/>
    <w:rsid w:val="00E9242D"/>
    <w:rsid w:val="00E95ECB"/>
    <w:rsid w:val="00EA20BA"/>
    <w:rsid w:val="00EB1271"/>
    <w:rsid w:val="00EB133D"/>
    <w:rsid w:val="00EB5255"/>
    <w:rsid w:val="00EB5C45"/>
    <w:rsid w:val="00EB5C47"/>
    <w:rsid w:val="00EC00DD"/>
    <w:rsid w:val="00EC5804"/>
    <w:rsid w:val="00ED0639"/>
    <w:rsid w:val="00EE13DB"/>
    <w:rsid w:val="00EE38D3"/>
    <w:rsid w:val="00EE622F"/>
    <w:rsid w:val="00EE72AE"/>
    <w:rsid w:val="00EF2253"/>
    <w:rsid w:val="00EF4755"/>
    <w:rsid w:val="00EF7135"/>
    <w:rsid w:val="00F027DB"/>
    <w:rsid w:val="00F07076"/>
    <w:rsid w:val="00F07806"/>
    <w:rsid w:val="00F12C97"/>
    <w:rsid w:val="00F14A7A"/>
    <w:rsid w:val="00F20996"/>
    <w:rsid w:val="00F22222"/>
    <w:rsid w:val="00F22985"/>
    <w:rsid w:val="00F27122"/>
    <w:rsid w:val="00F3383E"/>
    <w:rsid w:val="00F36EB5"/>
    <w:rsid w:val="00F373E0"/>
    <w:rsid w:val="00F4247F"/>
    <w:rsid w:val="00F465A7"/>
    <w:rsid w:val="00F50B7C"/>
    <w:rsid w:val="00F53391"/>
    <w:rsid w:val="00F53FD2"/>
    <w:rsid w:val="00F544D6"/>
    <w:rsid w:val="00F550E6"/>
    <w:rsid w:val="00F55B0E"/>
    <w:rsid w:val="00F61FC0"/>
    <w:rsid w:val="00F6305F"/>
    <w:rsid w:val="00F65750"/>
    <w:rsid w:val="00F703E5"/>
    <w:rsid w:val="00F72A84"/>
    <w:rsid w:val="00F74345"/>
    <w:rsid w:val="00F800EC"/>
    <w:rsid w:val="00F80A0A"/>
    <w:rsid w:val="00F82B19"/>
    <w:rsid w:val="00F86763"/>
    <w:rsid w:val="00F86EB7"/>
    <w:rsid w:val="00F9212D"/>
    <w:rsid w:val="00F934FB"/>
    <w:rsid w:val="00F965DA"/>
    <w:rsid w:val="00FA406A"/>
    <w:rsid w:val="00FA7272"/>
    <w:rsid w:val="00FB2108"/>
    <w:rsid w:val="00FB503A"/>
    <w:rsid w:val="00FB516C"/>
    <w:rsid w:val="00FB6B2C"/>
    <w:rsid w:val="00FC1E53"/>
    <w:rsid w:val="00FC32F1"/>
    <w:rsid w:val="00FD0236"/>
    <w:rsid w:val="00FD18F4"/>
    <w:rsid w:val="00FD54DB"/>
    <w:rsid w:val="00FD619F"/>
    <w:rsid w:val="00FE056A"/>
    <w:rsid w:val="00FE2B2C"/>
    <w:rsid w:val="00FE43B5"/>
    <w:rsid w:val="00FE44D4"/>
    <w:rsid w:val="00FE5169"/>
    <w:rsid w:val="00FE686E"/>
    <w:rsid w:val="00FF28D7"/>
    <w:rsid w:val="00FF46D5"/>
    <w:rsid w:val="00FF4EC1"/>
    <w:rsid w:val="00FF7505"/>
    <w:rsid w:val="01290F7E"/>
    <w:rsid w:val="01422F2D"/>
    <w:rsid w:val="015D1E09"/>
    <w:rsid w:val="01634515"/>
    <w:rsid w:val="017E045C"/>
    <w:rsid w:val="01BC0676"/>
    <w:rsid w:val="021653B1"/>
    <w:rsid w:val="021D229B"/>
    <w:rsid w:val="022E0662"/>
    <w:rsid w:val="023322B1"/>
    <w:rsid w:val="024E44EF"/>
    <w:rsid w:val="02697903"/>
    <w:rsid w:val="02A143F2"/>
    <w:rsid w:val="02F96569"/>
    <w:rsid w:val="03086AA8"/>
    <w:rsid w:val="031E276F"/>
    <w:rsid w:val="03287414"/>
    <w:rsid w:val="032F1EF2"/>
    <w:rsid w:val="03E316A0"/>
    <w:rsid w:val="03EA7B21"/>
    <w:rsid w:val="040D00EE"/>
    <w:rsid w:val="04194CE4"/>
    <w:rsid w:val="044B5C73"/>
    <w:rsid w:val="04770389"/>
    <w:rsid w:val="047A061E"/>
    <w:rsid w:val="049D1414"/>
    <w:rsid w:val="04F80475"/>
    <w:rsid w:val="05793C8D"/>
    <w:rsid w:val="05834B0B"/>
    <w:rsid w:val="05AD052D"/>
    <w:rsid w:val="05F6327D"/>
    <w:rsid w:val="05F83EAE"/>
    <w:rsid w:val="06355981"/>
    <w:rsid w:val="063E7D85"/>
    <w:rsid w:val="064A5629"/>
    <w:rsid w:val="06856661"/>
    <w:rsid w:val="069C40D7"/>
    <w:rsid w:val="069E7E81"/>
    <w:rsid w:val="06B0557B"/>
    <w:rsid w:val="06CE1DB6"/>
    <w:rsid w:val="07293586"/>
    <w:rsid w:val="07295285"/>
    <w:rsid w:val="072A6774"/>
    <w:rsid w:val="07376782"/>
    <w:rsid w:val="07534F54"/>
    <w:rsid w:val="075C75B8"/>
    <w:rsid w:val="07636392"/>
    <w:rsid w:val="07756FBB"/>
    <w:rsid w:val="07770C56"/>
    <w:rsid w:val="07D20E5F"/>
    <w:rsid w:val="07EA0E72"/>
    <w:rsid w:val="08083861"/>
    <w:rsid w:val="08093C82"/>
    <w:rsid w:val="0818238A"/>
    <w:rsid w:val="082E720D"/>
    <w:rsid w:val="08A432FD"/>
    <w:rsid w:val="08A70B11"/>
    <w:rsid w:val="08BD66AE"/>
    <w:rsid w:val="091B1336"/>
    <w:rsid w:val="092217DD"/>
    <w:rsid w:val="09287EA3"/>
    <w:rsid w:val="093A7294"/>
    <w:rsid w:val="09626E19"/>
    <w:rsid w:val="097032AC"/>
    <w:rsid w:val="09C00B2D"/>
    <w:rsid w:val="0A11498F"/>
    <w:rsid w:val="0A263993"/>
    <w:rsid w:val="0A2D3AC2"/>
    <w:rsid w:val="0A65146E"/>
    <w:rsid w:val="0A941B33"/>
    <w:rsid w:val="0AA755DF"/>
    <w:rsid w:val="0ABD461B"/>
    <w:rsid w:val="0ACA1658"/>
    <w:rsid w:val="0AF60F6E"/>
    <w:rsid w:val="0B120D44"/>
    <w:rsid w:val="0B210216"/>
    <w:rsid w:val="0B3568A8"/>
    <w:rsid w:val="0B59168E"/>
    <w:rsid w:val="0B5C3E34"/>
    <w:rsid w:val="0B70168E"/>
    <w:rsid w:val="0B853EF2"/>
    <w:rsid w:val="0BC85CB0"/>
    <w:rsid w:val="0BD27BF6"/>
    <w:rsid w:val="0C201306"/>
    <w:rsid w:val="0C3B3C7D"/>
    <w:rsid w:val="0C870742"/>
    <w:rsid w:val="0CAB2EAE"/>
    <w:rsid w:val="0D3112F1"/>
    <w:rsid w:val="0D501FA8"/>
    <w:rsid w:val="0D621C7D"/>
    <w:rsid w:val="0D6613E9"/>
    <w:rsid w:val="0DAA05E6"/>
    <w:rsid w:val="0DD95C10"/>
    <w:rsid w:val="0DE325EB"/>
    <w:rsid w:val="0E370B89"/>
    <w:rsid w:val="0E4A4418"/>
    <w:rsid w:val="0E5E1C72"/>
    <w:rsid w:val="0E73034D"/>
    <w:rsid w:val="0E8A6F0A"/>
    <w:rsid w:val="0EED6FD9"/>
    <w:rsid w:val="0F13775A"/>
    <w:rsid w:val="0F182768"/>
    <w:rsid w:val="0F45286D"/>
    <w:rsid w:val="0F5F45FE"/>
    <w:rsid w:val="0F96368D"/>
    <w:rsid w:val="0F9A112B"/>
    <w:rsid w:val="0FAC2EB1"/>
    <w:rsid w:val="0FD212DF"/>
    <w:rsid w:val="103D1133"/>
    <w:rsid w:val="106D2F64"/>
    <w:rsid w:val="10860011"/>
    <w:rsid w:val="10944070"/>
    <w:rsid w:val="10B63710"/>
    <w:rsid w:val="10BE03C1"/>
    <w:rsid w:val="10C83D1A"/>
    <w:rsid w:val="10EE6046"/>
    <w:rsid w:val="10F10820"/>
    <w:rsid w:val="10F20D97"/>
    <w:rsid w:val="111C2F7A"/>
    <w:rsid w:val="1145447E"/>
    <w:rsid w:val="11665CA1"/>
    <w:rsid w:val="118F6F7F"/>
    <w:rsid w:val="120606BD"/>
    <w:rsid w:val="12260339"/>
    <w:rsid w:val="127317E1"/>
    <w:rsid w:val="12A24AB4"/>
    <w:rsid w:val="12B75C8C"/>
    <w:rsid w:val="12BF44AA"/>
    <w:rsid w:val="12D60970"/>
    <w:rsid w:val="130B7EEE"/>
    <w:rsid w:val="130F4195"/>
    <w:rsid w:val="1321072F"/>
    <w:rsid w:val="13370EA3"/>
    <w:rsid w:val="13641A07"/>
    <w:rsid w:val="136E753C"/>
    <w:rsid w:val="13784176"/>
    <w:rsid w:val="13897791"/>
    <w:rsid w:val="13951726"/>
    <w:rsid w:val="13D072EB"/>
    <w:rsid w:val="142851FC"/>
    <w:rsid w:val="14396509"/>
    <w:rsid w:val="148871C8"/>
    <w:rsid w:val="14AE583B"/>
    <w:rsid w:val="14DD2C3C"/>
    <w:rsid w:val="14E25D29"/>
    <w:rsid w:val="15190FE8"/>
    <w:rsid w:val="155344FA"/>
    <w:rsid w:val="157A5E3B"/>
    <w:rsid w:val="1606156C"/>
    <w:rsid w:val="16087E1D"/>
    <w:rsid w:val="16971776"/>
    <w:rsid w:val="16A62408"/>
    <w:rsid w:val="16B6414A"/>
    <w:rsid w:val="16B9314B"/>
    <w:rsid w:val="16C60CFC"/>
    <w:rsid w:val="16F6595A"/>
    <w:rsid w:val="1712456D"/>
    <w:rsid w:val="172D7406"/>
    <w:rsid w:val="173A2B49"/>
    <w:rsid w:val="17701D14"/>
    <w:rsid w:val="17735226"/>
    <w:rsid w:val="178C3CF3"/>
    <w:rsid w:val="17996410"/>
    <w:rsid w:val="17B27DD1"/>
    <w:rsid w:val="17BE6DBD"/>
    <w:rsid w:val="17D82A95"/>
    <w:rsid w:val="184C6AD6"/>
    <w:rsid w:val="184E71FB"/>
    <w:rsid w:val="187F5606"/>
    <w:rsid w:val="18860743"/>
    <w:rsid w:val="189F624C"/>
    <w:rsid w:val="18B0756E"/>
    <w:rsid w:val="18C1177B"/>
    <w:rsid w:val="18CB25F9"/>
    <w:rsid w:val="18CE5C46"/>
    <w:rsid w:val="18E35B95"/>
    <w:rsid w:val="19137CD0"/>
    <w:rsid w:val="191D673C"/>
    <w:rsid w:val="19302DE3"/>
    <w:rsid w:val="19722F5E"/>
    <w:rsid w:val="19733704"/>
    <w:rsid w:val="19810F0A"/>
    <w:rsid w:val="19864ACE"/>
    <w:rsid w:val="199B0A4E"/>
    <w:rsid w:val="19E52B49"/>
    <w:rsid w:val="19EB541A"/>
    <w:rsid w:val="1A1C66C0"/>
    <w:rsid w:val="1A2E2A3A"/>
    <w:rsid w:val="1A332204"/>
    <w:rsid w:val="1A42393B"/>
    <w:rsid w:val="1A5A1AFE"/>
    <w:rsid w:val="1A623B26"/>
    <w:rsid w:val="1A6C17A9"/>
    <w:rsid w:val="1A6F68D9"/>
    <w:rsid w:val="1A8A3DEE"/>
    <w:rsid w:val="1AAC0209"/>
    <w:rsid w:val="1AAD45DE"/>
    <w:rsid w:val="1AC13CB4"/>
    <w:rsid w:val="1ADF05DE"/>
    <w:rsid w:val="1B046F80"/>
    <w:rsid w:val="1B226BE2"/>
    <w:rsid w:val="1B3267B5"/>
    <w:rsid w:val="1B40161D"/>
    <w:rsid w:val="1B441859"/>
    <w:rsid w:val="1B6606B1"/>
    <w:rsid w:val="1B697EA8"/>
    <w:rsid w:val="1B9C027D"/>
    <w:rsid w:val="1BDC68CC"/>
    <w:rsid w:val="1BE0460E"/>
    <w:rsid w:val="1C116575"/>
    <w:rsid w:val="1C5E7925"/>
    <w:rsid w:val="1CB6711D"/>
    <w:rsid w:val="1CE4398E"/>
    <w:rsid w:val="1CE94790"/>
    <w:rsid w:val="1CFD070F"/>
    <w:rsid w:val="1D1E560C"/>
    <w:rsid w:val="1D501C03"/>
    <w:rsid w:val="1D514549"/>
    <w:rsid w:val="1D5F6196"/>
    <w:rsid w:val="1D6132A5"/>
    <w:rsid w:val="1D8E56D5"/>
    <w:rsid w:val="1DCD2970"/>
    <w:rsid w:val="1DD008DC"/>
    <w:rsid w:val="1DF413E0"/>
    <w:rsid w:val="1E0E312D"/>
    <w:rsid w:val="1E7A43DA"/>
    <w:rsid w:val="1F35562F"/>
    <w:rsid w:val="1F4B4494"/>
    <w:rsid w:val="1F9D601A"/>
    <w:rsid w:val="1FCA53B9"/>
    <w:rsid w:val="1FE10954"/>
    <w:rsid w:val="1FE4517E"/>
    <w:rsid w:val="1FE7539E"/>
    <w:rsid w:val="20216FA3"/>
    <w:rsid w:val="20564E9E"/>
    <w:rsid w:val="205E3D53"/>
    <w:rsid w:val="20671BE0"/>
    <w:rsid w:val="209239FD"/>
    <w:rsid w:val="20963CB8"/>
    <w:rsid w:val="20A53730"/>
    <w:rsid w:val="20A81A1B"/>
    <w:rsid w:val="20B07FB6"/>
    <w:rsid w:val="20B646FB"/>
    <w:rsid w:val="21075FE0"/>
    <w:rsid w:val="213B74B1"/>
    <w:rsid w:val="214473ED"/>
    <w:rsid w:val="214E0B3E"/>
    <w:rsid w:val="215A2310"/>
    <w:rsid w:val="21C565C2"/>
    <w:rsid w:val="21CD2F3E"/>
    <w:rsid w:val="21DE318A"/>
    <w:rsid w:val="21EF5B80"/>
    <w:rsid w:val="22576990"/>
    <w:rsid w:val="22600256"/>
    <w:rsid w:val="226E2973"/>
    <w:rsid w:val="2274785E"/>
    <w:rsid w:val="22CF0994"/>
    <w:rsid w:val="22E50D23"/>
    <w:rsid w:val="22F47480"/>
    <w:rsid w:val="231B5F2B"/>
    <w:rsid w:val="2378725A"/>
    <w:rsid w:val="23966E86"/>
    <w:rsid w:val="23A22D91"/>
    <w:rsid w:val="23C15745"/>
    <w:rsid w:val="23D507D0"/>
    <w:rsid w:val="23DA5DE6"/>
    <w:rsid w:val="23DE1C48"/>
    <w:rsid w:val="240210CD"/>
    <w:rsid w:val="240A75AE"/>
    <w:rsid w:val="24215D08"/>
    <w:rsid w:val="245F28ED"/>
    <w:rsid w:val="246833F2"/>
    <w:rsid w:val="24714DD7"/>
    <w:rsid w:val="247F2751"/>
    <w:rsid w:val="24BF09F7"/>
    <w:rsid w:val="24CA5BC1"/>
    <w:rsid w:val="24DB1E16"/>
    <w:rsid w:val="252D53FE"/>
    <w:rsid w:val="258129BE"/>
    <w:rsid w:val="25CE3729"/>
    <w:rsid w:val="25E2579A"/>
    <w:rsid w:val="25EC2D81"/>
    <w:rsid w:val="25FD7B6A"/>
    <w:rsid w:val="262B1F0E"/>
    <w:rsid w:val="267C0347"/>
    <w:rsid w:val="26865DB2"/>
    <w:rsid w:val="26905172"/>
    <w:rsid w:val="26A44121"/>
    <w:rsid w:val="26E256DE"/>
    <w:rsid w:val="27231716"/>
    <w:rsid w:val="27381D4E"/>
    <w:rsid w:val="275D4D64"/>
    <w:rsid w:val="277057A2"/>
    <w:rsid w:val="27806CA5"/>
    <w:rsid w:val="27870033"/>
    <w:rsid w:val="27D92F89"/>
    <w:rsid w:val="27ED433A"/>
    <w:rsid w:val="28304227"/>
    <w:rsid w:val="28335534"/>
    <w:rsid w:val="286660A3"/>
    <w:rsid w:val="286758B5"/>
    <w:rsid w:val="28DB4E64"/>
    <w:rsid w:val="29206EB8"/>
    <w:rsid w:val="29324FE2"/>
    <w:rsid w:val="2932794A"/>
    <w:rsid w:val="29595666"/>
    <w:rsid w:val="29874881"/>
    <w:rsid w:val="299F24EE"/>
    <w:rsid w:val="29A924E3"/>
    <w:rsid w:val="29B22956"/>
    <w:rsid w:val="29C42E79"/>
    <w:rsid w:val="29C4371F"/>
    <w:rsid w:val="29E325E0"/>
    <w:rsid w:val="29F23E8A"/>
    <w:rsid w:val="29F9022D"/>
    <w:rsid w:val="2A092F82"/>
    <w:rsid w:val="2A3B39C5"/>
    <w:rsid w:val="2A452503"/>
    <w:rsid w:val="2A5F2835"/>
    <w:rsid w:val="2ACC25E1"/>
    <w:rsid w:val="2B2A13D7"/>
    <w:rsid w:val="2B7937A9"/>
    <w:rsid w:val="2B8054C5"/>
    <w:rsid w:val="2BA936A8"/>
    <w:rsid w:val="2BC9612F"/>
    <w:rsid w:val="2BF64C7D"/>
    <w:rsid w:val="2BFA7026"/>
    <w:rsid w:val="2C1B0D4A"/>
    <w:rsid w:val="2C237961"/>
    <w:rsid w:val="2C315A5A"/>
    <w:rsid w:val="2C4B1C25"/>
    <w:rsid w:val="2C6721E1"/>
    <w:rsid w:val="2C8815B6"/>
    <w:rsid w:val="2C901AAA"/>
    <w:rsid w:val="2CBC252D"/>
    <w:rsid w:val="2CF63C91"/>
    <w:rsid w:val="2CFC70E8"/>
    <w:rsid w:val="2D4C792D"/>
    <w:rsid w:val="2D681C32"/>
    <w:rsid w:val="2D857478"/>
    <w:rsid w:val="2D8E17C6"/>
    <w:rsid w:val="2D9E56F5"/>
    <w:rsid w:val="2DA073FC"/>
    <w:rsid w:val="2DDB141D"/>
    <w:rsid w:val="2E0A551A"/>
    <w:rsid w:val="2E5150EF"/>
    <w:rsid w:val="2E667F96"/>
    <w:rsid w:val="2E8226AB"/>
    <w:rsid w:val="2E8D2E63"/>
    <w:rsid w:val="2E8E13C1"/>
    <w:rsid w:val="2EA339A5"/>
    <w:rsid w:val="2EA61258"/>
    <w:rsid w:val="2EAE76C2"/>
    <w:rsid w:val="2EED57AB"/>
    <w:rsid w:val="2F0B154A"/>
    <w:rsid w:val="2F2A7C22"/>
    <w:rsid w:val="2F520F27"/>
    <w:rsid w:val="2F6277C4"/>
    <w:rsid w:val="2F7B6358"/>
    <w:rsid w:val="2F8F217B"/>
    <w:rsid w:val="2FC45654"/>
    <w:rsid w:val="2FD065E6"/>
    <w:rsid w:val="2FD96870"/>
    <w:rsid w:val="300C37CC"/>
    <w:rsid w:val="30580BC9"/>
    <w:rsid w:val="311B255E"/>
    <w:rsid w:val="311B3732"/>
    <w:rsid w:val="311E2ED7"/>
    <w:rsid w:val="31295CB7"/>
    <w:rsid w:val="314B0324"/>
    <w:rsid w:val="315619EE"/>
    <w:rsid w:val="315C42DF"/>
    <w:rsid w:val="315C449C"/>
    <w:rsid w:val="319E0453"/>
    <w:rsid w:val="31A1488B"/>
    <w:rsid w:val="31A32F06"/>
    <w:rsid w:val="31B82709"/>
    <w:rsid w:val="31B93EF6"/>
    <w:rsid w:val="31D05482"/>
    <w:rsid w:val="31EC4F78"/>
    <w:rsid w:val="31EE13DB"/>
    <w:rsid w:val="32400B34"/>
    <w:rsid w:val="327613D0"/>
    <w:rsid w:val="329E6876"/>
    <w:rsid w:val="32A63A63"/>
    <w:rsid w:val="32AC4DF2"/>
    <w:rsid w:val="32B75C71"/>
    <w:rsid w:val="32D5775F"/>
    <w:rsid w:val="330B38C7"/>
    <w:rsid w:val="33274478"/>
    <w:rsid w:val="33290D62"/>
    <w:rsid w:val="333015F2"/>
    <w:rsid w:val="33361719"/>
    <w:rsid w:val="334B6320"/>
    <w:rsid w:val="33550FE6"/>
    <w:rsid w:val="339A10EE"/>
    <w:rsid w:val="33C00B55"/>
    <w:rsid w:val="33C45169"/>
    <w:rsid w:val="33D934D4"/>
    <w:rsid w:val="33D939C5"/>
    <w:rsid w:val="33FE2F6A"/>
    <w:rsid w:val="340E07E5"/>
    <w:rsid w:val="34150D06"/>
    <w:rsid w:val="34235BF7"/>
    <w:rsid w:val="346C2A8B"/>
    <w:rsid w:val="34804237"/>
    <w:rsid w:val="348E3489"/>
    <w:rsid w:val="34A55F9D"/>
    <w:rsid w:val="34B4363D"/>
    <w:rsid w:val="34E53C3F"/>
    <w:rsid w:val="34FB01A9"/>
    <w:rsid w:val="351A4295"/>
    <w:rsid w:val="357058CF"/>
    <w:rsid w:val="35716BB7"/>
    <w:rsid w:val="358C5FA8"/>
    <w:rsid w:val="359117B4"/>
    <w:rsid w:val="35C15DF1"/>
    <w:rsid w:val="35E51EA1"/>
    <w:rsid w:val="36074A7F"/>
    <w:rsid w:val="361909F0"/>
    <w:rsid w:val="365E3F1B"/>
    <w:rsid w:val="36660519"/>
    <w:rsid w:val="368A0122"/>
    <w:rsid w:val="36923549"/>
    <w:rsid w:val="36A24542"/>
    <w:rsid w:val="36B75FBF"/>
    <w:rsid w:val="36BD0C45"/>
    <w:rsid w:val="36CD2D37"/>
    <w:rsid w:val="371C0798"/>
    <w:rsid w:val="374B2E2B"/>
    <w:rsid w:val="379453FA"/>
    <w:rsid w:val="37E00298"/>
    <w:rsid w:val="37E67DC2"/>
    <w:rsid w:val="38012C35"/>
    <w:rsid w:val="38237904"/>
    <w:rsid w:val="382A2A41"/>
    <w:rsid w:val="385B0E4C"/>
    <w:rsid w:val="386E791E"/>
    <w:rsid w:val="38B302F9"/>
    <w:rsid w:val="38F12CD3"/>
    <w:rsid w:val="38F94775"/>
    <w:rsid w:val="3902576C"/>
    <w:rsid w:val="391A58B4"/>
    <w:rsid w:val="392971ED"/>
    <w:rsid w:val="39325651"/>
    <w:rsid w:val="39365415"/>
    <w:rsid w:val="39AD1B7B"/>
    <w:rsid w:val="39DA2245"/>
    <w:rsid w:val="3A3905ED"/>
    <w:rsid w:val="3A521941"/>
    <w:rsid w:val="3A872856"/>
    <w:rsid w:val="3A887EF3"/>
    <w:rsid w:val="3A8E7A67"/>
    <w:rsid w:val="3AB11C81"/>
    <w:rsid w:val="3ACF4D6B"/>
    <w:rsid w:val="3B0A4DAB"/>
    <w:rsid w:val="3B0E42D3"/>
    <w:rsid w:val="3B3763D1"/>
    <w:rsid w:val="3B3B31B7"/>
    <w:rsid w:val="3B61590E"/>
    <w:rsid w:val="3B8561E0"/>
    <w:rsid w:val="3BC62A80"/>
    <w:rsid w:val="3BCE7B87"/>
    <w:rsid w:val="3BE86E9B"/>
    <w:rsid w:val="3BEB1E21"/>
    <w:rsid w:val="3C0061C0"/>
    <w:rsid w:val="3C017F5D"/>
    <w:rsid w:val="3C123F18"/>
    <w:rsid w:val="3C2F6E1E"/>
    <w:rsid w:val="3C434923"/>
    <w:rsid w:val="3C4F64BA"/>
    <w:rsid w:val="3C6109FB"/>
    <w:rsid w:val="3C6A5B02"/>
    <w:rsid w:val="3C8905E6"/>
    <w:rsid w:val="3CA040F2"/>
    <w:rsid w:val="3CDA245A"/>
    <w:rsid w:val="3CF726A3"/>
    <w:rsid w:val="3D1E06B7"/>
    <w:rsid w:val="3D3C0CE8"/>
    <w:rsid w:val="3D4445A5"/>
    <w:rsid w:val="3D684C49"/>
    <w:rsid w:val="3DB32E4E"/>
    <w:rsid w:val="3DB84C51"/>
    <w:rsid w:val="3DBD4357"/>
    <w:rsid w:val="3DF37C98"/>
    <w:rsid w:val="3E4C4650"/>
    <w:rsid w:val="3E5500EC"/>
    <w:rsid w:val="3E95179C"/>
    <w:rsid w:val="3E9D39B6"/>
    <w:rsid w:val="3EBF7C5B"/>
    <w:rsid w:val="3EDA0523"/>
    <w:rsid w:val="3EE15E23"/>
    <w:rsid w:val="3F146CD0"/>
    <w:rsid w:val="3F1906C2"/>
    <w:rsid w:val="3F2513C8"/>
    <w:rsid w:val="3F535C50"/>
    <w:rsid w:val="3F536D21"/>
    <w:rsid w:val="3F7E3672"/>
    <w:rsid w:val="3FBA6DA0"/>
    <w:rsid w:val="3FDF2363"/>
    <w:rsid w:val="40443645"/>
    <w:rsid w:val="404606A5"/>
    <w:rsid w:val="40482C7C"/>
    <w:rsid w:val="40503261"/>
    <w:rsid w:val="405C5549"/>
    <w:rsid w:val="405F386C"/>
    <w:rsid w:val="40703E40"/>
    <w:rsid w:val="407A6407"/>
    <w:rsid w:val="40B33D59"/>
    <w:rsid w:val="40FC0CF2"/>
    <w:rsid w:val="410B4C9F"/>
    <w:rsid w:val="412D70FE"/>
    <w:rsid w:val="41982EB6"/>
    <w:rsid w:val="4200449D"/>
    <w:rsid w:val="421502BE"/>
    <w:rsid w:val="422C1AAB"/>
    <w:rsid w:val="423A3BCC"/>
    <w:rsid w:val="424E57D2"/>
    <w:rsid w:val="426D7A8B"/>
    <w:rsid w:val="42B26C49"/>
    <w:rsid w:val="42EE1FD0"/>
    <w:rsid w:val="430B2C49"/>
    <w:rsid w:val="43120CA1"/>
    <w:rsid w:val="431467C7"/>
    <w:rsid w:val="43283CA2"/>
    <w:rsid w:val="433A6FE6"/>
    <w:rsid w:val="43480868"/>
    <w:rsid w:val="4350713C"/>
    <w:rsid w:val="43664B49"/>
    <w:rsid w:val="436653E0"/>
    <w:rsid w:val="43791F48"/>
    <w:rsid w:val="4379487C"/>
    <w:rsid w:val="43851473"/>
    <w:rsid w:val="43A062AD"/>
    <w:rsid w:val="43C4431A"/>
    <w:rsid w:val="43F017B5"/>
    <w:rsid w:val="4435550C"/>
    <w:rsid w:val="44581AD6"/>
    <w:rsid w:val="44821438"/>
    <w:rsid w:val="448A4366"/>
    <w:rsid w:val="449A2CFC"/>
    <w:rsid w:val="44B951CC"/>
    <w:rsid w:val="44CD14E0"/>
    <w:rsid w:val="44E772A7"/>
    <w:rsid w:val="44F06DC0"/>
    <w:rsid w:val="44F20B0B"/>
    <w:rsid w:val="44FC7513"/>
    <w:rsid w:val="452E5F4C"/>
    <w:rsid w:val="45386F03"/>
    <w:rsid w:val="45612018"/>
    <w:rsid w:val="456B28EB"/>
    <w:rsid w:val="456F5F37"/>
    <w:rsid w:val="458946E9"/>
    <w:rsid w:val="45A47C0E"/>
    <w:rsid w:val="45B20E0A"/>
    <w:rsid w:val="46447B4F"/>
    <w:rsid w:val="46577FD6"/>
    <w:rsid w:val="46625A9C"/>
    <w:rsid w:val="467001B9"/>
    <w:rsid w:val="467754E7"/>
    <w:rsid w:val="467E2DB9"/>
    <w:rsid w:val="468671FE"/>
    <w:rsid w:val="46A61E2C"/>
    <w:rsid w:val="46C16C66"/>
    <w:rsid w:val="46D955A7"/>
    <w:rsid w:val="46ED5A14"/>
    <w:rsid w:val="46F14C34"/>
    <w:rsid w:val="46F56910"/>
    <w:rsid w:val="47133957"/>
    <w:rsid w:val="47440185"/>
    <w:rsid w:val="47A07E0C"/>
    <w:rsid w:val="47EE5458"/>
    <w:rsid w:val="47F209EB"/>
    <w:rsid w:val="482C6361"/>
    <w:rsid w:val="4850524D"/>
    <w:rsid w:val="4870272E"/>
    <w:rsid w:val="48B125C1"/>
    <w:rsid w:val="48D80297"/>
    <w:rsid w:val="48E914C9"/>
    <w:rsid w:val="49107975"/>
    <w:rsid w:val="496E0F3B"/>
    <w:rsid w:val="498521CD"/>
    <w:rsid w:val="49AD5280"/>
    <w:rsid w:val="49DC7715"/>
    <w:rsid w:val="4A023139"/>
    <w:rsid w:val="4A080708"/>
    <w:rsid w:val="4A235542"/>
    <w:rsid w:val="4A45195C"/>
    <w:rsid w:val="4A6F69D9"/>
    <w:rsid w:val="4A7B576F"/>
    <w:rsid w:val="4AAF07AF"/>
    <w:rsid w:val="4ABB799D"/>
    <w:rsid w:val="4ADB38EB"/>
    <w:rsid w:val="4AE44CD1"/>
    <w:rsid w:val="4AF561A9"/>
    <w:rsid w:val="4B201A81"/>
    <w:rsid w:val="4B2B5A53"/>
    <w:rsid w:val="4B3043BA"/>
    <w:rsid w:val="4B427BDD"/>
    <w:rsid w:val="4B736055"/>
    <w:rsid w:val="4B7A3E25"/>
    <w:rsid w:val="4B8C5F89"/>
    <w:rsid w:val="4C4A0649"/>
    <w:rsid w:val="4C600F5D"/>
    <w:rsid w:val="4C7E5ECA"/>
    <w:rsid w:val="4C8530B5"/>
    <w:rsid w:val="4C876AA5"/>
    <w:rsid w:val="4C940979"/>
    <w:rsid w:val="4D0E00FB"/>
    <w:rsid w:val="4D176606"/>
    <w:rsid w:val="4D376E45"/>
    <w:rsid w:val="4D3857A8"/>
    <w:rsid w:val="4D4D1D9C"/>
    <w:rsid w:val="4D857F31"/>
    <w:rsid w:val="4DEC4FB0"/>
    <w:rsid w:val="4E075D8A"/>
    <w:rsid w:val="4E7E543D"/>
    <w:rsid w:val="4E8430BC"/>
    <w:rsid w:val="4E9837C4"/>
    <w:rsid w:val="4EC00FAD"/>
    <w:rsid w:val="4EC2357B"/>
    <w:rsid w:val="4EF4411F"/>
    <w:rsid w:val="4F480E89"/>
    <w:rsid w:val="4F4E1380"/>
    <w:rsid w:val="4F9843DC"/>
    <w:rsid w:val="4FC023F3"/>
    <w:rsid w:val="4FC62A8C"/>
    <w:rsid w:val="4FDC5FC7"/>
    <w:rsid w:val="4FE20F0D"/>
    <w:rsid w:val="4FE51552"/>
    <w:rsid w:val="500365D1"/>
    <w:rsid w:val="504034CC"/>
    <w:rsid w:val="50504C4B"/>
    <w:rsid w:val="5071614F"/>
    <w:rsid w:val="50947199"/>
    <w:rsid w:val="509C6E7C"/>
    <w:rsid w:val="50D457E8"/>
    <w:rsid w:val="50F639B0"/>
    <w:rsid w:val="514F562A"/>
    <w:rsid w:val="5162104E"/>
    <w:rsid w:val="51705511"/>
    <w:rsid w:val="517375D0"/>
    <w:rsid w:val="517657E5"/>
    <w:rsid w:val="517A638F"/>
    <w:rsid w:val="51913CB4"/>
    <w:rsid w:val="51BB2C9B"/>
    <w:rsid w:val="51CB0999"/>
    <w:rsid w:val="51CE3B2A"/>
    <w:rsid w:val="51ED6035"/>
    <w:rsid w:val="5247479E"/>
    <w:rsid w:val="52B00AE6"/>
    <w:rsid w:val="534824B6"/>
    <w:rsid w:val="53A039CC"/>
    <w:rsid w:val="53A1505A"/>
    <w:rsid w:val="53B25E41"/>
    <w:rsid w:val="53BA6DBE"/>
    <w:rsid w:val="53C7007E"/>
    <w:rsid w:val="54063E08"/>
    <w:rsid w:val="54190B12"/>
    <w:rsid w:val="543437E8"/>
    <w:rsid w:val="546C241B"/>
    <w:rsid w:val="54790B80"/>
    <w:rsid w:val="547A717E"/>
    <w:rsid w:val="54901A26"/>
    <w:rsid w:val="549C03CB"/>
    <w:rsid w:val="54A43723"/>
    <w:rsid w:val="54B5148C"/>
    <w:rsid w:val="54CA4673"/>
    <w:rsid w:val="54DC110F"/>
    <w:rsid w:val="54F73313"/>
    <w:rsid w:val="54F80955"/>
    <w:rsid w:val="55177D47"/>
    <w:rsid w:val="555170A7"/>
    <w:rsid w:val="55517407"/>
    <w:rsid w:val="55567F93"/>
    <w:rsid w:val="55675454"/>
    <w:rsid w:val="557624B3"/>
    <w:rsid w:val="5587536D"/>
    <w:rsid w:val="558F2379"/>
    <w:rsid w:val="5595212A"/>
    <w:rsid w:val="559B174B"/>
    <w:rsid w:val="55AD4E4C"/>
    <w:rsid w:val="55C97BAC"/>
    <w:rsid w:val="55CE0CF4"/>
    <w:rsid w:val="561A0755"/>
    <w:rsid w:val="5656293D"/>
    <w:rsid w:val="56585DA5"/>
    <w:rsid w:val="56757125"/>
    <w:rsid w:val="56AF6ADB"/>
    <w:rsid w:val="56B22A9C"/>
    <w:rsid w:val="56FA5322"/>
    <w:rsid w:val="57210F11"/>
    <w:rsid w:val="57296716"/>
    <w:rsid w:val="573E7E5F"/>
    <w:rsid w:val="57B72A76"/>
    <w:rsid w:val="57BA1F82"/>
    <w:rsid w:val="57C3426C"/>
    <w:rsid w:val="57CE1F93"/>
    <w:rsid w:val="57E6041B"/>
    <w:rsid w:val="58022C3B"/>
    <w:rsid w:val="58254B7B"/>
    <w:rsid w:val="58527332"/>
    <w:rsid w:val="588743D1"/>
    <w:rsid w:val="5887701A"/>
    <w:rsid w:val="58A04948"/>
    <w:rsid w:val="58F72B02"/>
    <w:rsid w:val="592D04D0"/>
    <w:rsid w:val="59422CEA"/>
    <w:rsid w:val="5954396A"/>
    <w:rsid w:val="59943D66"/>
    <w:rsid w:val="59A92645"/>
    <w:rsid w:val="59AA71CF"/>
    <w:rsid w:val="59C0439F"/>
    <w:rsid w:val="59C27C81"/>
    <w:rsid w:val="59D93E32"/>
    <w:rsid w:val="59DF76D7"/>
    <w:rsid w:val="59E940B2"/>
    <w:rsid w:val="5A182357"/>
    <w:rsid w:val="5A3F2212"/>
    <w:rsid w:val="5A4968FF"/>
    <w:rsid w:val="5A6367FA"/>
    <w:rsid w:val="5AB7073F"/>
    <w:rsid w:val="5ABE2233"/>
    <w:rsid w:val="5AFA22EF"/>
    <w:rsid w:val="5B416C7D"/>
    <w:rsid w:val="5B5E462C"/>
    <w:rsid w:val="5B5F03A4"/>
    <w:rsid w:val="5B6E2452"/>
    <w:rsid w:val="5BDF5D95"/>
    <w:rsid w:val="5BE60D9B"/>
    <w:rsid w:val="5BFE7528"/>
    <w:rsid w:val="5C242455"/>
    <w:rsid w:val="5C49708A"/>
    <w:rsid w:val="5C4C066E"/>
    <w:rsid w:val="5C86208C"/>
    <w:rsid w:val="5C902CAB"/>
    <w:rsid w:val="5CA74DF0"/>
    <w:rsid w:val="5CA93716"/>
    <w:rsid w:val="5D025F33"/>
    <w:rsid w:val="5D6677C8"/>
    <w:rsid w:val="5D734978"/>
    <w:rsid w:val="5DAB2129"/>
    <w:rsid w:val="5E04316A"/>
    <w:rsid w:val="5E1B6804"/>
    <w:rsid w:val="5E2467F1"/>
    <w:rsid w:val="5E465A3C"/>
    <w:rsid w:val="5E4D0FC5"/>
    <w:rsid w:val="5EA467FA"/>
    <w:rsid w:val="5EE50BC0"/>
    <w:rsid w:val="5EEE3F19"/>
    <w:rsid w:val="5EF3152F"/>
    <w:rsid w:val="5F141E6A"/>
    <w:rsid w:val="5F1A2B43"/>
    <w:rsid w:val="5F9C0DAF"/>
    <w:rsid w:val="5FB837BB"/>
    <w:rsid w:val="601B0D3D"/>
    <w:rsid w:val="60315686"/>
    <w:rsid w:val="609D1752"/>
    <w:rsid w:val="60CC405A"/>
    <w:rsid w:val="61083F7C"/>
    <w:rsid w:val="611D0AE5"/>
    <w:rsid w:val="611F485D"/>
    <w:rsid w:val="614147D4"/>
    <w:rsid w:val="616C7377"/>
    <w:rsid w:val="61E215D8"/>
    <w:rsid w:val="620553F1"/>
    <w:rsid w:val="620D2908"/>
    <w:rsid w:val="621B3775"/>
    <w:rsid w:val="62347E94"/>
    <w:rsid w:val="62364782"/>
    <w:rsid w:val="62563928"/>
    <w:rsid w:val="62C26DA2"/>
    <w:rsid w:val="62E44E6A"/>
    <w:rsid w:val="63165E53"/>
    <w:rsid w:val="6327307F"/>
    <w:rsid w:val="63807109"/>
    <w:rsid w:val="63864720"/>
    <w:rsid w:val="6394356A"/>
    <w:rsid w:val="63C61B2C"/>
    <w:rsid w:val="63C87805"/>
    <w:rsid w:val="63D01E3F"/>
    <w:rsid w:val="63D40BE9"/>
    <w:rsid w:val="640C2405"/>
    <w:rsid w:val="64102431"/>
    <w:rsid w:val="644843F7"/>
    <w:rsid w:val="64610CE9"/>
    <w:rsid w:val="64A5243A"/>
    <w:rsid w:val="64E66F79"/>
    <w:rsid w:val="64F531DE"/>
    <w:rsid w:val="65172766"/>
    <w:rsid w:val="6524298B"/>
    <w:rsid w:val="65373578"/>
    <w:rsid w:val="658D448B"/>
    <w:rsid w:val="65961160"/>
    <w:rsid w:val="65A0537F"/>
    <w:rsid w:val="65C9123C"/>
    <w:rsid w:val="65CE57E0"/>
    <w:rsid w:val="65D10252"/>
    <w:rsid w:val="6622552B"/>
    <w:rsid w:val="6624278C"/>
    <w:rsid w:val="667D2E05"/>
    <w:rsid w:val="66C32257"/>
    <w:rsid w:val="66D63C10"/>
    <w:rsid w:val="66DC6D4D"/>
    <w:rsid w:val="671604B0"/>
    <w:rsid w:val="671F124A"/>
    <w:rsid w:val="673D3C8F"/>
    <w:rsid w:val="677A33C6"/>
    <w:rsid w:val="67AF79EE"/>
    <w:rsid w:val="67EB2F27"/>
    <w:rsid w:val="67EC1211"/>
    <w:rsid w:val="68182006"/>
    <w:rsid w:val="681F6961"/>
    <w:rsid w:val="68275CF1"/>
    <w:rsid w:val="684B72FE"/>
    <w:rsid w:val="68610A2F"/>
    <w:rsid w:val="68757769"/>
    <w:rsid w:val="68805514"/>
    <w:rsid w:val="68C92E07"/>
    <w:rsid w:val="69242244"/>
    <w:rsid w:val="692D6CE7"/>
    <w:rsid w:val="69316E2F"/>
    <w:rsid w:val="693E784B"/>
    <w:rsid w:val="694E2071"/>
    <w:rsid w:val="695A0B28"/>
    <w:rsid w:val="69766163"/>
    <w:rsid w:val="697A3B33"/>
    <w:rsid w:val="69845BA5"/>
    <w:rsid w:val="69AF3597"/>
    <w:rsid w:val="69D44760"/>
    <w:rsid w:val="69DF624E"/>
    <w:rsid w:val="69F81055"/>
    <w:rsid w:val="6A1C568B"/>
    <w:rsid w:val="6A520EC7"/>
    <w:rsid w:val="6A6634FD"/>
    <w:rsid w:val="6A9242F2"/>
    <w:rsid w:val="6AB46016"/>
    <w:rsid w:val="6AB70A70"/>
    <w:rsid w:val="6AE82164"/>
    <w:rsid w:val="6AF723A7"/>
    <w:rsid w:val="6AF87E20"/>
    <w:rsid w:val="6B0625EA"/>
    <w:rsid w:val="6B322639"/>
    <w:rsid w:val="6B461632"/>
    <w:rsid w:val="6B8A3187"/>
    <w:rsid w:val="6BB36F60"/>
    <w:rsid w:val="6BD8325B"/>
    <w:rsid w:val="6BF122E8"/>
    <w:rsid w:val="6BFB1C7D"/>
    <w:rsid w:val="6C4E2B43"/>
    <w:rsid w:val="6C5A0E40"/>
    <w:rsid w:val="6C636C38"/>
    <w:rsid w:val="6C6B5F7F"/>
    <w:rsid w:val="6C6E79B6"/>
    <w:rsid w:val="6C9133AF"/>
    <w:rsid w:val="6CAB51F7"/>
    <w:rsid w:val="6CC42838"/>
    <w:rsid w:val="6D0D4104"/>
    <w:rsid w:val="6D721662"/>
    <w:rsid w:val="6D8C327A"/>
    <w:rsid w:val="6D8E7601"/>
    <w:rsid w:val="6DB34098"/>
    <w:rsid w:val="6DB545B6"/>
    <w:rsid w:val="6DB92850"/>
    <w:rsid w:val="6DE02FB4"/>
    <w:rsid w:val="6DEE6C91"/>
    <w:rsid w:val="6DF10650"/>
    <w:rsid w:val="6E3502D2"/>
    <w:rsid w:val="6E3F209B"/>
    <w:rsid w:val="6E514CED"/>
    <w:rsid w:val="6E5813AF"/>
    <w:rsid w:val="6EB563D5"/>
    <w:rsid w:val="6ECC0B2D"/>
    <w:rsid w:val="6ED92677"/>
    <w:rsid w:val="6F0D4F8C"/>
    <w:rsid w:val="6F225983"/>
    <w:rsid w:val="6F59718C"/>
    <w:rsid w:val="6F675800"/>
    <w:rsid w:val="6F6D6163"/>
    <w:rsid w:val="6F9C4EC2"/>
    <w:rsid w:val="6F9E2A4D"/>
    <w:rsid w:val="6FFC5590"/>
    <w:rsid w:val="70176662"/>
    <w:rsid w:val="701C7652"/>
    <w:rsid w:val="70251764"/>
    <w:rsid w:val="706D1DD0"/>
    <w:rsid w:val="70856B87"/>
    <w:rsid w:val="709E3A43"/>
    <w:rsid w:val="70D527EE"/>
    <w:rsid w:val="71305692"/>
    <w:rsid w:val="715B5300"/>
    <w:rsid w:val="71706A0F"/>
    <w:rsid w:val="71797598"/>
    <w:rsid w:val="718F6E95"/>
    <w:rsid w:val="71D27F8A"/>
    <w:rsid w:val="71EF6A36"/>
    <w:rsid w:val="71FB4A23"/>
    <w:rsid w:val="72553024"/>
    <w:rsid w:val="728A0D2A"/>
    <w:rsid w:val="729A6F35"/>
    <w:rsid w:val="72D74F98"/>
    <w:rsid w:val="73122968"/>
    <w:rsid w:val="731F5D5E"/>
    <w:rsid w:val="73372296"/>
    <w:rsid w:val="73494DAB"/>
    <w:rsid w:val="73716C71"/>
    <w:rsid w:val="73800E3B"/>
    <w:rsid w:val="73807CAF"/>
    <w:rsid w:val="73A17D44"/>
    <w:rsid w:val="73AF7CC3"/>
    <w:rsid w:val="73C51AD5"/>
    <w:rsid w:val="73DC038C"/>
    <w:rsid w:val="73E55492"/>
    <w:rsid w:val="73E61C9D"/>
    <w:rsid w:val="73F957F0"/>
    <w:rsid w:val="73FE6E5A"/>
    <w:rsid w:val="741E793C"/>
    <w:rsid w:val="742551A6"/>
    <w:rsid w:val="7444254D"/>
    <w:rsid w:val="745E3944"/>
    <w:rsid w:val="74991304"/>
    <w:rsid w:val="74B44E65"/>
    <w:rsid w:val="74BB61F3"/>
    <w:rsid w:val="74CE3080"/>
    <w:rsid w:val="752A19C4"/>
    <w:rsid w:val="75436915"/>
    <w:rsid w:val="75494611"/>
    <w:rsid w:val="756D5926"/>
    <w:rsid w:val="75BF7F8D"/>
    <w:rsid w:val="76186803"/>
    <w:rsid w:val="7635099D"/>
    <w:rsid w:val="763D7808"/>
    <w:rsid w:val="764F3328"/>
    <w:rsid w:val="76551A22"/>
    <w:rsid w:val="7669047F"/>
    <w:rsid w:val="76876CD5"/>
    <w:rsid w:val="76B33626"/>
    <w:rsid w:val="76BA2F4D"/>
    <w:rsid w:val="76FE7AF7"/>
    <w:rsid w:val="773A2EBC"/>
    <w:rsid w:val="774718E9"/>
    <w:rsid w:val="77762421"/>
    <w:rsid w:val="77B56B1F"/>
    <w:rsid w:val="78063A17"/>
    <w:rsid w:val="78094779"/>
    <w:rsid w:val="780F09F4"/>
    <w:rsid w:val="784D49F5"/>
    <w:rsid w:val="78561D8D"/>
    <w:rsid w:val="7868227B"/>
    <w:rsid w:val="7895039A"/>
    <w:rsid w:val="78A13CD3"/>
    <w:rsid w:val="78A90480"/>
    <w:rsid w:val="78FB3062"/>
    <w:rsid w:val="79420C91"/>
    <w:rsid w:val="79425135"/>
    <w:rsid w:val="79442C5B"/>
    <w:rsid w:val="7956298E"/>
    <w:rsid w:val="79A35972"/>
    <w:rsid w:val="7A195FE9"/>
    <w:rsid w:val="7A1E0137"/>
    <w:rsid w:val="7A35152F"/>
    <w:rsid w:val="7A364017"/>
    <w:rsid w:val="7A543372"/>
    <w:rsid w:val="7A8265E1"/>
    <w:rsid w:val="7A8A0B42"/>
    <w:rsid w:val="7AA72C19"/>
    <w:rsid w:val="7B5B603A"/>
    <w:rsid w:val="7B686D42"/>
    <w:rsid w:val="7B716FB5"/>
    <w:rsid w:val="7B7A6E08"/>
    <w:rsid w:val="7B7B6947"/>
    <w:rsid w:val="7B841746"/>
    <w:rsid w:val="7BD77DB7"/>
    <w:rsid w:val="7BDC717B"/>
    <w:rsid w:val="7C6C4F06"/>
    <w:rsid w:val="7C6C5AC7"/>
    <w:rsid w:val="7CBA1D22"/>
    <w:rsid w:val="7CC6544B"/>
    <w:rsid w:val="7CE02C9B"/>
    <w:rsid w:val="7CF36E72"/>
    <w:rsid w:val="7D0239FF"/>
    <w:rsid w:val="7D02510C"/>
    <w:rsid w:val="7D30527F"/>
    <w:rsid w:val="7D43322A"/>
    <w:rsid w:val="7D4405BC"/>
    <w:rsid w:val="7D502934"/>
    <w:rsid w:val="7D5E40CD"/>
    <w:rsid w:val="7D6733BC"/>
    <w:rsid w:val="7D7B4E0C"/>
    <w:rsid w:val="7DCD56F2"/>
    <w:rsid w:val="7DFA068B"/>
    <w:rsid w:val="7E6E2971"/>
    <w:rsid w:val="7E8D10C9"/>
    <w:rsid w:val="7EE03426"/>
    <w:rsid w:val="7F001CE7"/>
    <w:rsid w:val="7F116596"/>
    <w:rsid w:val="7F595759"/>
    <w:rsid w:val="7F6C2F0C"/>
    <w:rsid w:val="7F74591C"/>
    <w:rsid w:val="7FC35F26"/>
    <w:rsid w:val="7FE00F56"/>
    <w:rsid w:val="7FE47E50"/>
    <w:rsid w:val="7FEC1957"/>
    <w:rsid w:val="7FF57C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0" w:semiHidden="0" w:name="heading 3" w:locked="1"/>
    <w:lsdException w:qFormat="1"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qFormat="1"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0" w:semiHidden="0" w:name="List" w:locked="1"/>
    <w:lsdException w:qFormat="1"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99"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qFormat="1" w:uiPriority="0" w:name="Table Grid 2" w:locked="1"/>
    <w:lsdException w:uiPriority="0" w:name="Table Grid 3" w:locked="1"/>
    <w:lsdException w:uiPriority="0" w:name="Table Grid 4" w:locked="1"/>
    <w:lsdException w:qFormat="1"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autoRedefine/>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0"/>
    <w:autoRedefine/>
    <w:qFormat/>
    <w:locked/>
    <w:uiPriority w:val="9"/>
    <w:pPr>
      <w:keepNext/>
      <w:keepLines/>
      <w:tabs>
        <w:tab w:val="left" w:pos="1276"/>
      </w:tabs>
      <w:adjustRightInd w:val="0"/>
      <w:spacing w:before="100" w:after="100" w:line="360" w:lineRule="auto"/>
      <w:ind w:left="851"/>
      <w:jc w:val="left"/>
      <w:textAlignment w:val="baseline"/>
      <w:outlineLvl w:val="1"/>
    </w:pPr>
    <w:rPr>
      <w:rFonts w:ascii="Arial" w:hAnsi="Arial" w:eastAsia="黑体"/>
      <w:b/>
      <w:sz w:val="28"/>
      <w:szCs w:val="20"/>
    </w:rPr>
  </w:style>
  <w:style w:type="paragraph" w:styleId="4">
    <w:name w:val="heading 3"/>
    <w:basedOn w:val="1"/>
    <w:next w:val="1"/>
    <w:link w:val="61"/>
    <w:autoRedefine/>
    <w:qFormat/>
    <w:locked/>
    <w:uiPriority w:val="0"/>
    <w:pPr>
      <w:keepNext/>
      <w:keepLines/>
      <w:tabs>
        <w:tab w:val="left" w:pos="2126"/>
      </w:tabs>
      <w:spacing w:before="260" w:after="260" w:line="416" w:lineRule="auto"/>
      <w:ind w:left="1701"/>
      <w:outlineLvl w:val="2"/>
    </w:pPr>
    <w:rPr>
      <w:b/>
      <w:bCs/>
      <w:sz w:val="32"/>
      <w:szCs w:val="32"/>
    </w:rPr>
  </w:style>
  <w:style w:type="paragraph" w:styleId="5">
    <w:name w:val="heading 4"/>
    <w:basedOn w:val="1"/>
    <w:next w:val="1"/>
    <w:link w:val="62"/>
    <w:autoRedefine/>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3"/>
    <w:autoRedefine/>
    <w:qFormat/>
    <w:locked/>
    <w:uiPriority w:val="0"/>
    <w:pPr>
      <w:keepNext/>
      <w:keepLines/>
      <w:tabs>
        <w:tab w:val="left" w:pos="3827"/>
      </w:tabs>
      <w:spacing w:before="280" w:after="290" w:line="376" w:lineRule="auto"/>
      <w:ind w:left="3402"/>
      <w:outlineLvl w:val="4"/>
    </w:pPr>
    <w:rPr>
      <w:b/>
      <w:bCs/>
      <w:sz w:val="28"/>
      <w:szCs w:val="28"/>
    </w:rPr>
  </w:style>
  <w:style w:type="paragraph" w:styleId="7">
    <w:name w:val="heading 6"/>
    <w:basedOn w:val="1"/>
    <w:next w:val="1"/>
    <w:link w:val="64"/>
    <w:autoRedefine/>
    <w:qFormat/>
    <w:locked/>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8">
    <w:name w:val="heading 7"/>
    <w:basedOn w:val="1"/>
    <w:next w:val="1"/>
    <w:link w:val="65"/>
    <w:autoRedefine/>
    <w:qFormat/>
    <w:locked/>
    <w:uiPriority w:val="0"/>
    <w:pPr>
      <w:keepNext/>
      <w:keepLines/>
      <w:tabs>
        <w:tab w:val="left" w:pos="5528"/>
      </w:tabs>
      <w:spacing w:before="240" w:after="64" w:line="320" w:lineRule="auto"/>
      <w:ind w:left="5102"/>
      <w:outlineLvl w:val="6"/>
    </w:pPr>
    <w:rPr>
      <w:b/>
      <w:bCs/>
      <w:sz w:val="24"/>
    </w:rPr>
  </w:style>
  <w:style w:type="paragraph" w:styleId="9">
    <w:name w:val="heading 8"/>
    <w:basedOn w:val="1"/>
    <w:next w:val="1"/>
    <w:link w:val="66"/>
    <w:autoRedefine/>
    <w:qFormat/>
    <w:locked/>
    <w:uiPriority w:val="0"/>
    <w:pPr>
      <w:keepNext/>
      <w:keepLines/>
      <w:tabs>
        <w:tab w:val="left" w:pos="6378"/>
      </w:tabs>
      <w:spacing w:before="240" w:after="64" w:line="320" w:lineRule="auto"/>
      <w:ind w:left="5953"/>
      <w:outlineLvl w:val="7"/>
    </w:pPr>
    <w:rPr>
      <w:rFonts w:ascii="Arial" w:hAnsi="Arial" w:eastAsia="黑体"/>
      <w:sz w:val="24"/>
    </w:rPr>
  </w:style>
  <w:style w:type="paragraph" w:styleId="10">
    <w:name w:val="heading 9"/>
    <w:basedOn w:val="1"/>
    <w:next w:val="1"/>
    <w:link w:val="67"/>
    <w:autoRedefine/>
    <w:qFormat/>
    <w:locked/>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next w:val="1"/>
    <w:link w:val="95"/>
    <w:autoRedefine/>
    <w:qFormat/>
    <w:locked/>
    <w:uiPriority w:val="0"/>
    <w:pPr>
      <w:ind w:firstLine="420" w:firstLineChars="200"/>
    </w:pPr>
  </w:style>
  <w:style w:type="paragraph" w:styleId="12">
    <w:name w:val="caption"/>
    <w:basedOn w:val="1"/>
    <w:next w:val="1"/>
    <w:autoRedefine/>
    <w:qFormat/>
    <w:locked/>
    <w:uiPriority w:val="35"/>
    <w:pPr>
      <w:jc w:val="center"/>
    </w:pPr>
    <w:rPr>
      <w:b/>
      <w:szCs w:val="20"/>
    </w:rPr>
  </w:style>
  <w:style w:type="paragraph" w:styleId="13">
    <w:name w:val="List Bullet"/>
    <w:basedOn w:val="1"/>
    <w:autoRedefine/>
    <w:qFormat/>
    <w:locked/>
    <w:uiPriority w:val="0"/>
    <w:pPr>
      <w:tabs>
        <w:tab w:val="left" w:pos="360"/>
      </w:tabs>
      <w:spacing w:before="60"/>
      <w:ind w:left="360" w:hanging="360" w:hangingChars="200"/>
    </w:pPr>
    <w:rPr>
      <w:rFonts w:ascii="Arial" w:hAnsi="Arial" w:eastAsia="仿宋_GB2312"/>
      <w:kern w:val="0"/>
      <w:sz w:val="24"/>
      <w:szCs w:val="20"/>
    </w:rPr>
  </w:style>
  <w:style w:type="paragraph" w:styleId="14">
    <w:name w:val="Document Map"/>
    <w:basedOn w:val="1"/>
    <w:link w:val="105"/>
    <w:autoRedefine/>
    <w:qFormat/>
    <w:locked/>
    <w:uiPriority w:val="0"/>
    <w:pPr>
      <w:shd w:val="clear" w:color="auto" w:fill="000080"/>
    </w:pPr>
  </w:style>
  <w:style w:type="paragraph" w:styleId="15">
    <w:name w:val="toa heading"/>
    <w:basedOn w:val="1"/>
    <w:next w:val="1"/>
    <w:autoRedefine/>
    <w:unhideWhenUsed/>
    <w:qFormat/>
    <w:locked/>
    <w:uiPriority w:val="99"/>
    <w:pPr>
      <w:spacing w:before="120" w:after="100" w:afterAutospacing="1"/>
    </w:pPr>
    <w:rPr>
      <w:rFonts w:ascii="Arial" w:hAnsi="Arial" w:cs="Arial"/>
      <w:sz w:val="24"/>
    </w:rPr>
  </w:style>
  <w:style w:type="paragraph" w:styleId="16">
    <w:name w:val="annotation text"/>
    <w:basedOn w:val="1"/>
    <w:link w:val="74"/>
    <w:autoRedefine/>
    <w:qFormat/>
    <w:uiPriority w:val="0"/>
    <w:pPr>
      <w:jc w:val="left"/>
    </w:pPr>
    <w:rPr>
      <w:kern w:val="0"/>
      <w:sz w:val="24"/>
      <w:szCs w:val="20"/>
    </w:rPr>
  </w:style>
  <w:style w:type="paragraph" w:styleId="17">
    <w:name w:val="Body Text 3"/>
    <w:basedOn w:val="1"/>
    <w:link w:val="106"/>
    <w:autoRedefine/>
    <w:qFormat/>
    <w:locked/>
    <w:uiPriority w:val="0"/>
    <w:pPr>
      <w:spacing w:line="360" w:lineRule="auto"/>
    </w:pPr>
    <w:rPr>
      <w:color w:val="FF0000"/>
    </w:rPr>
  </w:style>
  <w:style w:type="paragraph" w:styleId="18">
    <w:name w:val="Body Text"/>
    <w:basedOn w:val="1"/>
    <w:next w:val="19"/>
    <w:link w:val="73"/>
    <w:autoRedefine/>
    <w:qFormat/>
    <w:uiPriority w:val="0"/>
    <w:pPr>
      <w:widowControl/>
      <w:snapToGrid w:val="0"/>
      <w:spacing w:before="60" w:after="160" w:line="259" w:lineRule="auto"/>
      <w:ind w:right="113"/>
    </w:pPr>
    <w:rPr>
      <w:kern w:val="0"/>
      <w:sz w:val="18"/>
      <w:szCs w:val="20"/>
    </w:rPr>
  </w:style>
  <w:style w:type="paragraph" w:styleId="19">
    <w:name w:val="List Bullet 5"/>
    <w:basedOn w:val="1"/>
    <w:autoRedefine/>
    <w:qFormat/>
    <w:locked/>
    <w:uiPriority w:val="0"/>
    <w:pPr>
      <w:numPr>
        <w:ilvl w:val="0"/>
        <w:numId w:val="1"/>
      </w:numPr>
    </w:pPr>
  </w:style>
  <w:style w:type="paragraph" w:styleId="20">
    <w:name w:val="Body Text Indent"/>
    <w:basedOn w:val="1"/>
    <w:next w:val="11"/>
    <w:link w:val="82"/>
    <w:autoRedefine/>
    <w:qFormat/>
    <w:uiPriority w:val="0"/>
    <w:pPr>
      <w:spacing w:after="120"/>
      <w:ind w:left="420" w:leftChars="200"/>
    </w:pPr>
    <w:rPr>
      <w:kern w:val="0"/>
      <w:sz w:val="24"/>
      <w:szCs w:val="20"/>
    </w:rPr>
  </w:style>
  <w:style w:type="paragraph" w:styleId="21">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2">
    <w:name w:val="toc 3"/>
    <w:basedOn w:val="1"/>
    <w:next w:val="1"/>
    <w:autoRedefine/>
    <w:qFormat/>
    <w:locked/>
    <w:uiPriority w:val="0"/>
    <w:pPr>
      <w:ind w:left="420"/>
      <w:jc w:val="left"/>
    </w:pPr>
    <w:rPr>
      <w:i/>
      <w:iCs/>
      <w:sz w:val="20"/>
      <w:szCs w:val="20"/>
    </w:rPr>
  </w:style>
  <w:style w:type="paragraph" w:styleId="23">
    <w:name w:val="Plain Text"/>
    <w:basedOn w:val="1"/>
    <w:link w:val="107"/>
    <w:autoRedefine/>
    <w:qFormat/>
    <w:locked/>
    <w:uiPriority w:val="0"/>
    <w:pPr>
      <w:adjustRightInd w:val="0"/>
      <w:spacing w:before="120" w:line="400" w:lineRule="exact"/>
      <w:textAlignment w:val="baseline"/>
    </w:pPr>
    <w:rPr>
      <w:rFonts w:ascii="宋体" w:hAnsi="Courier New"/>
      <w:spacing w:val="-2"/>
      <w:kern w:val="28"/>
      <w:szCs w:val="20"/>
    </w:rPr>
  </w:style>
  <w:style w:type="paragraph" w:styleId="24">
    <w:name w:val="Date"/>
    <w:basedOn w:val="1"/>
    <w:next w:val="1"/>
    <w:link w:val="69"/>
    <w:autoRedefine/>
    <w:qFormat/>
    <w:uiPriority w:val="0"/>
    <w:pPr>
      <w:ind w:left="100" w:leftChars="2500"/>
    </w:pPr>
    <w:rPr>
      <w:kern w:val="0"/>
      <w:sz w:val="24"/>
      <w:szCs w:val="20"/>
    </w:rPr>
  </w:style>
  <w:style w:type="paragraph" w:styleId="25">
    <w:name w:val="Body Text Indent 2"/>
    <w:basedOn w:val="1"/>
    <w:next w:val="15"/>
    <w:link w:val="108"/>
    <w:autoRedefine/>
    <w:qFormat/>
    <w:locked/>
    <w:uiPriority w:val="0"/>
    <w:pPr>
      <w:spacing w:before="15" w:line="480" w:lineRule="exact"/>
      <w:ind w:firstLine="496" w:firstLineChars="200"/>
    </w:pPr>
    <w:rPr>
      <w:rFonts w:ascii="宋体" w:hAnsi="宋体"/>
      <w:spacing w:val="4"/>
      <w:sz w:val="24"/>
    </w:rPr>
  </w:style>
  <w:style w:type="paragraph" w:styleId="26">
    <w:name w:val="endnote text"/>
    <w:basedOn w:val="1"/>
    <w:link w:val="109"/>
    <w:autoRedefine/>
    <w:unhideWhenUsed/>
    <w:qFormat/>
    <w:locked/>
    <w:uiPriority w:val="0"/>
    <w:pPr>
      <w:snapToGrid w:val="0"/>
      <w:jc w:val="left"/>
    </w:pPr>
  </w:style>
  <w:style w:type="paragraph" w:styleId="27">
    <w:name w:val="Balloon Text"/>
    <w:basedOn w:val="1"/>
    <w:link w:val="78"/>
    <w:autoRedefine/>
    <w:semiHidden/>
    <w:qFormat/>
    <w:uiPriority w:val="99"/>
    <w:rPr>
      <w:kern w:val="0"/>
      <w:sz w:val="18"/>
      <w:szCs w:val="20"/>
    </w:rPr>
  </w:style>
  <w:style w:type="paragraph" w:styleId="28">
    <w:name w:val="footer"/>
    <w:basedOn w:val="1"/>
    <w:link w:val="68"/>
    <w:autoRedefine/>
    <w:qFormat/>
    <w:uiPriority w:val="99"/>
    <w:pPr>
      <w:tabs>
        <w:tab w:val="center" w:pos="4153"/>
        <w:tab w:val="right" w:pos="8306"/>
      </w:tabs>
      <w:snapToGrid w:val="0"/>
      <w:jc w:val="left"/>
    </w:pPr>
    <w:rPr>
      <w:kern w:val="0"/>
      <w:sz w:val="18"/>
      <w:szCs w:val="20"/>
    </w:rPr>
  </w:style>
  <w:style w:type="paragraph" w:styleId="29">
    <w:name w:val="header"/>
    <w:basedOn w:val="1"/>
    <w:link w:val="80"/>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30">
    <w:name w:val="index heading"/>
    <w:basedOn w:val="1"/>
    <w:next w:val="31"/>
    <w:autoRedefine/>
    <w:qFormat/>
    <w:locked/>
    <w:uiPriority w:val="0"/>
    <w:rPr>
      <w:szCs w:val="20"/>
    </w:rPr>
  </w:style>
  <w:style w:type="paragraph" w:styleId="31">
    <w:name w:val="index 1"/>
    <w:basedOn w:val="1"/>
    <w:next w:val="1"/>
    <w:autoRedefine/>
    <w:qFormat/>
    <w:locked/>
    <w:uiPriority w:val="0"/>
  </w:style>
  <w:style w:type="paragraph" w:styleId="32">
    <w:name w:val="Subtitle"/>
    <w:basedOn w:val="1"/>
    <w:next w:val="1"/>
    <w:link w:val="110"/>
    <w:autoRedefine/>
    <w:qFormat/>
    <w:locked/>
    <w:uiPriority w:val="11"/>
    <w:pPr>
      <w:jc w:val="left"/>
      <w:outlineLvl w:val="3"/>
    </w:pPr>
    <w:rPr>
      <w:b/>
      <w:bCs/>
      <w:kern w:val="28"/>
      <w:szCs w:val="32"/>
    </w:rPr>
  </w:style>
  <w:style w:type="paragraph" w:styleId="33">
    <w:name w:val="List"/>
    <w:basedOn w:val="1"/>
    <w:autoRedefine/>
    <w:qFormat/>
    <w:locked/>
    <w:uiPriority w:val="0"/>
    <w:pPr>
      <w:ind w:left="200" w:hanging="200" w:hangingChars="200"/>
    </w:pPr>
  </w:style>
  <w:style w:type="paragraph" w:styleId="34">
    <w:name w:val="Body Text Indent 3"/>
    <w:basedOn w:val="1"/>
    <w:link w:val="111"/>
    <w:autoRedefine/>
    <w:qFormat/>
    <w:locked/>
    <w:uiPriority w:val="0"/>
    <w:pPr>
      <w:spacing w:before="120" w:line="460" w:lineRule="atLeast"/>
      <w:ind w:firstLine="480" w:firstLineChars="200"/>
    </w:pPr>
    <w:rPr>
      <w:sz w:val="24"/>
    </w:rPr>
  </w:style>
  <w:style w:type="paragraph" w:styleId="35">
    <w:name w:val="Body Text 2"/>
    <w:basedOn w:val="1"/>
    <w:link w:val="112"/>
    <w:autoRedefine/>
    <w:qFormat/>
    <w:locked/>
    <w:uiPriority w:val="99"/>
    <w:pPr>
      <w:spacing w:after="120" w:line="480" w:lineRule="auto"/>
    </w:pPr>
  </w:style>
  <w:style w:type="paragraph" w:styleId="36">
    <w:name w:val="HTML Preformatted"/>
    <w:basedOn w:val="1"/>
    <w:link w:val="113"/>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jc w:val="left"/>
    </w:pPr>
    <w:rPr>
      <w:rFonts w:ascii="Arial" w:hAnsi="Arial" w:cs="Arial"/>
      <w:kern w:val="0"/>
      <w:sz w:val="16"/>
      <w:szCs w:val="16"/>
    </w:rPr>
  </w:style>
  <w:style w:type="paragraph" w:styleId="37">
    <w:name w:val="Normal (Web)"/>
    <w:basedOn w:val="1"/>
    <w:link w:val="71"/>
    <w:autoRedefine/>
    <w:qFormat/>
    <w:uiPriority w:val="0"/>
    <w:pPr>
      <w:widowControl/>
      <w:spacing w:before="100" w:beforeAutospacing="1" w:after="100" w:afterAutospacing="1"/>
      <w:jc w:val="left"/>
    </w:pPr>
    <w:rPr>
      <w:rFonts w:ascii="宋体" w:hAnsi="宋体"/>
      <w:kern w:val="0"/>
      <w:sz w:val="24"/>
      <w:szCs w:val="20"/>
    </w:rPr>
  </w:style>
  <w:style w:type="paragraph" w:styleId="38">
    <w:name w:val="Title"/>
    <w:basedOn w:val="1"/>
    <w:next w:val="1"/>
    <w:link w:val="274"/>
    <w:autoRedefine/>
    <w:qFormat/>
    <w:locked/>
    <w:uiPriority w:val="0"/>
    <w:pPr>
      <w:spacing w:before="240" w:after="60"/>
      <w:jc w:val="center"/>
      <w:outlineLvl w:val="0"/>
    </w:pPr>
    <w:rPr>
      <w:rFonts w:asciiTheme="majorHAnsi" w:hAnsiTheme="majorHAnsi" w:cstheme="majorBidi"/>
      <w:b/>
      <w:bCs/>
      <w:sz w:val="32"/>
      <w:szCs w:val="32"/>
    </w:rPr>
  </w:style>
  <w:style w:type="paragraph" w:styleId="39">
    <w:name w:val="annotation subject"/>
    <w:basedOn w:val="16"/>
    <w:next w:val="16"/>
    <w:link w:val="79"/>
    <w:autoRedefine/>
    <w:semiHidden/>
    <w:qFormat/>
    <w:uiPriority w:val="99"/>
    <w:rPr>
      <w:b/>
    </w:rPr>
  </w:style>
  <w:style w:type="paragraph" w:styleId="40">
    <w:name w:val="Body Text First Indent"/>
    <w:basedOn w:val="1"/>
    <w:next w:val="41"/>
    <w:link w:val="114"/>
    <w:autoRedefine/>
    <w:qFormat/>
    <w:locked/>
    <w:uiPriority w:val="0"/>
    <w:pPr>
      <w:spacing w:after="120"/>
      <w:ind w:firstLine="420" w:firstLineChars="100"/>
    </w:pPr>
  </w:style>
  <w:style w:type="paragraph" w:styleId="41">
    <w:name w:val="Body Text First Indent 2"/>
    <w:basedOn w:val="1"/>
    <w:next w:val="40"/>
    <w:autoRedefine/>
    <w:qFormat/>
    <w:locked/>
    <w:uiPriority w:val="0"/>
    <w:pPr>
      <w:ind w:firstLine="420" w:firstLineChars="200"/>
    </w:pPr>
  </w:style>
  <w:style w:type="table" w:styleId="43">
    <w:name w:val="Table Grid"/>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locked/>
    <w:uiPriority w:val="0"/>
    <w:rPr>
      <w:b/>
      <w:bCs/>
    </w:rPr>
  </w:style>
  <w:style w:type="character" w:styleId="46">
    <w:name w:val="endnote reference"/>
    <w:basedOn w:val="44"/>
    <w:autoRedefine/>
    <w:unhideWhenUsed/>
    <w:qFormat/>
    <w:locked/>
    <w:uiPriority w:val="0"/>
    <w:rPr>
      <w:vertAlign w:val="superscript"/>
    </w:rPr>
  </w:style>
  <w:style w:type="character" w:styleId="47">
    <w:name w:val="page number"/>
    <w:basedOn w:val="44"/>
    <w:autoRedefine/>
    <w:qFormat/>
    <w:locked/>
    <w:uiPriority w:val="0"/>
  </w:style>
  <w:style w:type="character" w:styleId="48">
    <w:name w:val="Emphasis"/>
    <w:autoRedefine/>
    <w:qFormat/>
    <w:locked/>
    <w:uiPriority w:val="20"/>
    <w:rPr>
      <w:i/>
      <w:iCs/>
    </w:rPr>
  </w:style>
  <w:style w:type="character" w:styleId="49">
    <w:name w:val="Hyperlink"/>
    <w:autoRedefine/>
    <w:qFormat/>
    <w:locked/>
    <w:uiPriority w:val="99"/>
    <w:rPr>
      <w:color w:val="0000FF"/>
      <w:u w:val="none"/>
    </w:rPr>
  </w:style>
  <w:style w:type="character" w:styleId="50">
    <w:name w:val="annotation reference"/>
    <w:basedOn w:val="44"/>
    <w:autoRedefine/>
    <w:qFormat/>
    <w:uiPriority w:val="0"/>
    <w:rPr>
      <w:sz w:val="21"/>
    </w:rPr>
  </w:style>
  <w:style w:type="paragraph" w:customStyle="1" w:styleId="51">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Default"/>
    <w:basedOn w:val="53"/>
    <w:next w:val="41"/>
    <w:link w:val="266"/>
    <w:autoRedefine/>
    <w:qFormat/>
    <w:uiPriority w:val="0"/>
    <w:pPr>
      <w:autoSpaceDE w:val="0"/>
      <w:autoSpaceDN w:val="0"/>
    </w:pPr>
    <w:rPr>
      <w:rFonts w:hAnsi="Times New Roman" w:cs="宋体"/>
      <w:color w:val="000000"/>
      <w:sz w:val="24"/>
    </w:rPr>
  </w:style>
  <w:style w:type="paragraph" w:customStyle="1" w:styleId="53">
    <w:name w:val="纯文本1"/>
    <w:basedOn w:val="1"/>
    <w:autoRedefine/>
    <w:qFormat/>
    <w:uiPriority w:val="0"/>
    <w:pPr>
      <w:adjustRightInd w:val="0"/>
    </w:pPr>
    <w:rPr>
      <w:rFonts w:ascii="宋体" w:hAnsi="Courier New"/>
      <w:szCs w:val="20"/>
    </w:rPr>
  </w:style>
  <w:style w:type="paragraph" w:customStyle="1" w:styleId="54">
    <w:name w:val="标题 段落4级"/>
    <w:basedOn w:val="55"/>
    <w:autoRedefine/>
    <w:qFormat/>
    <w:uiPriority w:val="0"/>
    <w:pPr>
      <w:outlineLvl w:val="3"/>
    </w:pPr>
    <w:rPr>
      <w:rFonts w:ascii="Calibri" w:hAnsi="Calibri" w:cs="Calibri"/>
      <w:b/>
      <w:kern w:val="2"/>
    </w:rPr>
  </w:style>
  <w:style w:type="paragraph" w:customStyle="1" w:styleId="55">
    <w:name w:val="正文 文本"/>
    <w:autoRedefine/>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56">
    <w:name w:val="正文1"/>
    <w:autoRedefine/>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57">
    <w:name w:val="样式 正文文本缩进 + 行距: 1.5 倍行距"/>
    <w:autoRedefine/>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customStyle="1" w:styleId="58">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9">
    <w:name w:val="标题 1 字符"/>
    <w:basedOn w:val="44"/>
    <w:link w:val="2"/>
    <w:autoRedefine/>
    <w:qFormat/>
    <w:uiPriority w:val="9"/>
    <w:rPr>
      <w:rFonts w:eastAsia="黑体"/>
      <w:b/>
      <w:bCs/>
      <w:color w:val="000000"/>
      <w:kern w:val="44"/>
      <w:sz w:val="30"/>
      <w:szCs w:val="30"/>
    </w:rPr>
  </w:style>
  <w:style w:type="character" w:customStyle="1" w:styleId="60">
    <w:name w:val="标题 2 字符"/>
    <w:basedOn w:val="44"/>
    <w:link w:val="3"/>
    <w:autoRedefine/>
    <w:qFormat/>
    <w:uiPriority w:val="9"/>
    <w:rPr>
      <w:rFonts w:ascii="Arial" w:hAnsi="Arial" w:eastAsia="黑体"/>
      <w:b/>
      <w:kern w:val="2"/>
      <w:sz w:val="28"/>
    </w:rPr>
  </w:style>
  <w:style w:type="character" w:customStyle="1" w:styleId="61">
    <w:name w:val="标题 3 字符"/>
    <w:basedOn w:val="44"/>
    <w:link w:val="4"/>
    <w:autoRedefine/>
    <w:qFormat/>
    <w:uiPriority w:val="0"/>
    <w:rPr>
      <w:b/>
      <w:bCs/>
      <w:kern w:val="2"/>
      <w:sz w:val="32"/>
      <w:szCs w:val="32"/>
    </w:rPr>
  </w:style>
  <w:style w:type="character" w:customStyle="1" w:styleId="62">
    <w:name w:val="标题 4 字符"/>
    <w:basedOn w:val="44"/>
    <w:link w:val="5"/>
    <w:autoRedefine/>
    <w:qFormat/>
    <w:uiPriority w:val="9"/>
    <w:rPr>
      <w:rFonts w:asciiTheme="majorHAnsi" w:hAnsiTheme="majorHAnsi" w:eastAsiaTheme="majorEastAsia" w:cstheme="majorBidi"/>
      <w:b/>
      <w:bCs/>
      <w:kern w:val="2"/>
      <w:sz w:val="28"/>
      <w:szCs w:val="28"/>
    </w:rPr>
  </w:style>
  <w:style w:type="character" w:customStyle="1" w:styleId="63">
    <w:name w:val="标题 5 字符"/>
    <w:basedOn w:val="44"/>
    <w:link w:val="6"/>
    <w:autoRedefine/>
    <w:qFormat/>
    <w:uiPriority w:val="0"/>
    <w:rPr>
      <w:b/>
      <w:bCs/>
      <w:kern w:val="2"/>
      <w:sz w:val="28"/>
      <w:szCs w:val="28"/>
    </w:rPr>
  </w:style>
  <w:style w:type="character" w:customStyle="1" w:styleId="64">
    <w:name w:val="标题 6 字符"/>
    <w:basedOn w:val="44"/>
    <w:link w:val="7"/>
    <w:autoRedefine/>
    <w:qFormat/>
    <w:uiPriority w:val="0"/>
    <w:rPr>
      <w:rFonts w:ascii="Arial" w:hAnsi="Arial" w:eastAsia="黑体"/>
      <w:b/>
      <w:bCs/>
      <w:kern w:val="2"/>
      <w:sz w:val="24"/>
      <w:szCs w:val="24"/>
    </w:rPr>
  </w:style>
  <w:style w:type="character" w:customStyle="1" w:styleId="65">
    <w:name w:val="标题 7 字符"/>
    <w:basedOn w:val="44"/>
    <w:link w:val="8"/>
    <w:autoRedefine/>
    <w:qFormat/>
    <w:uiPriority w:val="0"/>
    <w:rPr>
      <w:b/>
      <w:bCs/>
      <w:kern w:val="2"/>
      <w:sz w:val="24"/>
      <w:szCs w:val="24"/>
    </w:rPr>
  </w:style>
  <w:style w:type="character" w:customStyle="1" w:styleId="66">
    <w:name w:val="标题 8 字符"/>
    <w:basedOn w:val="44"/>
    <w:link w:val="9"/>
    <w:autoRedefine/>
    <w:qFormat/>
    <w:uiPriority w:val="0"/>
    <w:rPr>
      <w:rFonts w:ascii="Arial" w:hAnsi="Arial" w:eastAsia="黑体"/>
      <w:kern w:val="2"/>
      <w:sz w:val="24"/>
      <w:szCs w:val="24"/>
    </w:rPr>
  </w:style>
  <w:style w:type="character" w:customStyle="1" w:styleId="67">
    <w:name w:val="标题 9 字符"/>
    <w:basedOn w:val="44"/>
    <w:link w:val="10"/>
    <w:autoRedefine/>
    <w:qFormat/>
    <w:uiPriority w:val="0"/>
    <w:rPr>
      <w:rFonts w:ascii="Arial" w:hAnsi="Arial" w:eastAsia="黑体"/>
      <w:kern w:val="2"/>
      <w:sz w:val="21"/>
      <w:szCs w:val="21"/>
    </w:rPr>
  </w:style>
  <w:style w:type="character" w:customStyle="1" w:styleId="68">
    <w:name w:val="页脚 字符1"/>
    <w:link w:val="28"/>
    <w:autoRedefine/>
    <w:qFormat/>
    <w:locked/>
    <w:uiPriority w:val="99"/>
    <w:rPr>
      <w:sz w:val="18"/>
    </w:rPr>
  </w:style>
  <w:style w:type="character" w:customStyle="1" w:styleId="69">
    <w:name w:val="日期 字符1"/>
    <w:link w:val="24"/>
    <w:autoRedefine/>
    <w:qFormat/>
    <w:locked/>
    <w:uiPriority w:val="0"/>
    <w:rPr>
      <w:rFonts w:ascii="Times New Roman" w:hAnsi="Times New Roman" w:eastAsia="宋体"/>
      <w:sz w:val="24"/>
    </w:rPr>
  </w:style>
  <w:style w:type="character" w:customStyle="1" w:styleId="70">
    <w:name w:val="页脚 字符"/>
    <w:basedOn w:val="44"/>
    <w:autoRedefine/>
    <w:qFormat/>
    <w:uiPriority w:val="99"/>
  </w:style>
  <w:style w:type="character" w:customStyle="1" w:styleId="71">
    <w:name w:val="普通(网站) 字符"/>
    <w:link w:val="37"/>
    <w:autoRedefine/>
    <w:qFormat/>
    <w:locked/>
    <w:uiPriority w:val="0"/>
    <w:rPr>
      <w:rFonts w:ascii="宋体" w:hAnsi="宋体" w:eastAsia="宋体"/>
      <w:sz w:val="24"/>
    </w:rPr>
  </w:style>
  <w:style w:type="character" w:customStyle="1" w:styleId="72">
    <w:name w:val="正文文本 字符1"/>
    <w:autoRedefine/>
    <w:semiHidden/>
    <w:qFormat/>
    <w:uiPriority w:val="0"/>
    <w:rPr>
      <w:rFonts w:ascii="Times New Roman" w:hAnsi="Times New Roman" w:eastAsia="宋体"/>
      <w:sz w:val="24"/>
    </w:rPr>
  </w:style>
  <w:style w:type="character" w:customStyle="1" w:styleId="73">
    <w:name w:val="正文文本 字符"/>
    <w:link w:val="18"/>
    <w:autoRedefine/>
    <w:qFormat/>
    <w:locked/>
    <w:uiPriority w:val="0"/>
    <w:rPr>
      <w:sz w:val="18"/>
    </w:rPr>
  </w:style>
  <w:style w:type="character" w:customStyle="1" w:styleId="74">
    <w:name w:val="批注文字 字符"/>
    <w:link w:val="16"/>
    <w:autoRedefine/>
    <w:qFormat/>
    <w:locked/>
    <w:uiPriority w:val="0"/>
    <w:rPr>
      <w:rFonts w:ascii="Times New Roman" w:hAnsi="Times New Roman" w:eastAsia="宋体"/>
      <w:sz w:val="24"/>
    </w:rPr>
  </w:style>
  <w:style w:type="character" w:customStyle="1" w:styleId="75">
    <w:name w:val="表格 Char"/>
    <w:link w:val="76"/>
    <w:autoRedefine/>
    <w:qFormat/>
    <w:locked/>
    <w:uiPriority w:val="0"/>
    <w:rPr>
      <w:rFonts w:ascii="宋体"/>
      <w:sz w:val="21"/>
    </w:rPr>
  </w:style>
  <w:style w:type="paragraph" w:customStyle="1" w:styleId="76">
    <w:name w:val="表格"/>
    <w:basedOn w:val="1"/>
    <w:next w:val="1"/>
    <w:link w:val="75"/>
    <w:autoRedefine/>
    <w:qFormat/>
    <w:uiPriority w:val="0"/>
    <w:pPr>
      <w:adjustRightInd w:val="0"/>
      <w:snapToGrid w:val="0"/>
      <w:spacing w:beforeLines="10" w:afterLines="10" w:line="259" w:lineRule="auto"/>
      <w:jc w:val="center"/>
    </w:pPr>
    <w:rPr>
      <w:rFonts w:ascii="宋体"/>
      <w:kern w:val="0"/>
      <w:szCs w:val="20"/>
    </w:rPr>
  </w:style>
  <w:style w:type="character" w:customStyle="1" w:styleId="77">
    <w:name w:val="日期 字符"/>
    <w:autoRedefine/>
    <w:semiHidden/>
    <w:qFormat/>
    <w:uiPriority w:val="0"/>
    <w:rPr>
      <w:rFonts w:ascii="Times New Roman" w:hAnsi="Times New Roman" w:eastAsia="宋体"/>
      <w:sz w:val="24"/>
    </w:rPr>
  </w:style>
  <w:style w:type="character" w:customStyle="1" w:styleId="78">
    <w:name w:val="批注框文本 字符"/>
    <w:link w:val="27"/>
    <w:autoRedefine/>
    <w:semiHidden/>
    <w:qFormat/>
    <w:locked/>
    <w:uiPriority w:val="99"/>
    <w:rPr>
      <w:rFonts w:ascii="Times New Roman" w:hAnsi="Times New Roman" w:eastAsia="宋体"/>
      <w:sz w:val="18"/>
    </w:rPr>
  </w:style>
  <w:style w:type="character" w:customStyle="1" w:styleId="79">
    <w:name w:val="批注主题 字符"/>
    <w:link w:val="39"/>
    <w:autoRedefine/>
    <w:semiHidden/>
    <w:qFormat/>
    <w:locked/>
    <w:uiPriority w:val="99"/>
    <w:rPr>
      <w:rFonts w:ascii="Times New Roman" w:hAnsi="Times New Roman" w:eastAsia="宋体"/>
      <w:b/>
      <w:kern w:val="2"/>
      <w:sz w:val="24"/>
    </w:rPr>
  </w:style>
  <w:style w:type="character" w:customStyle="1" w:styleId="80">
    <w:name w:val="页眉 字符"/>
    <w:link w:val="29"/>
    <w:autoRedefine/>
    <w:qFormat/>
    <w:locked/>
    <w:uiPriority w:val="99"/>
    <w:rPr>
      <w:sz w:val="18"/>
    </w:rPr>
  </w:style>
  <w:style w:type="character" w:customStyle="1" w:styleId="81">
    <w:name w:val="批注文字 字符1"/>
    <w:autoRedefine/>
    <w:semiHidden/>
    <w:qFormat/>
    <w:uiPriority w:val="0"/>
    <w:rPr>
      <w:rFonts w:ascii="Times New Roman" w:hAnsi="Times New Roman" w:eastAsia="宋体"/>
      <w:sz w:val="24"/>
    </w:rPr>
  </w:style>
  <w:style w:type="character" w:customStyle="1" w:styleId="82">
    <w:name w:val="正文文本缩进 字符"/>
    <w:link w:val="20"/>
    <w:autoRedefine/>
    <w:qFormat/>
    <w:locked/>
    <w:uiPriority w:val="0"/>
    <w:rPr>
      <w:rFonts w:ascii="Times New Roman" w:hAnsi="Times New Roman" w:eastAsia="宋体"/>
      <w:sz w:val="24"/>
    </w:rPr>
  </w:style>
  <w:style w:type="paragraph" w:customStyle="1" w:styleId="8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85">
    <w:name w:val="正文文本 Char"/>
    <w:basedOn w:val="44"/>
    <w:autoRedefine/>
    <w:qFormat/>
    <w:uiPriority w:val="0"/>
    <w:rPr>
      <w:rFonts w:ascii="Times New Roman" w:hAnsi="Times New Roman"/>
      <w:szCs w:val="24"/>
    </w:rPr>
  </w:style>
  <w:style w:type="character" w:customStyle="1" w:styleId="86">
    <w:name w:val="A正文 Char"/>
    <w:link w:val="87"/>
    <w:autoRedefine/>
    <w:qFormat/>
    <w:uiPriority w:val="0"/>
    <w:rPr>
      <w:sz w:val="24"/>
      <w:szCs w:val="24"/>
    </w:rPr>
  </w:style>
  <w:style w:type="paragraph" w:customStyle="1" w:styleId="87">
    <w:name w:val="A正文"/>
    <w:basedOn w:val="1"/>
    <w:link w:val="86"/>
    <w:autoRedefine/>
    <w:qFormat/>
    <w:uiPriority w:val="0"/>
    <w:pPr>
      <w:widowControl/>
      <w:spacing w:line="360" w:lineRule="auto"/>
      <w:ind w:firstLine="480" w:firstLineChars="200"/>
      <w:jc w:val="left"/>
    </w:pPr>
    <w:rPr>
      <w:kern w:val="0"/>
      <w:sz w:val="24"/>
    </w:rPr>
  </w:style>
  <w:style w:type="character" w:customStyle="1" w:styleId="88">
    <w:name w:val="t_tag"/>
    <w:autoRedefine/>
    <w:qFormat/>
    <w:uiPriority w:val="0"/>
  </w:style>
  <w:style w:type="paragraph" w:styleId="89">
    <w:name w:val="List Paragraph"/>
    <w:basedOn w:val="1"/>
    <w:autoRedefine/>
    <w:qFormat/>
    <w:uiPriority w:val="34"/>
    <w:pPr>
      <w:ind w:firstLine="420" w:firstLineChars="200"/>
    </w:pPr>
  </w:style>
  <w:style w:type="paragraph" w:customStyle="1" w:styleId="90">
    <w:name w:val="表格1"/>
    <w:basedOn w:val="1"/>
    <w:next w:val="1"/>
    <w:link w:val="91"/>
    <w:autoRedefine/>
    <w:qFormat/>
    <w:uiPriority w:val="0"/>
    <w:pPr>
      <w:jc w:val="center"/>
    </w:pPr>
    <w:rPr>
      <w:rFonts w:cstheme="minorBidi"/>
    </w:rPr>
  </w:style>
  <w:style w:type="character" w:customStyle="1" w:styleId="91">
    <w:name w:val="表格1 Char"/>
    <w:basedOn w:val="44"/>
    <w:link w:val="90"/>
    <w:autoRedefine/>
    <w:qFormat/>
    <w:uiPriority w:val="0"/>
    <w:rPr>
      <w:rFonts w:cstheme="minorBidi"/>
      <w:kern w:val="2"/>
      <w:sz w:val="21"/>
      <w:szCs w:val="24"/>
    </w:rPr>
  </w:style>
  <w:style w:type="table" w:customStyle="1" w:styleId="92">
    <w:name w:val="网格型1"/>
    <w:basedOn w:val="42"/>
    <w:autoRedefine/>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93">
    <w:name w:val="图表标题"/>
    <w:basedOn w:val="1"/>
    <w:link w:val="94"/>
    <w:autoRedefine/>
    <w:qFormat/>
    <w:uiPriority w:val="0"/>
    <w:pPr>
      <w:spacing w:line="360" w:lineRule="auto"/>
      <w:jc w:val="center"/>
    </w:pPr>
    <w:rPr>
      <w:rFonts w:cs="宋体"/>
      <w:b/>
      <w:sz w:val="24"/>
    </w:rPr>
  </w:style>
  <w:style w:type="character" w:customStyle="1" w:styleId="94">
    <w:name w:val="图表标题 Char"/>
    <w:basedOn w:val="44"/>
    <w:link w:val="93"/>
    <w:autoRedefine/>
    <w:qFormat/>
    <w:uiPriority w:val="0"/>
    <w:rPr>
      <w:rFonts w:cs="宋体"/>
      <w:b/>
      <w:kern w:val="2"/>
      <w:sz w:val="24"/>
      <w:szCs w:val="24"/>
    </w:rPr>
  </w:style>
  <w:style w:type="character" w:customStyle="1" w:styleId="95">
    <w:name w:val="正文缩进 字符"/>
    <w:link w:val="11"/>
    <w:autoRedefine/>
    <w:qFormat/>
    <w:uiPriority w:val="0"/>
    <w:rPr>
      <w:kern w:val="2"/>
      <w:sz w:val="21"/>
      <w:szCs w:val="24"/>
    </w:rPr>
  </w:style>
  <w:style w:type="character" w:customStyle="1" w:styleId="96">
    <w:name w:val="批注文字 Char1"/>
    <w:autoRedefine/>
    <w:qFormat/>
    <w:uiPriority w:val="0"/>
    <w:rPr>
      <w:kern w:val="2"/>
      <w:sz w:val="21"/>
      <w:szCs w:val="24"/>
    </w:rPr>
  </w:style>
  <w:style w:type="character" w:customStyle="1" w:styleId="97">
    <w:name w:val="表格 Char Char"/>
    <w:autoRedefine/>
    <w:qFormat/>
    <w:uiPriority w:val="0"/>
    <w:rPr>
      <w:kern w:val="2"/>
      <w:sz w:val="24"/>
      <w:szCs w:val="24"/>
    </w:rPr>
  </w:style>
  <w:style w:type="character" w:customStyle="1" w:styleId="98">
    <w:name w:val="表格文字 Char"/>
    <w:link w:val="99"/>
    <w:autoRedefine/>
    <w:qFormat/>
    <w:uiPriority w:val="0"/>
    <w:rPr>
      <w:rFonts w:ascii="仿宋_GB2312" w:hAnsi="Arial Black" w:eastAsia="仿宋_GB2312"/>
      <w:kern w:val="44"/>
      <w:sz w:val="24"/>
    </w:rPr>
  </w:style>
  <w:style w:type="paragraph" w:customStyle="1" w:styleId="99">
    <w:name w:val="表格文字"/>
    <w:basedOn w:val="1"/>
    <w:link w:val="98"/>
    <w:autoRedefine/>
    <w:qFormat/>
    <w:uiPriority w:val="0"/>
    <w:pPr>
      <w:adjustRightInd w:val="0"/>
      <w:snapToGrid w:val="0"/>
      <w:jc w:val="center"/>
    </w:pPr>
    <w:rPr>
      <w:rFonts w:ascii="仿宋_GB2312" w:hAnsi="Arial Black" w:eastAsia="仿宋_GB2312"/>
      <w:kern w:val="44"/>
      <w:sz w:val="24"/>
      <w:szCs w:val="20"/>
    </w:rPr>
  </w:style>
  <w:style w:type="character" w:customStyle="1" w:styleId="100">
    <w:name w:val="1表格 Char"/>
    <w:link w:val="101"/>
    <w:autoRedefine/>
    <w:qFormat/>
    <w:uiPriority w:val="0"/>
    <w:rPr>
      <w:rFonts w:cs="宋体"/>
      <w:spacing w:val="4"/>
      <w:kern w:val="2"/>
      <w:sz w:val="21"/>
      <w:szCs w:val="24"/>
    </w:rPr>
  </w:style>
  <w:style w:type="paragraph" w:customStyle="1" w:styleId="101">
    <w:name w:val="1表格"/>
    <w:basedOn w:val="1"/>
    <w:link w:val="100"/>
    <w:autoRedefine/>
    <w:qFormat/>
    <w:uiPriority w:val="0"/>
    <w:pPr>
      <w:adjustRightInd w:val="0"/>
      <w:snapToGrid w:val="0"/>
      <w:jc w:val="center"/>
      <w:textAlignment w:val="baseline"/>
    </w:pPr>
    <w:rPr>
      <w:rFonts w:cs="宋体"/>
      <w:spacing w:val="4"/>
    </w:rPr>
  </w:style>
  <w:style w:type="character" w:customStyle="1" w:styleId="102">
    <w:name w:val="A表头 Char"/>
    <w:link w:val="103"/>
    <w:autoRedefine/>
    <w:qFormat/>
    <w:uiPriority w:val="0"/>
    <w:rPr>
      <w:b/>
      <w:sz w:val="24"/>
      <w:szCs w:val="24"/>
    </w:rPr>
  </w:style>
  <w:style w:type="paragraph" w:customStyle="1" w:styleId="103">
    <w:name w:val="A表头"/>
    <w:basedOn w:val="87"/>
    <w:link w:val="102"/>
    <w:autoRedefine/>
    <w:qFormat/>
    <w:uiPriority w:val="0"/>
    <w:pPr>
      <w:widowControl w:val="0"/>
      <w:ind w:firstLine="0" w:firstLineChars="0"/>
      <w:jc w:val="center"/>
    </w:pPr>
    <w:rPr>
      <w:b/>
    </w:rPr>
  </w:style>
  <w:style w:type="paragraph" w:customStyle="1" w:styleId="104">
    <w:name w:val="表内式样"/>
    <w:autoRedefine/>
    <w:qFormat/>
    <w:uiPriority w:val="0"/>
    <w:pPr>
      <w:widowControl w:val="0"/>
      <w:jc w:val="center"/>
    </w:pPr>
    <w:rPr>
      <w:rFonts w:ascii="Times New Roman" w:hAnsi="Times New Roman" w:eastAsia="宋体" w:cs="Times New Roman"/>
      <w:kern w:val="2"/>
      <w:sz w:val="21"/>
      <w:szCs w:val="24"/>
      <w:lang w:val="en-US" w:eastAsia="zh-CN" w:bidi="ar-SA"/>
    </w:rPr>
  </w:style>
  <w:style w:type="character" w:customStyle="1" w:styleId="105">
    <w:name w:val="文档结构图 字符"/>
    <w:basedOn w:val="44"/>
    <w:link w:val="14"/>
    <w:autoRedefine/>
    <w:qFormat/>
    <w:uiPriority w:val="0"/>
    <w:rPr>
      <w:kern w:val="2"/>
      <w:sz w:val="21"/>
      <w:szCs w:val="24"/>
      <w:shd w:val="clear" w:color="auto" w:fill="000080"/>
    </w:rPr>
  </w:style>
  <w:style w:type="character" w:customStyle="1" w:styleId="106">
    <w:name w:val="正文文本 3 字符"/>
    <w:basedOn w:val="44"/>
    <w:link w:val="17"/>
    <w:autoRedefine/>
    <w:qFormat/>
    <w:uiPriority w:val="0"/>
    <w:rPr>
      <w:color w:val="FF0000"/>
      <w:kern w:val="2"/>
      <w:sz w:val="21"/>
      <w:szCs w:val="24"/>
    </w:rPr>
  </w:style>
  <w:style w:type="character" w:customStyle="1" w:styleId="107">
    <w:name w:val="纯文本 字符"/>
    <w:basedOn w:val="44"/>
    <w:link w:val="23"/>
    <w:autoRedefine/>
    <w:qFormat/>
    <w:uiPriority w:val="0"/>
    <w:rPr>
      <w:rFonts w:ascii="宋体" w:hAnsi="Courier New"/>
      <w:spacing w:val="-2"/>
      <w:kern w:val="28"/>
      <w:sz w:val="21"/>
    </w:rPr>
  </w:style>
  <w:style w:type="character" w:customStyle="1" w:styleId="108">
    <w:name w:val="正文文本缩进 2 字符"/>
    <w:basedOn w:val="44"/>
    <w:link w:val="25"/>
    <w:autoRedefine/>
    <w:qFormat/>
    <w:uiPriority w:val="0"/>
    <w:rPr>
      <w:rFonts w:ascii="宋体" w:hAnsi="宋体"/>
      <w:spacing w:val="4"/>
      <w:kern w:val="2"/>
      <w:sz w:val="24"/>
      <w:szCs w:val="24"/>
    </w:rPr>
  </w:style>
  <w:style w:type="character" w:customStyle="1" w:styleId="109">
    <w:name w:val="尾注文本 字符"/>
    <w:basedOn w:val="44"/>
    <w:link w:val="26"/>
    <w:autoRedefine/>
    <w:qFormat/>
    <w:uiPriority w:val="0"/>
    <w:rPr>
      <w:kern w:val="2"/>
      <w:sz w:val="21"/>
      <w:szCs w:val="24"/>
    </w:rPr>
  </w:style>
  <w:style w:type="character" w:customStyle="1" w:styleId="110">
    <w:name w:val="副标题 字符"/>
    <w:basedOn w:val="44"/>
    <w:link w:val="32"/>
    <w:autoRedefine/>
    <w:qFormat/>
    <w:uiPriority w:val="11"/>
    <w:rPr>
      <w:b/>
      <w:bCs/>
      <w:kern w:val="28"/>
      <w:sz w:val="21"/>
      <w:szCs w:val="32"/>
    </w:rPr>
  </w:style>
  <w:style w:type="character" w:customStyle="1" w:styleId="111">
    <w:name w:val="正文文本缩进 3 字符"/>
    <w:basedOn w:val="44"/>
    <w:link w:val="34"/>
    <w:autoRedefine/>
    <w:qFormat/>
    <w:uiPriority w:val="0"/>
    <w:rPr>
      <w:kern w:val="2"/>
      <w:sz w:val="24"/>
      <w:szCs w:val="24"/>
    </w:rPr>
  </w:style>
  <w:style w:type="character" w:customStyle="1" w:styleId="112">
    <w:name w:val="正文文本 2 字符"/>
    <w:basedOn w:val="44"/>
    <w:link w:val="35"/>
    <w:autoRedefine/>
    <w:qFormat/>
    <w:uiPriority w:val="99"/>
    <w:rPr>
      <w:kern w:val="2"/>
      <w:sz w:val="21"/>
      <w:szCs w:val="24"/>
    </w:rPr>
  </w:style>
  <w:style w:type="character" w:customStyle="1" w:styleId="113">
    <w:name w:val="HTML 预设格式 字符"/>
    <w:basedOn w:val="44"/>
    <w:link w:val="36"/>
    <w:autoRedefine/>
    <w:qFormat/>
    <w:uiPriority w:val="0"/>
    <w:rPr>
      <w:rFonts w:ascii="Arial" w:hAnsi="Arial" w:cs="Arial"/>
      <w:sz w:val="16"/>
      <w:szCs w:val="16"/>
    </w:rPr>
  </w:style>
  <w:style w:type="character" w:customStyle="1" w:styleId="114">
    <w:name w:val="正文文本首行缩进 字符"/>
    <w:basedOn w:val="73"/>
    <w:link w:val="40"/>
    <w:autoRedefine/>
    <w:qFormat/>
    <w:uiPriority w:val="0"/>
    <w:rPr>
      <w:kern w:val="2"/>
      <w:sz w:val="21"/>
      <w:szCs w:val="24"/>
    </w:rPr>
  </w:style>
  <w:style w:type="character" w:customStyle="1" w:styleId="115">
    <w:name w:val="表格内容 Char"/>
    <w:link w:val="116"/>
    <w:autoRedefine/>
    <w:qFormat/>
    <w:locked/>
    <w:uiPriority w:val="0"/>
    <w:rPr>
      <w:rFonts w:ascii="Arial" w:hAnsi="Arial" w:eastAsia="仿宋_GB2312"/>
      <w:sz w:val="24"/>
    </w:rPr>
  </w:style>
  <w:style w:type="paragraph" w:customStyle="1" w:styleId="116">
    <w:name w:val="表格内容"/>
    <w:basedOn w:val="1"/>
    <w:link w:val="115"/>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17">
    <w:name w:val="1正文 Char"/>
    <w:link w:val="118"/>
    <w:autoRedefine/>
    <w:qFormat/>
    <w:uiPriority w:val="0"/>
    <w:rPr>
      <w:kern w:val="2"/>
      <w:sz w:val="24"/>
    </w:rPr>
  </w:style>
  <w:style w:type="paragraph" w:customStyle="1" w:styleId="118">
    <w:name w:val="1正文"/>
    <w:basedOn w:val="1"/>
    <w:link w:val="117"/>
    <w:autoRedefine/>
    <w:qFormat/>
    <w:uiPriority w:val="0"/>
    <w:pPr>
      <w:spacing w:line="360" w:lineRule="auto"/>
      <w:ind w:firstLine="200" w:firstLineChars="200"/>
    </w:pPr>
    <w:rPr>
      <w:sz w:val="24"/>
      <w:szCs w:val="20"/>
    </w:rPr>
  </w:style>
  <w:style w:type="character" w:customStyle="1" w:styleId="119">
    <w:name w:val="表格内文字 Char Char"/>
    <w:autoRedefine/>
    <w:qFormat/>
    <w:uiPriority w:val="0"/>
    <w:rPr>
      <w:rFonts w:eastAsia="仿宋_GB2312"/>
      <w:sz w:val="24"/>
      <w:szCs w:val="24"/>
    </w:rPr>
  </w:style>
  <w:style w:type="character" w:customStyle="1" w:styleId="120">
    <w:name w:val="正本文字 Char"/>
    <w:link w:val="121"/>
    <w:autoRedefine/>
    <w:qFormat/>
    <w:locked/>
    <w:uiPriority w:val="0"/>
    <w:rPr>
      <w:rFonts w:ascii="宋体" w:hAnsi="宋体" w:cs="宋体"/>
      <w:kern w:val="18"/>
      <w:sz w:val="24"/>
    </w:rPr>
  </w:style>
  <w:style w:type="paragraph" w:customStyle="1" w:styleId="121">
    <w:name w:val="正本文字"/>
    <w:basedOn w:val="1"/>
    <w:link w:val="120"/>
    <w:autoRedefine/>
    <w:qFormat/>
    <w:uiPriority w:val="0"/>
    <w:pPr>
      <w:adjustRightInd w:val="0"/>
      <w:snapToGrid w:val="0"/>
      <w:spacing w:line="360" w:lineRule="auto"/>
      <w:ind w:firstLine="480" w:firstLineChars="200"/>
      <w:jc w:val="left"/>
    </w:pPr>
    <w:rPr>
      <w:rFonts w:ascii="宋体" w:hAnsi="宋体" w:cs="宋体"/>
      <w:kern w:val="18"/>
      <w:sz w:val="24"/>
      <w:szCs w:val="20"/>
    </w:rPr>
  </w:style>
  <w:style w:type="character" w:customStyle="1" w:styleId="122">
    <w:name w:val="图表 Char"/>
    <w:link w:val="123"/>
    <w:autoRedefine/>
    <w:qFormat/>
    <w:uiPriority w:val="0"/>
    <w:rPr>
      <w:color w:val="000000"/>
      <w:kern w:val="2"/>
      <w:sz w:val="21"/>
      <w:szCs w:val="22"/>
    </w:rPr>
  </w:style>
  <w:style w:type="paragraph" w:customStyle="1" w:styleId="123">
    <w:name w:val="图表"/>
    <w:basedOn w:val="1"/>
    <w:link w:val="122"/>
    <w:autoRedefine/>
    <w:qFormat/>
    <w:uiPriority w:val="0"/>
    <w:pPr>
      <w:adjustRightInd w:val="0"/>
      <w:snapToGrid w:val="0"/>
      <w:jc w:val="center"/>
    </w:pPr>
    <w:rPr>
      <w:color w:val="000000"/>
      <w:szCs w:val="22"/>
    </w:rPr>
  </w:style>
  <w:style w:type="character" w:customStyle="1" w:styleId="124">
    <w:name w:val="样式 样式 样式 Arial 小四 行距: 1.5 倍行距 + 首行缩进:  2 字符 + 首行缩进:  2 字符 Char"/>
    <w:link w:val="125"/>
    <w:autoRedefine/>
    <w:qFormat/>
    <w:uiPriority w:val="0"/>
    <w:rPr>
      <w:rFonts w:ascii="Arial" w:hAnsi="Arial" w:cs="宋体"/>
      <w:kern w:val="2"/>
      <w:sz w:val="24"/>
    </w:rPr>
  </w:style>
  <w:style w:type="paragraph" w:customStyle="1" w:styleId="125">
    <w:name w:val="样式 样式 样式 Arial 小四 行距: 1.5 倍行距 + 首行缩进:  2 字符 + 首行缩进:  2 字符"/>
    <w:basedOn w:val="1"/>
    <w:link w:val="124"/>
    <w:autoRedefine/>
    <w:qFormat/>
    <w:uiPriority w:val="0"/>
    <w:pPr>
      <w:spacing w:line="440" w:lineRule="exact"/>
      <w:ind w:firstLine="200" w:firstLineChars="200"/>
    </w:pPr>
    <w:rPr>
      <w:rFonts w:ascii="Arial" w:hAnsi="Arial" w:cs="宋体"/>
      <w:sz w:val="24"/>
      <w:szCs w:val="20"/>
    </w:rPr>
  </w:style>
  <w:style w:type="character" w:customStyle="1" w:styleId="126">
    <w:name w:val="apple-converted-space"/>
    <w:autoRedefine/>
    <w:qFormat/>
    <w:uiPriority w:val="0"/>
  </w:style>
  <w:style w:type="character" w:customStyle="1" w:styleId="127">
    <w:name w:val="样式 样式 样式 样式 Arial 小四 行距: 1.5 倍行距 + 首行缩进:  2 字符 + 首行缩进:  2 字符 + 宋体 Char"/>
    <w:link w:val="128"/>
    <w:autoRedefine/>
    <w:qFormat/>
    <w:uiPriority w:val="0"/>
    <w:rPr>
      <w:rFonts w:ascii="Arial" w:hAnsi="Arial" w:cs="宋体"/>
      <w:kern w:val="2"/>
      <w:sz w:val="24"/>
      <w:szCs w:val="24"/>
    </w:rPr>
  </w:style>
  <w:style w:type="paragraph" w:customStyle="1" w:styleId="128">
    <w:name w:val="样式 样式 样式 样式 Arial 小四 行距: 1.5 倍行距 + 首行缩进:  2 字符 + 首行缩进:  2 字符 + 宋体"/>
    <w:basedOn w:val="1"/>
    <w:link w:val="127"/>
    <w:autoRedefine/>
    <w:qFormat/>
    <w:uiPriority w:val="0"/>
    <w:pPr>
      <w:spacing w:line="440" w:lineRule="exact"/>
      <w:ind w:firstLine="200" w:firstLineChars="200"/>
    </w:pPr>
    <w:rPr>
      <w:rFonts w:ascii="Arial" w:hAnsi="Arial" w:cs="宋体"/>
      <w:sz w:val="24"/>
    </w:rPr>
  </w:style>
  <w:style w:type="character" w:customStyle="1" w:styleId="129">
    <w:name w:val="111正文 Char"/>
    <w:link w:val="130"/>
    <w:autoRedefine/>
    <w:qFormat/>
    <w:uiPriority w:val="0"/>
    <w:rPr>
      <w:kern w:val="2"/>
      <w:sz w:val="24"/>
      <w:szCs w:val="22"/>
    </w:rPr>
  </w:style>
  <w:style w:type="paragraph" w:customStyle="1" w:styleId="130">
    <w:name w:val="111正文"/>
    <w:basedOn w:val="1"/>
    <w:link w:val="129"/>
    <w:autoRedefine/>
    <w:qFormat/>
    <w:uiPriority w:val="0"/>
    <w:pPr>
      <w:tabs>
        <w:tab w:val="left" w:pos="600"/>
      </w:tabs>
      <w:spacing w:line="360" w:lineRule="auto"/>
      <w:ind w:firstLine="200" w:firstLineChars="200"/>
    </w:pPr>
    <w:rPr>
      <w:sz w:val="24"/>
      <w:szCs w:val="22"/>
    </w:rPr>
  </w:style>
  <w:style w:type="character" w:customStyle="1" w:styleId="131">
    <w:name w:val="A表格 Char"/>
    <w:link w:val="132"/>
    <w:autoRedefine/>
    <w:qFormat/>
    <w:uiPriority w:val="0"/>
    <w:rPr>
      <w:kern w:val="2"/>
      <w:sz w:val="21"/>
      <w:szCs w:val="21"/>
    </w:rPr>
  </w:style>
  <w:style w:type="paragraph" w:customStyle="1" w:styleId="132">
    <w:name w:val="A表格"/>
    <w:basedOn w:val="1"/>
    <w:link w:val="131"/>
    <w:autoRedefine/>
    <w:qFormat/>
    <w:uiPriority w:val="0"/>
    <w:pPr>
      <w:jc w:val="center"/>
    </w:pPr>
    <w:rPr>
      <w:szCs w:val="21"/>
    </w:rPr>
  </w:style>
  <w:style w:type="character" w:customStyle="1" w:styleId="133">
    <w:name w:val="表格内文字 Char"/>
    <w:link w:val="134"/>
    <w:autoRedefine/>
    <w:qFormat/>
    <w:uiPriority w:val="0"/>
    <w:rPr>
      <w:rFonts w:eastAsia="仿宋_GB2312"/>
      <w:kern w:val="2"/>
      <w:sz w:val="24"/>
      <w:szCs w:val="24"/>
    </w:rPr>
  </w:style>
  <w:style w:type="paragraph" w:customStyle="1" w:styleId="134">
    <w:name w:val="表格内文字"/>
    <w:basedOn w:val="1"/>
    <w:link w:val="133"/>
    <w:autoRedefine/>
    <w:qFormat/>
    <w:uiPriority w:val="0"/>
    <w:pPr>
      <w:tabs>
        <w:tab w:val="left" w:pos="0"/>
      </w:tabs>
      <w:adjustRightInd w:val="0"/>
      <w:snapToGrid w:val="0"/>
      <w:jc w:val="center"/>
    </w:pPr>
    <w:rPr>
      <w:rFonts w:eastAsia="仿宋_GB2312"/>
      <w:sz w:val="24"/>
    </w:rPr>
  </w:style>
  <w:style w:type="character" w:customStyle="1" w:styleId="135">
    <w:name w:val="contents"/>
    <w:basedOn w:val="44"/>
    <w:autoRedefine/>
    <w:qFormat/>
    <w:uiPriority w:val="0"/>
  </w:style>
  <w:style w:type="character" w:customStyle="1" w:styleId="136">
    <w:name w:val="A标题 Char"/>
    <w:link w:val="137"/>
    <w:autoRedefine/>
    <w:qFormat/>
    <w:uiPriority w:val="0"/>
    <w:rPr>
      <w:b/>
      <w:color w:val="000000"/>
      <w:sz w:val="24"/>
      <w:szCs w:val="24"/>
    </w:rPr>
  </w:style>
  <w:style w:type="paragraph" w:customStyle="1" w:styleId="137">
    <w:name w:val="A标题"/>
    <w:basedOn w:val="87"/>
    <w:link w:val="136"/>
    <w:autoRedefine/>
    <w:qFormat/>
    <w:uiPriority w:val="0"/>
    <w:pPr>
      <w:widowControl w:val="0"/>
      <w:ind w:firstLine="482"/>
      <w:jc w:val="both"/>
    </w:pPr>
    <w:rPr>
      <w:b/>
      <w:color w:val="000000"/>
    </w:rPr>
  </w:style>
  <w:style w:type="character" w:customStyle="1" w:styleId="138">
    <w:name w:val="headline-content2"/>
    <w:autoRedefine/>
    <w:qFormat/>
    <w:uiPriority w:val="0"/>
  </w:style>
  <w:style w:type="character" w:customStyle="1" w:styleId="139">
    <w:name w:val="Plain Text Char1 Char1"/>
    <w:autoRedefine/>
    <w:qFormat/>
    <w:uiPriority w:val="0"/>
    <w:rPr>
      <w:rFonts w:ascii="宋体" w:hAnsi="Courier New"/>
      <w:spacing w:val="-2"/>
      <w:kern w:val="28"/>
      <w:sz w:val="21"/>
    </w:rPr>
  </w:style>
  <w:style w:type="character" w:customStyle="1" w:styleId="140">
    <w:name w:val="表头 Char"/>
    <w:link w:val="141"/>
    <w:autoRedefine/>
    <w:qFormat/>
    <w:uiPriority w:val="0"/>
    <w:rPr>
      <w:rFonts w:eastAsia="黑体"/>
      <w:color w:val="000000"/>
      <w:kern w:val="2"/>
      <w:sz w:val="24"/>
      <w:szCs w:val="22"/>
    </w:rPr>
  </w:style>
  <w:style w:type="paragraph" w:customStyle="1" w:styleId="141">
    <w:name w:val="表头"/>
    <w:basedOn w:val="123"/>
    <w:link w:val="140"/>
    <w:autoRedefine/>
    <w:qFormat/>
    <w:uiPriority w:val="0"/>
    <w:pPr>
      <w:spacing w:line="360" w:lineRule="auto"/>
    </w:pPr>
    <w:rPr>
      <w:rFonts w:eastAsia="黑体"/>
      <w:sz w:val="24"/>
    </w:rPr>
  </w:style>
  <w:style w:type="paragraph" w:customStyle="1" w:styleId="142">
    <w:name w:val="xl67"/>
    <w:basedOn w:val="1"/>
    <w:autoRedefine/>
    <w:qFormat/>
    <w:uiPriority w:val="0"/>
    <w:pPr>
      <w:widowControl/>
      <w:pBdr>
        <w:top w:val="single" w:color="000000" w:sz="12" w:space="0"/>
        <w:bottom w:val="single" w:color="000000" w:sz="8" w:space="0"/>
        <w:right w:val="single" w:color="auto" w:sz="8" w:space="0"/>
      </w:pBdr>
      <w:adjustRightInd w:val="0"/>
      <w:snapToGrid w:val="0"/>
      <w:spacing w:before="100" w:beforeAutospacing="1" w:after="100" w:afterAutospacing="1"/>
      <w:jc w:val="center"/>
    </w:pPr>
    <w:rPr>
      <w:color w:val="000000"/>
      <w:kern w:val="0"/>
      <w:sz w:val="24"/>
      <w:lang w:val="zh-CN"/>
    </w:rPr>
  </w:style>
  <w:style w:type="paragraph" w:customStyle="1" w:styleId="143">
    <w:name w:val="小四表文左齐"/>
    <w:basedOn w:val="1"/>
    <w:autoRedefine/>
    <w:qFormat/>
    <w:uiPriority w:val="0"/>
    <w:pPr>
      <w:jc w:val="center"/>
    </w:pPr>
    <w:rPr>
      <w:rFonts w:ascii="宋体" w:hAnsi="宋体"/>
      <w:szCs w:val="21"/>
    </w:rPr>
  </w:style>
  <w:style w:type="paragraph" w:customStyle="1" w:styleId="144">
    <w:name w:val="表格式"/>
    <w:basedOn w:val="33"/>
    <w:autoRedefine/>
    <w:qFormat/>
    <w:uiPriority w:val="0"/>
    <w:pPr>
      <w:spacing w:line="400" w:lineRule="exact"/>
      <w:ind w:left="0" w:firstLine="0" w:firstLineChars="0"/>
      <w:jc w:val="center"/>
    </w:pPr>
    <w:rPr>
      <w:rFonts w:ascii="宋体"/>
      <w:szCs w:val="20"/>
    </w:rPr>
  </w:style>
  <w:style w:type="paragraph" w:customStyle="1" w:styleId="145">
    <w:name w:val="Char1 Char Char Char"/>
    <w:basedOn w:val="1"/>
    <w:autoRedefine/>
    <w:qFormat/>
    <w:uiPriority w:val="0"/>
  </w:style>
  <w:style w:type="paragraph" w:customStyle="1" w:styleId="146">
    <w:name w:val="Char Char Char Char"/>
    <w:basedOn w:val="1"/>
    <w:link w:val="147"/>
    <w:autoRedefine/>
    <w:qFormat/>
    <w:uiPriority w:val="0"/>
    <w:rPr>
      <w:sz w:val="28"/>
    </w:rPr>
  </w:style>
  <w:style w:type="character" w:customStyle="1" w:styleId="147">
    <w:name w:val="Char Char Char Char Char Char"/>
    <w:link w:val="146"/>
    <w:autoRedefine/>
    <w:qFormat/>
    <w:uiPriority w:val="0"/>
    <w:rPr>
      <w:kern w:val="2"/>
      <w:sz w:val="28"/>
      <w:szCs w:val="24"/>
    </w:rPr>
  </w:style>
  <w:style w:type="paragraph" w:customStyle="1" w:styleId="148">
    <w:name w:val="font12"/>
    <w:basedOn w:val="1"/>
    <w:autoRedefine/>
    <w:qFormat/>
    <w:uiPriority w:val="0"/>
    <w:pPr>
      <w:widowControl/>
      <w:adjustRightInd w:val="0"/>
      <w:snapToGrid w:val="0"/>
      <w:spacing w:before="100" w:beforeAutospacing="1" w:after="100" w:afterAutospacing="1"/>
      <w:jc w:val="left"/>
    </w:pPr>
    <w:rPr>
      <w:color w:val="000000"/>
      <w:kern w:val="0"/>
      <w:sz w:val="22"/>
      <w:szCs w:val="22"/>
      <w:lang w:val="zh-CN"/>
    </w:rPr>
  </w:style>
  <w:style w:type="paragraph" w:customStyle="1" w:styleId="149">
    <w:name w:val="正文文本首行缩进1"/>
    <w:basedOn w:val="18"/>
    <w:autoRedefine/>
    <w:qFormat/>
    <w:uiPriority w:val="0"/>
    <w:pPr>
      <w:widowControl w:val="0"/>
      <w:snapToGrid/>
      <w:spacing w:before="0" w:after="120" w:line="240" w:lineRule="auto"/>
      <w:ind w:right="0" w:firstLine="420" w:firstLineChars="100"/>
    </w:pPr>
    <w:rPr>
      <w:kern w:val="2"/>
      <w:sz w:val="21"/>
      <w:szCs w:val="24"/>
    </w:rPr>
  </w:style>
  <w:style w:type="paragraph" w:customStyle="1" w:styleId="150">
    <w:name w:val="表"/>
    <w:basedOn w:val="33"/>
    <w:autoRedefine/>
    <w:qFormat/>
    <w:uiPriority w:val="0"/>
    <w:pPr>
      <w:keepNext/>
      <w:keepLines/>
      <w:spacing w:before="60" w:after="60" w:line="240" w:lineRule="exact"/>
      <w:ind w:left="0" w:firstLine="0" w:firstLineChars="0"/>
      <w:jc w:val="center"/>
    </w:pPr>
    <w:rPr>
      <w:szCs w:val="21"/>
    </w:rPr>
  </w:style>
  <w:style w:type="paragraph" w:customStyle="1" w:styleId="151">
    <w:name w:val="标3"/>
    <w:basedOn w:val="1"/>
    <w:autoRedefine/>
    <w:qFormat/>
    <w:uiPriority w:val="0"/>
    <w:pPr>
      <w:spacing w:line="432" w:lineRule="auto"/>
    </w:pPr>
    <w:rPr>
      <w:rFonts w:ascii="宋体" w:cs="宋体"/>
      <w:b/>
      <w:spacing w:val="27"/>
      <w:kern w:val="0"/>
      <w:sz w:val="24"/>
    </w:rPr>
  </w:style>
  <w:style w:type="paragraph" w:customStyle="1" w:styleId="152">
    <w:name w:val="Char"/>
    <w:basedOn w:val="1"/>
    <w:autoRedefine/>
    <w:qFormat/>
    <w:uiPriority w:val="0"/>
    <w:rPr>
      <w:sz w:val="24"/>
    </w:rPr>
  </w:style>
  <w:style w:type="paragraph" w:customStyle="1" w:styleId="153">
    <w:name w:val="默认段落字体 Para Char Char Char1 Char Char Char Char Char Char Char Char Char Char"/>
    <w:basedOn w:val="1"/>
    <w:autoRedefine/>
    <w:qFormat/>
    <w:uiPriority w:val="0"/>
    <w:rPr>
      <w:sz w:val="24"/>
    </w:rPr>
  </w:style>
  <w:style w:type="paragraph" w:customStyle="1" w:styleId="154">
    <w:name w:val="文本框"/>
    <w:basedOn w:val="1"/>
    <w:autoRedefine/>
    <w:qFormat/>
    <w:uiPriority w:val="0"/>
    <w:pPr>
      <w:spacing w:line="240" w:lineRule="atLeast"/>
    </w:pPr>
    <w:rPr>
      <w:rFonts w:ascii="宋体"/>
      <w:szCs w:val="20"/>
    </w:rPr>
  </w:style>
  <w:style w:type="paragraph" w:customStyle="1" w:styleId="155">
    <w:name w:val="表头1"/>
    <w:basedOn w:val="1"/>
    <w:autoRedefine/>
    <w:qFormat/>
    <w:uiPriority w:val="0"/>
    <w:pPr>
      <w:tabs>
        <w:tab w:val="left" w:pos="5280"/>
      </w:tabs>
      <w:adjustRightInd w:val="0"/>
      <w:spacing w:before="120" w:line="300" w:lineRule="auto"/>
      <w:ind w:firstLine="1000" w:firstLineChars="500"/>
      <w:textAlignment w:val="baseline"/>
    </w:pPr>
    <w:rPr>
      <w:rFonts w:ascii="黑体" w:eastAsia="黑体"/>
      <w:spacing w:val="-20"/>
      <w:kern w:val="16"/>
      <w:sz w:val="24"/>
      <w:szCs w:val="20"/>
    </w:rPr>
  </w:style>
  <w:style w:type="paragraph" w:customStyle="1" w:styleId="156">
    <w:name w:val="默认段落字体 Para Char Char Char Char"/>
    <w:basedOn w:val="1"/>
    <w:autoRedefine/>
    <w:qFormat/>
    <w:uiPriority w:val="0"/>
    <w:rPr>
      <w:sz w:val="24"/>
    </w:rPr>
  </w:style>
  <w:style w:type="paragraph" w:customStyle="1" w:styleId="157">
    <w:name w:val="样式4"/>
    <w:basedOn w:val="1"/>
    <w:autoRedefine/>
    <w:qFormat/>
    <w:uiPriority w:val="0"/>
    <w:pPr>
      <w:adjustRightInd w:val="0"/>
      <w:snapToGrid w:val="0"/>
      <w:spacing w:line="300" w:lineRule="auto"/>
      <w:ind w:left="38" w:leftChars="18" w:firstLine="560" w:firstLineChars="200"/>
    </w:pPr>
    <w:rPr>
      <w:rFonts w:ascii="仿宋_GB2312" w:eastAsia="仿宋_GB2312"/>
      <w:sz w:val="28"/>
      <w:szCs w:val="28"/>
    </w:rPr>
  </w:style>
  <w:style w:type="paragraph" w:customStyle="1" w:styleId="158">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9">
    <w:name w:val="列表段落1"/>
    <w:basedOn w:val="1"/>
    <w:autoRedefine/>
    <w:qFormat/>
    <w:uiPriority w:val="0"/>
    <w:rPr>
      <w:szCs w:val="28"/>
    </w:rPr>
  </w:style>
  <w:style w:type="paragraph" w:customStyle="1" w:styleId="160">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1">
    <w:name w:val="样式 标题 1 + 加粗"/>
    <w:basedOn w:val="2"/>
    <w:autoRedefine/>
    <w:qFormat/>
    <w:uiPriority w:val="0"/>
    <w:pPr>
      <w:keepLines/>
      <w:overflowPunct/>
      <w:adjustRightInd w:val="0"/>
      <w:spacing w:before="0" w:after="0" w:line="240" w:lineRule="auto"/>
      <w:ind w:left="0" w:firstLine="138" w:firstLineChars="49"/>
    </w:pPr>
    <w:rPr>
      <w:rFonts w:eastAsia="楷体_GB2312"/>
      <w:color w:val="auto"/>
      <w:sz w:val="28"/>
      <w:szCs w:val="28"/>
    </w:rPr>
  </w:style>
  <w:style w:type="paragraph" w:customStyle="1" w:styleId="162">
    <w:name w:val="Char Char Char Char Char Char Char"/>
    <w:basedOn w:val="1"/>
    <w:autoRedefine/>
    <w:qFormat/>
    <w:uiPriority w:val="0"/>
    <w:rPr>
      <w:sz w:val="24"/>
    </w:rPr>
  </w:style>
  <w:style w:type="paragraph" w:customStyle="1" w:styleId="163">
    <w:name w:val="标准"/>
    <w:basedOn w:val="1"/>
    <w:autoRedefine/>
    <w:qFormat/>
    <w:uiPriority w:val="0"/>
    <w:pPr>
      <w:adjustRightInd w:val="0"/>
      <w:spacing w:line="500" w:lineRule="atLeast"/>
      <w:jc w:val="center"/>
    </w:pPr>
    <w:rPr>
      <w:rFonts w:ascii="宋体"/>
      <w:kern w:val="0"/>
      <w:sz w:val="24"/>
      <w:szCs w:val="20"/>
    </w:rPr>
  </w:style>
  <w:style w:type="paragraph" w:customStyle="1" w:styleId="164">
    <w:name w:val="样式 XYF1 + 宋体"/>
    <w:basedOn w:val="1"/>
    <w:autoRedefine/>
    <w:qFormat/>
    <w:uiPriority w:val="0"/>
    <w:pPr>
      <w:tabs>
        <w:tab w:val="left" w:pos="1080"/>
      </w:tabs>
      <w:spacing w:line="480" w:lineRule="exact"/>
      <w:ind w:firstLine="200" w:firstLineChars="200"/>
    </w:pPr>
    <w:rPr>
      <w:rFonts w:ascii="宋体" w:hAnsi="宋体" w:cs="宋体"/>
      <w:sz w:val="28"/>
      <w:szCs w:val="20"/>
    </w:rPr>
  </w:style>
  <w:style w:type="paragraph" w:customStyle="1" w:styleId="165">
    <w:name w:val="简单回函地址"/>
    <w:basedOn w:val="1"/>
    <w:autoRedefine/>
    <w:qFormat/>
    <w:uiPriority w:val="0"/>
    <w:rPr>
      <w:sz w:val="24"/>
      <w:szCs w:val="20"/>
    </w:rPr>
  </w:style>
  <w:style w:type="paragraph" w:customStyle="1" w:styleId="166">
    <w:name w:val="Table Paragraph"/>
    <w:basedOn w:val="1"/>
    <w:next w:val="11"/>
    <w:autoRedefine/>
    <w:qFormat/>
    <w:uiPriority w:val="1"/>
    <w:pPr>
      <w:jc w:val="left"/>
    </w:pPr>
    <w:rPr>
      <w:rFonts w:ascii="Calibri" w:hAnsi="Calibri"/>
      <w:kern w:val="0"/>
      <w:sz w:val="22"/>
      <w:szCs w:val="22"/>
      <w:lang w:eastAsia="en-US"/>
    </w:rPr>
  </w:style>
  <w:style w:type="paragraph" w:customStyle="1" w:styleId="167">
    <w:name w:val="MFS正文 Char Char"/>
    <w:basedOn w:val="149"/>
    <w:autoRedefine/>
    <w:qFormat/>
    <w:uiPriority w:val="0"/>
    <w:pPr>
      <w:adjustRightInd w:val="0"/>
      <w:snapToGrid w:val="0"/>
      <w:spacing w:before="93" w:line="360" w:lineRule="auto"/>
      <w:ind w:firstLine="487" w:firstLineChars="200"/>
    </w:pPr>
    <w:rPr>
      <w:rFonts w:eastAsia="楷体_GB2312"/>
      <w:sz w:val="24"/>
    </w:rPr>
  </w:style>
  <w:style w:type="paragraph" w:customStyle="1" w:styleId="168">
    <w:name w:val="图表文字"/>
    <w:basedOn w:val="1"/>
    <w:autoRedefine/>
    <w:qFormat/>
    <w:uiPriority w:val="0"/>
    <w:pPr>
      <w:spacing w:line="300" w:lineRule="exact"/>
      <w:jc w:val="center"/>
    </w:pPr>
    <w:rPr>
      <w:bCs/>
      <w:szCs w:val="20"/>
    </w:rPr>
  </w:style>
  <w:style w:type="paragraph" w:customStyle="1" w:styleId="169">
    <w:name w:val="Char Char1 Char Char Char Char Char Char Char Char Char1 Char"/>
    <w:basedOn w:val="1"/>
    <w:autoRedefine/>
    <w:qFormat/>
    <w:uiPriority w:val="0"/>
  </w:style>
  <w:style w:type="paragraph" w:customStyle="1" w:styleId="170">
    <w:name w:val="Char Char Char Char1"/>
    <w:basedOn w:val="1"/>
    <w:autoRedefine/>
    <w:qFormat/>
    <w:uiPriority w:val="0"/>
    <w:rPr>
      <w:sz w:val="24"/>
    </w:rPr>
  </w:style>
  <w:style w:type="paragraph" w:customStyle="1" w:styleId="171">
    <w:name w:val="图文框"/>
    <w:basedOn w:val="1"/>
    <w:autoRedefine/>
    <w:qFormat/>
    <w:uiPriority w:val="0"/>
    <w:pPr>
      <w:widowControl/>
      <w:adjustRightInd w:val="0"/>
      <w:snapToGrid w:val="0"/>
      <w:spacing w:line="360" w:lineRule="exact"/>
      <w:jc w:val="center"/>
    </w:pPr>
    <w:rPr>
      <w:color w:val="0000FF"/>
      <w:kern w:val="0"/>
      <w:szCs w:val="21"/>
    </w:rPr>
  </w:style>
  <w:style w:type="paragraph" w:customStyle="1" w:styleId="172">
    <w:name w:val="xl71"/>
    <w:basedOn w:val="1"/>
    <w:autoRedefine/>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4"/>
      <w:lang w:val="zh-CN"/>
    </w:rPr>
  </w:style>
  <w:style w:type="character" w:customStyle="1" w:styleId="173">
    <w:name w:val="纯文本 Char1"/>
    <w:autoRedefine/>
    <w:qFormat/>
    <w:uiPriority w:val="0"/>
    <w:rPr>
      <w:rFonts w:ascii="宋体" w:hAnsi="Courier New" w:eastAsia="宋体"/>
      <w:spacing w:val="-2"/>
      <w:kern w:val="28"/>
      <w:sz w:val="21"/>
      <w:lang w:val="en-US" w:eastAsia="zh-CN" w:bidi="ar-SA"/>
    </w:rPr>
  </w:style>
  <w:style w:type="paragraph" w:customStyle="1" w:styleId="174">
    <w:name w:val="Char2"/>
    <w:basedOn w:val="1"/>
    <w:autoRedefine/>
    <w:qFormat/>
    <w:uiPriority w:val="0"/>
    <w:pPr>
      <w:widowControl/>
      <w:jc w:val="left"/>
    </w:pPr>
    <w:rPr>
      <w:rFonts w:ascii="宋体" w:hAnsi="宋体" w:cs="宋体"/>
      <w:kern w:val="0"/>
      <w:sz w:val="24"/>
    </w:rPr>
  </w:style>
  <w:style w:type="character" w:customStyle="1" w:styleId="175">
    <w:name w:val="表格/图表标题 Char"/>
    <w:link w:val="176"/>
    <w:autoRedefine/>
    <w:qFormat/>
    <w:uiPriority w:val="0"/>
    <w:rPr>
      <w:b/>
      <w:bCs/>
      <w:sz w:val="22"/>
      <w:szCs w:val="24"/>
    </w:rPr>
  </w:style>
  <w:style w:type="paragraph" w:customStyle="1" w:styleId="176">
    <w:name w:val="表格/图表标题"/>
    <w:basedOn w:val="1"/>
    <w:next w:val="1"/>
    <w:link w:val="175"/>
    <w:autoRedefine/>
    <w:qFormat/>
    <w:uiPriority w:val="0"/>
    <w:pPr>
      <w:spacing w:beforeLines="50"/>
      <w:jc w:val="center"/>
    </w:pPr>
    <w:rPr>
      <w:b/>
      <w:bCs/>
      <w:kern w:val="0"/>
      <w:sz w:val="22"/>
    </w:rPr>
  </w:style>
  <w:style w:type="paragraph" w:customStyle="1" w:styleId="177">
    <w:name w:val="正文111111"/>
    <w:basedOn w:val="11"/>
    <w:autoRedefine/>
    <w:qFormat/>
    <w:uiPriority w:val="0"/>
    <w:pPr>
      <w:spacing w:line="360" w:lineRule="auto"/>
      <w:ind w:firstLine="200"/>
    </w:pPr>
  </w:style>
  <w:style w:type="paragraph" w:customStyle="1" w:styleId="178">
    <w:name w:val="君邦正文"/>
    <w:autoRedefine/>
    <w:qFormat/>
    <w:locked/>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179">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80">
    <w:name w:val="表内文字"/>
    <w:basedOn w:val="1"/>
    <w:autoRedefine/>
    <w:qFormat/>
    <w:uiPriority w:val="0"/>
    <w:pPr>
      <w:adjustRightInd w:val="0"/>
      <w:jc w:val="center"/>
      <w:textAlignment w:val="baseline"/>
    </w:pPr>
    <w:rPr>
      <w:szCs w:val="20"/>
    </w:rPr>
  </w:style>
  <w:style w:type="paragraph" w:customStyle="1" w:styleId="181">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character" w:customStyle="1" w:styleId="182">
    <w:name w:val="正文缩进 Char1"/>
    <w:autoRedefine/>
    <w:qFormat/>
    <w:uiPriority w:val="0"/>
    <w:rPr>
      <w:kern w:val="2"/>
      <w:sz w:val="21"/>
      <w:szCs w:val="24"/>
    </w:rPr>
  </w:style>
  <w:style w:type="paragraph" w:customStyle="1" w:styleId="183">
    <w:name w:val="xl3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character" w:customStyle="1" w:styleId="184">
    <w:name w:val="样式 表格 + 黑色 Char Char"/>
    <w:link w:val="185"/>
    <w:autoRedefine/>
    <w:qFormat/>
    <w:uiPriority w:val="0"/>
    <w:rPr>
      <w:snapToGrid w:val="0"/>
      <w:color w:val="000000"/>
      <w:spacing w:val="-4"/>
      <w:sz w:val="21"/>
      <w:szCs w:val="21"/>
    </w:rPr>
  </w:style>
  <w:style w:type="paragraph" w:customStyle="1" w:styleId="185">
    <w:name w:val="样式 表格 + 黑色"/>
    <w:basedOn w:val="1"/>
    <w:link w:val="184"/>
    <w:autoRedefine/>
    <w:qFormat/>
    <w:uiPriority w:val="0"/>
    <w:pPr>
      <w:adjustRightInd w:val="0"/>
      <w:snapToGrid w:val="0"/>
      <w:jc w:val="center"/>
    </w:pPr>
    <w:rPr>
      <w:snapToGrid w:val="0"/>
      <w:color w:val="000000"/>
      <w:spacing w:val="-4"/>
      <w:kern w:val="0"/>
      <w:szCs w:val="21"/>
    </w:rPr>
  </w:style>
  <w:style w:type="paragraph" w:customStyle="1" w:styleId="186">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87">
    <w:name w:val="正文缩进 Char"/>
    <w:autoRedefine/>
    <w:qFormat/>
    <w:uiPriority w:val="0"/>
    <w:rPr>
      <w:rFonts w:eastAsia="宋体"/>
      <w:kern w:val="2"/>
      <w:sz w:val="21"/>
      <w:lang w:val="en-US" w:eastAsia="zh-CN" w:bidi="ar-SA"/>
    </w:rPr>
  </w:style>
  <w:style w:type="character" w:customStyle="1" w:styleId="188">
    <w:name w:val="报告书表格 Char"/>
    <w:link w:val="189"/>
    <w:autoRedefine/>
    <w:qFormat/>
    <w:uiPriority w:val="0"/>
    <w:rPr>
      <w:rFonts w:ascii="宋体" w:hAnsi="宋体" w:cs="宋体"/>
      <w:szCs w:val="24"/>
    </w:rPr>
  </w:style>
  <w:style w:type="paragraph" w:customStyle="1" w:styleId="189">
    <w:name w:val="报告书表格"/>
    <w:basedOn w:val="1"/>
    <w:link w:val="188"/>
    <w:autoRedefine/>
    <w:qFormat/>
    <w:uiPriority w:val="0"/>
    <w:pPr>
      <w:adjustRightInd w:val="0"/>
      <w:spacing w:before="60" w:after="60" w:line="240" w:lineRule="atLeast"/>
      <w:jc w:val="center"/>
      <w:textAlignment w:val="baseline"/>
    </w:pPr>
    <w:rPr>
      <w:rFonts w:ascii="宋体" w:hAnsi="宋体" w:cs="宋体"/>
      <w:kern w:val="0"/>
      <w:sz w:val="20"/>
    </w:rPr>
  </w:style>
  <w:style w:type="paragraph" w:customStyle="1" w:styleId="190">
    <w:name w:val="表格内容1"/>
    <w:basedOn w:val="1"/>
    <w:autoRedefine/>
    <w:qFormat/>
    <w:uiPriority w:val="0"/>
    <w:pPr>
      <w:adjustRightInd w:val="0"/>
      <w:snapToGrid w:val="0"/>
      <w:spacing w:beforeLines="15" w:afterLines="15" w:line="240" w:lineRule="exact"/>
      <w:jc w:val="center"/>
    </w:pPr>
    <w:rPr>
      <w:rFonts w:ascii="宋体" w:hAnsi="宋体"/>
      <w:snapToGrid w:val="0"/>
      <w:kern w:val="0"/>
    </w:rPr>
  </w:style>
  <w:style w:type="character" w:customStyle="1" w:styleId="191">
    <w:name w:val="apple-style-span"/>
    <w:basedOn w:val="44"/>
    <w:autoRedefine/>
    <w:qFormat/>
    <w:uiPriority w:val="0"/>
  </w:style>
  <w:style w:type="paragraph" w:customStyle="1" w:styleId="192">
    <w:name w:val="表文-lcc"/>
    <w:basedOn w:val="23"/>
    <w:autoRedefine/>
    <w:qFormat/>
    <w:uiPriority w:val="0"/>
    <w:pPr>
      <w:adjustRightInd/>
      <w:spacing w:before="0" w:line="240" w:lineRule="auto"/>
      <w:jc w:val="center"/>
      <w:textAlignment w:val="auto"/>
    </w:pPr>
    <w:rPr>
      <w:rFonts w:ascii="Times New Roman" w:hAnsi="Times New Roman" w:cs="Courier New"/>
      <w:spacing w:val="0"/>
      <w:kern w:val="2"/>
      <w:szCs w:val="21"/>
    </w:rPr>
  </w:style>
  <w:style w:type="paragraph" w:customStyle="1" w:styleId="193">
    <w:name w:val="表内lcc"/>
    <w:basedOn w:val="1"/>
    <w:autoRedefine/>
    <w:qFormat/>
    <w:uiPriority w:val="0"/>
    <w:pPr>
      <w:adjustRightInd w:val="0"/>
      <w:jc w:val="center"/>
    </w:pPr>
    <w:rPr>
      <w:iCs/>
      <w:color w:val="000000"/>
      <w:szCs w:val="21"/>
    </w:rPr>
  </w:style>
  <w:style w:type="character" w:customStyle="1" w:styleId="194">
    <w:name w:val="t_tit01"/>
    <w:autoRedefine/>
    <w:qFormat/>
    <w:uiPriority w:val="0"/>
  </w:style>
  <w:style w:type="paragraph" w:customStyle="1" w:styleId="195">
    <w:name w:val="Body Text 22"/>
    <w:autoRedefine/>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paragraph" w:customStyle="1" w:styleId="196">
    <w:name w:val="正文 首行缩进:  2 字符"/>
    <w:basedOn w:val="1"/>
    <w:link w:val="265"/>
    <w:autoRedefine/>
    <w:qFormat/>
    <w:uiPriority w:val="0"/>
    <w:pPr>
      <w:adjustRightInd w:val="0"/>
      <w:snapToGrid w:val="0"/>
      <w:spacing w:line="500" w:lineRule="exact"/>
      <w:ind w:firstLine="200" w:firstLineChars="200"/>
      <w:jc w:val="left"/>
    </w:pPr>
    <w:rPr>
      <w:rFonts w:ascii="Calibri" w:hAnsi="Calibri"/>
      <w:sz w:val="24"/>
      <w:szCs w:val="20"/>
    </w:rPr>
  </w:style>
  <w:style w:type="paragraph" w:customStyle="1" w:styleId="197">
    <w:name w:val="样式 列表 + 左侧:  0 厘米 悬挂缩进: 5.85 字符"/>
    <w:basedOn w:val="33"/>
    <w:autoRedefine/>
    <w:qFormat/>
    <w:uiPriority w:val="0"/>
    <w:pPr>
      <w:autoSpaceDE w:val="0"/>
      <w:autoSpaceDN w:val="0"/>
      <w:adjustRightInd w:val="0"/>
      <w:snapToGrid w:val="0"/>
      <w:ind w:left="-2" w:leftChars="-8" w:hanging="17" w:hangingChars="8"/>
      <w:jc w:val="center"/>
    </w:pPr>
    <w:rPr>
      <w:rFonts w:ascii="宋体" w:hAnsi="宋体" w:cs="宋体"/>
      <w:szCs w:val="21"/>
      <w:lang w:val="zh-CN"/>
    </w:rPr>
  </w:style>
  <w:style w:type="paragraph" w:customStyle="1" w:styleId="198">
    <w:name w:val="Char Char Char"/>
    <w:basedOn w:val="1"/>
    <w:autoRedefine/>
    <w:qFormat/>
    <w:uiPriority w:val="0"/>
    <w:rPr>
      <w:sz w:val="24"/>
    </w:rPr>
  </w:style>
  <w:style w:type="paragraph" w:customStyle="1" w:styleId="199">
    <w:name w:val="已有表格"/>
    <w:basedOn w:val="1"/>
    <w:autoRedefine/>
    <w:qFormat/>
    <w:uiPriority w:val="0"/>
    <w:pPr>
      <w:adjustRightInd w:val="0"/>
      <w:spacing w:before="40" w:after="40"/>
      <w:jc w:val="center"/>
      <w:textAlignment w:val="baseline"/>
    </w:pPr>
    <w:rPr>
      <w:b/>
      <w:kern w:val="0"/>
      <w:sz w:val="24"/>
      <w:szCs w:val="20"/>
    </w:rPr>
  </w:style>
  <w:style w:type="paragraph" w:customStyle="1" w:styleId="200">
    <w:name w:val="标题2"/>
    <w:basedOn w:val="1"/>
    <w:autoRedefine/>
    <w:qFormat/>
    <w:uiPriority w:val="0"/>
    <w:pPr>
      <w:widowControl/>
      <w:spacing w:before="100" w:beforeAutospacing="1" w:after="100" w:afterAutospacing="1" w:line="270" w:lineRule="atLeast"/>
      <w:ind w:firstLine="480"/>
      <w:jc w:val="center"/>
    </w:pPr>
    <w:rPr>
      <w:rFonts w:ascii="宋体" w:hAnsi="宋体" w:cs="宋体"/>
      <w:b/>
      <w:bCs/>
      <w:color w:val="FF0000"/>
      <w:kern w:val="0"/>
      <w:sz w:val="27"/>
      <w:szCs w:val="27"/>
      <w:lang w:bidi="th-TH"/>
    </w:rPr>
  </w:style>
  <w:style w:type="paragraph" w:customStyle="1" w:styleId="201">
    <w:name w:val="居中正文"/>
    <w:basedOn w:val="40"/>
    <w:autoRedefine/>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202">
    <w:name w:val="Char Char Char Char Char Char Char1"/>
    <w:basedOn w:val="1"/>
    <w:autoRedefine/>
    <w:qFormat/>
    <w:uiPriority w:val="0"/>
    <w:rPr>
      <w:sz w:val="24"/>
    </w:rPr>
  </w:style>
  <w:style w:type="character" w:customStyle="1" w:styleId="203">
    <w:name w:val="tpc_content1"/>
    <w:autoRedefine/>
    <w:qFormat/>
    <w:uiPriority w:val="0"/>
    <w:rPr>
      <w:sz w:val="20"/>
      <w:szCs w:val="20"/>
    </w:rPr>
  </w:style>
  <w:style w:type="paragraph" w:customStyle="1" w:styleId="204">
    <w:name w:val="1"/>
    <w:basedOn w:val="1"/>
    <w:next w:val="23"/>
    <w:autoRedefine/>
    <w:qFormat/>
    <w:uiPriority w:val="0"/>
    <w:rPr>
      <w:rFonts w:ascii="宋体" w:hAnsi="Courier New" w:cs="Courier New"/>
      <w:szCs w:val="21"/>
    </w:rPr>
  </w:style>
  <w:style w:type="paragraph" w:customStyle="1" w:styleId="205">
    <w:name w:val="报告表正文"/>
    <w:basedOn w:val="1"/>
    <w:link w:val="206"/>
    <w:autoRedefine/>
    <w:qFormat/>
    <w:uiPriority w:val="0"/>
    <w:pPr>
      <w:adjustRightInd w:val="0"/>
      <w:spacing w:line="312" w:lineRule="auto"/>
      <w:ind w:left="113" w:right="113" w:firstLine="482"/>
      <w:jc w:val="left"/>
      <w:textAlignment w:val="baseline"/>
    </w:pPr>
    <w:rPr>
      <w:kern w:val="0"/>
      <w:sz w:val="24"/>
      <w:szCs w:val="20"/>
    </w:rPr>
  </w:style>
  <w:style w:type="character" w:customStyle="1" w:styleId="206">
    <w:name w:val="报告表正文 Char"/>
    <w:link w:val="205"/>
    <w:autoRedefine/>
    <w:qFormat/>
    <w:uiPriority w:val="0"/>
    <w:rPr>
      <w:sz w:val="24"/>
    </w:rPr>
  </w:style>
  <w:style w:type="paragraph" w:customStyle="1" w:styleId="207">
    <w:name w:val="默认段落字体 Para Char Char Char Char Char Char Char Char Char Char Char Char Char"/>
    <w:basedOn w:val="1"/>
    <w:autoRedefine/>
    <w:qFormat/>
    <w:uiPriority w:val="0"/>
    <w:rPr>
      <w:sz w:val="24"/>
    </w:rPr>
  </w:style>
  <w:style w:type="paragraph" w:customStyle="1" w:styleId="208">
    <w:name w:val="武正文"/>
    <w:basedOn w:val="1"/>
    <w:autoRedefine/>
    <w:qFormat/>
    <w:uiPriority w:val="0"/>
    <w:pPr>
      <w:adjustRightInd w:val="0"/>
      <w:snapToGrid w:val="0"/>
      <w:spacing w:line="360" w:lineRule="auto"/>
      <w:ind w:firstLine="200" w:firstLineChars="200"/>
    </w:pPr>
    <w:rPr>
      <w:rFonts w:hAnsi="宋体"/>
      <w:color w:val="000000"/>
      <w:sz w:val="24"/>
    </w:rPr>
  </w:style>
  <w:style w:type="paragraph" w:customStyle="1" w:styleId="209">
    <w:name w:val="正文四号"/>
    <w:basedOn w:val="1"/>
    <w:autoRedefine/>
    <w:qFormat/>
    <w:uiPriority w:val="0"/>
    <w:pPr>
      <w:adjustRightInd w:val="0"/>
      <w:snapToGrid w:val="0"/>
      <w:ind w:firstLine="480" w:firstLineChars="200"/>
      <w:jc w:val="center"/>
      <w:textAlignment w:val="baseline"/>
    </w:pPr>
    <w:rPr>
      <w:b/>
      <w:sz w:val="24"/>
    </w:rPr>
  </w:style>
  <w:style w:type="paragraph" w:customStyle="1" w:styleId="210">
    <w:name w:val="单元格"/>
    <w:basedOn w:val="1"/>
    <w:autoRedefine/>
    <w:qFormat/>
    <w:uiPriority w:val="0"/>
    <w:pPr>
      <w:jc w:val="center"/>
    </w:pPr>
    <w:rPr>
      <w:rFonts w:ascii="楷体_GB2312" w:eastAsia="楷体_GB2312"/>
      <w:szCs w:val="20"/>
    </w:rPr>
  </w:style>
  <w:style w:type="paragraph" w:customStyle="1" w:styleId="211">
    <w:name w:val="Char Char Char1"/>
    <w:basedOn w:val="1"/>
    <w:autoRedefine/>
    <w:qFormat/>
    <w:uiPriority w:val="0"/>
    <w:pPr>
      <w:spacing w:line="240" w:lineRule="exact"/>
      <w:ind w:firstLine="200" w:firstLineChars="200"/>
    </w:pPr>
    <w:rPr>
      <w:sz w:val="28"/>
      <w:szCs w:val="28"/>
    </w:rPr>
  </w:style>
  <w:style w:type="paragraph" w:customStyle="1" w:styleId="212">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213">
    <w:name w:val="环正文"/>
    <w:basedOn w:val="1"/>
    <w:link w:val="214"/>
    <w:autoRedefine/>
    <w:qFormat/>
    <w:uiPriority w:val="0"/>
    <w:pPr>
      <w:widowControl/>
      <w:tabs>
        <w:tab w:val="left" w:pos="1464"/>
      </w:tabs>
      <w:suppressAutoHyphens/>
      <w:spacing w:line="360" w:lineRule="auto"/>
      <w:ind w:firstLine="480" w:firstLineChars="200"/>
      <w:textAlignment w:val="baseline"/>
    </w:pPr>
    <w:rPr>
      <w:rFonts w:ascii="宋体" w:hAnsi="宋体"/>
      <w:kern w:val="0"/>
      <w:sz w:val="24"/>
    </w:rPr>
  </w:style>
  <w:style w:type="character" w:customStyle="1" w:styleId="214">
    <w:name w:val="环正文 Char"/>
    <w:link w:val="213"/>
    <w:autoRedefine/>
    <w:qFormat/>
    <w:uiPriority w:val="0"/>
    <w:rPr>
      <w:rFonts w:ascii="宋体" w:hAnsi="宋体"/>
      <w:sz w:val="24"/>
      <w:szCs w:val="24"/>
    </w:rPr>
  </w:style>
  <w:style w:type="paragraph" w:customStyle="1" w:styleId="215">
    <w:name w:val="环表头"/>
    <w:basedOn w:val="213"/>
    <w:next w:val="1"/>
    <w:link w:val="216"/>
    <w:autoRedefine/>
    <w:qFormat/>
    <w:uiPriority w:val="0"/>
    <w:pPr>
      <w:spacing w:before="100" w:beforeAutospacing="1" w:after="60" w:line="240" w:lineRule="atLeast"/>
      <w:ind w:right="28" w:firstLine="0" w:firstLineChars="0"/>
      <w:jc w:val="center"/>
    </w:pPr>
    <w:rPr>
      <w:b/>
      <w:kern w:val="2"/>
    </w:rPr>
  </w:style>
  <w:style w:type="character" w:customStyle="1" w:styleId="216">
    <w:name w:val="环表头 Char3"/>
    <w:link w:val="215"/>
    <w:autoRedefine/>
    <w:qFormat/>
    <w:uiPriority w:val="0"/>
    <w:rPr>
      <w:rFonts w:ascii="宋体" w:hAnsi="宋体"/>
      <w:b/>
      <w:kern w:val="2"/>
      <w:sz w:val="24"/>
      <w:szCs w:val="24"/>
    </w:rPr>
  </w:style>
  <w:style w:type="paragraph" w:customStyle="1" w:styleId="217">
    <w:name w:val="页末正文"/>
    <w:basedOn w:val="1"/>
    <w:autoRedefine/>
    <w:qFormat/>
    <w:uiPriority w:val="0"/>
    <w:pPr>
      <w:spacing w:after="240" w:line="480" w:lineRule="exact"/>
      <w:ind w:firstLine="560" w:firstLineChars="200"/>
    </w:pPr>
    <w:rPr>
      <w:rFonts w:eastAsia="楷体_GB2312"/>
      <w:color w:val="000000"/>
      <w:sz w:val="28"/>
      <w:szCs w:val="20"/>
    </w:rPr>
  </w:style>
  <w:style w:type="paragraph" w:customStyle="1" w:styleId="218">
    <w:name w:val="博泵1"/>
    <w:basedOn w:val="1"/>
    <w:link w:val="219"/>
    <w:autoRedefine/>
    <w:semiHidden/>
    <w:qFormat/>
    <w:uiPriority w:val="0"/>
    <w:pPr>
      <w:adjustRightInd w:val="0"/>
      <w:snapToGrid w:val="0"/>
      <w:spacing w:line="480" w:lineRule="exact"/>
      <w:ind w:firstLine="200" w:firstLineChars="200"/>
      <w:jc w:val="left"/>
      <w:textAlignment w:val="baseline"/>
    </w:pPr>
    <w:rPr>
      <w:rFonts w:hAnsi="宋体" w:cs="宋体"/>
      <w:color w:val="000000"/>
      <w:kern w:val="0"/>
      <w:sz w:val="24"/>
      <w:szCs w:val="20"/>
    </w:rPr>
  </w:style>
  <w:style w:type="character" w:customStyle="1" w:styleId="219">
    <w:name w:val="博泵1 Char"/>
    <w:link w:val="218"/>
    <w:autoRedefine/>
    <w:semiHidden/>
    <w:qFormat/>
    <w:uiPriority w:val="0"/>
    <w:rPr>
      <w:rFonts w:hAnsi="宋体" w:cs="宋体"/>
      <w:color w:val="000000"/>
      <w:sz w:val="24"/>
    </w:rPr>
  </w:style>
  <w:style w:type="paragraph" w:customStyle="1" w:styleId="220">
    <w:name w:val="Char Char Char Char Char Char1 Char Char Char Char"/>
    <w:basedOn w:val="1"/>
    <w:autoRedefine/>
    <w:qFormat/>
    <w:uiPriority w:val="0"/>
    <w:rPr>
      <w:sz w:val="24"/>
    </w:rPr>
  </w:style>
  <w:style w:type="paragraph" w:customStyle="1" w:styleId="221">
    <w:name w:val="h"/>
    <w:basedOn w:val="1"/>
    <w:autoRedefine/>
    <w:qFormat/>
    <w:uiPriority w:val="0"/>
    <w:pPr>
      <w:spacing w:before="60"/>
      <w:ind w:firstLine="482"/>
    </w:pPr>
    <w:rPr>
      <w:rFonts w:ascii="Arial" w:hAnsi="Arial"/>
      <w:kern w:val="0"/>
      <w:sz w:val="24"/>
      <w:szCs w:val="20"/>
    </w:rPr>
  </w:style>
  <w:style w:type="paragraph" w:customStyle="1" w:styleId="222">
    <w:name w:val="样式 (西文) Times New Roman (中文) 宋体 小四 加粗"/>
    <w:basedOn w:val="5"/>
    <w:next w:val="5"/>
    <w:link w:val="223"/>
    <w:autoRedefine/>
    <w:qFormat/>
    <w:uiPriority w:val="0"/>
    <w:pPr>
      <w:tabs>
        <w:tab w:val="left" w:pos="425"/>
        <w:tab w:val="left" w:pos="2976"/>
      </w:tabs>
      <w:adjustRightInd w:val="0"/>
      <w:snapToGrid w:val="0"/>
      <w:spacing w:before="0" w:after="0" w:line="360" w:lineRule="auto"/>
      <w:outlineLvl w:val="0"/>
    </w:pPr>
    <w:rPr>
      <w:rFonts w:ascii="Times New Roman" w:hAnsi="Times New Roman" w:eastAsia="宋体" w:cs="Times New Roman"/>
      <w:bCs w:val="0"/>
      <w:color w:val="000000"/>
      <w:sz w:val="24"/>
    </w:rPr>
  </w:style>
  <w:style w:type="character" w:customStyle="1" w:styleId="223">
    <w:name w:val="样式 (西文) Times New Roman (中文) 宋体 小四 加粗 Char"/>
    <w:link w:val="222"/>
    <w:autoRedefine/>
    <w:qFormat/>
    <w:uiPriority w:val="0"/>
    <w:rPr>
      <w:b/>
      <w:color w:val="000000"/>
      <w:kern w:val="2"/>
      <w:sz w:val="24"/>
      <w:szCs w:val="28"/>
    </w:rPr>
  </w:style>
  <w:style w:type="paragraph" w:customStyle="1" w:styleId="224">
    <w:name w:val="表格标题新"/>
    <w:basedOn w:val="134"/>
    <w:link w:val="225"/>
    <w:autoRedefine/>
    <w:qFormat/>
    <w:uiPriority w:val="0"/>
    <w:pPr>
      <w:spacing w:beforeLines="50"/>
      <w:ind w:firstLine="562"/>
    </w:pPr>
    <w:rPr>
      <w:rFonts w:ascii="宋体" w:hAnsi="宋体" w:eastAsia="黑体"/>
      <w:b/>
      <w:snapToGrid w:val="0"/>
      <w:szCs w:val="21"/>
    </w:rPr>
  </w:style>
  <w:style w:type="character" w:customStyle="1" w:styleId="225">
    <w:name w:val="表格标题新 Char"/>
    <w:link w:val="224"/>
    <w:autoRedefine/>
    <w:qFormat/>
    <w:uiPriority w:val="0"/>
    <w:rPr>
      <w:rFonts w:ascii="宋体" w:hAnsi="宋体" w:eastAsia="黑体"/>
      <w:b/>
      <w:snapToGrid w:val="0"/>
      <w:kern w:val="2"/>
      <w:sz w:val="24"/>
      <w:szCs w:val="21"/>
    </w:rPr>
  </w:style>
  <w:style w:type="paragraph" w:customStyle="1" w:styleId="226">
    <w:name w:val="样式 样式 标题 2节 + (西文) Times New Roman (中文) 宋体 四号 段前: 0.5 行 段后: 0......"/>
    <w:basedOn w:val="1"/>
    <w:autoRedefine/>
    <w:qFormat/>
    <w:uiPriority w:val="0"/>
    <w:pPr>
      <w:keepNext/>
      <w:keepLines/>
      <w:numPr>
        <w:ilvl w:val="1"/>
        <w:numId w:val="2"/>
      </w:numPr>
      <w:adjustRightInd w:val="0"/>
      <w:snapToGrid w:val="0"/>
      <w:spacing w:beforeLines="50" w:line="360" w:lineRule="auto"/>
      <w:outlineLvl w:val="1"/>
    </w:pPr>
    <w:rPr>
      <w:rFonts w:ascii="宋体" w:hAnsi="宋体"/>
      <w:b/>
      <w:bCs/>
      <w:sz w:val="30"/>
      <w:szCs w:val="30"/>
    </w:rPr>
  </w:style>
  <w:style w:type="paragraph" w:customStyle="1" w:styleId="227">
    <w:name w:val="样式 标题 3 + (西文) Times New Roman (中文) 宋体 小四 加粗"/>
    <w:basedOn w:val="4"/>
    <w:autoRedefine/>
    <w:qFormat/>
    <w:uiPriority w:val="0"/>
    <w:pPr>
      <w:numPr>
        <w:ilvl w:val="2"/>
        <w:numId w:val="2"/>
      </w:numPr>
      <w:tabs>
        <w:tab w:val="left" w:pos="432"/>
      </w:tabs>
      <w:adjustRightInd w:val="0"/>
      <w:snapToGrid w:val="0"/>
      <w:spacing w:beforeLines="50" w:after="0" w:line="360" w:lineRule="auto"/>
      <w:jc w:val="left"/>
    </w:pPr>
    <w:rPr>
      <w:rFonts w:ascii="宋体" w:hAnsi="宋体"/>
      <w:snapToGrid w:val="0"/>
      <w:sz w:val="28"/>
      <w:szCs w:val="28"/>
    </w:rPr>
  </w:style>
  <w:style w:type="paragraph" w:customStyle="1" w:styleId="228">
    <w:name w:val="样式 标题 1 + (中文) 宋体 小三 行距: 多倍行距 1.35 字行"/>
    <w:basedOn w:val="1"/>
    <w:autoRedefine/>
    <w:qFormat/>
    <w:uiPriority w:val="0"/>
    <w:pPr>
      <w:numPr>
        <w:ilvl w:val="0"/>
        <w:numId w:val="2"/>
      </w:numPr>
    </w:pPr>
  </w:style>
  <w:style w:type="paragraph" w:customStyle="1" w:styleId="229">
    <w:name w:val="样式 标题 4 + (西文) Times New Roman (中文) 宋体 小四"/>
    <w:basedOn w:val="1"/>
    <w:autoRedefine/>
    <w:qFormat/>
    <w:uiPriority w:val="0"/>
    <w:pPr>
      <w:numPr>
        <w:ilvl w:val="3"/>
        <w:numId w:val="2"/>
      </w:numPr>
    </w:pPr>
  </w:style>
  <w:style w:type="paragraph" w:customStyle="1" w:styleId="230">
    <w:name w:val="表标题"/>
    <w:basedOn w:val="1"/>
    <w:autoRedefine/>
    <w:qFormat/>
    <w:uiPriority w:val="0"/>
    <w:pPr>
      <w:spacing w:line="500" w:lineRule="exact"/>
      <w:ind w:firstLine="482" w:firstLineChars="200"/>
      <w:jc w:val="center"/>
    </w:pPr>
    <w:rPr>
      <w:rFonts w:ascii="仿宋_GB2312" w:eastAsia="仿宋_GB2312"/>
      <w:b/>
      <w:bCs/>
      <w:sz w:val="24"/>
    </w:rPr>
  </w:style>
  <w:style w:type="paragraph" w:customStyle="1" w:styleId="231">
    <w:name w:val="Char3"/>
    <w:basedOn w:val="1"/>
    <w:autoRedefine/>
    <w:qFormat/>
    <w:uiPriority w:val="0"/>
    <w:pPr>
      <w:spacing w:line="240" w:lineRule="exact"/>
      <w:ind w:firstLine="200" w:firstLineChars="200"/>
    </w:pPr>
    <w:rPr>
      <w:sz w:val="28"/>
      <w:szCs w:val="28"/>
    </w:rPr>
  </w:style>
  <w:style w:type="paragraph" w:customStyle="1" w:styleId="232">
    <w:name w:val="表蕊"/>
    <w:basedOn w:val="1"/>
    <w:link w:val="233"/>
    <w:autoRedefine/>
    <w:qFormat/>
    <w:uiPriority w:val="0"/>
    <w:pPr>
      <w:adjustRightInd w:val="0"/>
      <w:spacing w:line="320" w:lineRule="atLeast"/>
      <w:jc w:val="left"/>
      <w:textAlignment w:val="baseline"/>
    </w:pPr>
    <w:rPr>
      <w:rFonts w:eastAsia="楷体_GB2312"/>
      <w:spacing w:val="-10"/>
      <w:kern w:val="0"/>
      <w:szCs w:val="20"/>
    </w:rPr>
  </w:style>
  <w:style w:type="character" w:customStyle="1" w:styleId="233">
    <w:name w:val="表蕊 Char1"/>
    <w:link w:val="232"/>
    <w:autoRedefine/>
    <w:qFormat/>
    <w:uiPriority w:val="0"/>
    <w:rPr>
      <w:rFonts w:eastAsia="楷体_GB2312"/>
      <w:spacing w:val="-10"/>
      <w:sz w:val="21"/>
    </w:rPr>
  </w:style>
  <w:style w:type="character" w:customStyle="1" w:styleId="234">
    <w:name w:val="dec_font_style1"/>
    <w:autoRedefine/>
    <w:qFormat/>
    <w:uiPriority w:val="0"/>
    <w:rPr>
      <w:sz w:val="21"/>
      <w:szCs w:val="21"/>
    </w:rPr>
  </w:style>
  <w:style w:type="paragraph" w:customStyle="1" w:styleId="235">
    <w:name w:val="4"/>
    <w:basedOn w:val="1"/>
    <w:next w:val="1"/>
    <w:autoRedefine/>
    <w:qFormat/>
    <w:uiPriority w:val="0"/>
    <w:pPr>
      <w:spacing w:line="360" w:lineRule="auto"/>
      <w:ind w:firstLine="200" w:firstLineChars="200"/>
    </w:pPr>
  </w:style>
  <w:style w:type="paragraph" w:customStyle="1" w:styleId="236">
    <w:name w:val="char"/>
    <w:basedOn w:val="1"/>
    <w:autoRedefine/>
    <w:qFormat/>
    <w:uiPriority w:val="0"/>
    <w:pPr>
      <w:widowControl/>
      <w:spacing w:after="160"/>
      <w:jc w:val="left"/>
    </w:pPr>
    <w:rPr>
      <w:kern w:val="0"/>
      <w:sz w:val="20"/>
      <w:szCs w:val="20"/>
    </w:rPr>
  </w:style>
  <w:style w:type="paragraph" w:customStyle="1" w:styleId="237">
    <w:name w:val="Char Char Char1 Char Char Char Char Char Char Char Char Char Char Char Char Char"/>
    <w:basedOn w:val="1"/>
    <w:autoRedefine/>
    <w:qFormat/>
    <w:uiPriority w:val="0"/>
    <w:rPr>
      <w:szCs w:val="21"/>
    </w:rPr>
  </w:style>
  <w:style w:type="paragraph" w:customStyle="1" w:styleId="238">
    <w:name w:val="_Style 30"/>
    <w:basedOn w:val="1"/>
    <w:autoRedefine/>
    <w:qFormat/>
    <w:uiPriority w:val="0"/>
    <w:rPr>
      <w:sz w:val="24"/>
      <w:szCs w:val="20"/>
    </w:rPr>
  </w:style>
  <w:style w:type="paragraph" w:customStyle="1" w:styleId="239">
    <w:name w:val="Char Char1 Char"/>
    <w:basedOn w:val="1"/>
    <w:autoRedefine/>
    <w:qFormat/>
    <w:uiPriority w:val="0"/>
    <w:rPr>
      <w:sz w:val="24"/>
    </w:rPr>
  </w:style>
  <w:style w:type="paragraph" w:customStyle="1" w:styleId="240">
    <w:name w:val="表文"/>
    <w:basedOn w:val="18"/>
    <w:next w:val="11"/>
    <w:autoRedefine/>
    <w:qFormat/>
    <w:uiPriority w:val="0"/>
    <w:pPr>
      <w:widowControl w:val="0"/>
      <w:snapToGrid/>
      <w:spacing w:before="0" w:after="0" w:line="360" w:lineRule="auto"/>
      <w:ind w:right="0"/>
      <w:jc w:val="center"/>
    </w:pPr>
    <w:rPr>
      <w:rFonts w:eastAsia="仿宋_GB2312"/>
      <w:kern w:val="2"/>
      <w:sz w:val="24"/>
    </w:rPr>
  </w:style>
  <w:style w:type="paragraph" w:styleId="241">
    <w:name w:val="No Spacing"/>
    <w:link w:val="264"/>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43">
    <w:name w:val="正本文字 Char Char"/>
    <w:autoRedefine/>
    <w:qFormat/>
    <w:uiPriority w:val="0"/>
    <w:rPr>
      <w:rFonts w:ascii="宋体" w:hAnsi="宋体"/>
      <w:kern w:val="18"/>
      <w:sz w:val="24"/>
    </w:rPr>
  </w:style>
  <w:style w:type="paragraph" w:customStyle="1" w:styleId="244">
    <w:name w:val="【标题4】"/>
    <w:basedOn w:val="1"/>
    <w:autoRedefine/>
    <w:qFormat/>
    <w:uiPriority w:val="0"/>
    <w:pPr>
      <w:keepLines/>
      <w:tabs>
        <w:tab w:val="left" w:pos="1008"/>
        <w:tab w:val="left" w:pos="3501"/>
      </w:tabs>
      <w:spacing w:before="120" w:after="120"/>
      <w:ind w:left="2551" w:hanging="850"/>
      <w:jc w:val="left"/>
      <w:outlineLvl w:val="3"/>
    </w:pPr>
    <w:rPr>
      <w:rFonts w:asciiTheme="minorHAnsi" w:hAnsiTheme="minorHAnsi" w:eastAsiaTheme="minorEastAsia" w:cstheme="minorBidi"/>
      <w:b/>
      <w:bCs/>
      <w:sz w:val="28"/>
      <w:szCs w:val="22"/>
    </w:rPr>
  </w:style>
  <w:style w:type="character" w:customStyle="1" w:styleId="245">
    <w:name w:val="company-content"/>
    <w:basedOn w:val="44"/>
    <w:autoRedefine/>
    <w:qFormat/>
    <w:uiPriority w:val="0"/>
    <w:rPr>
      <w:sz w:val="24"/>
      <w:szCs w:val="24"/>
    </w:rPr>
  </w:style>
  <w:style w:type="paragraph" w:customStyle="1" w:styleId="246">
    <w:name w:val="2"/>
    <w:basedOn w:val="1"/>
    <w:next w:val="11"/>
    <w:autoRedefine/>
    <w:qFormat/>
    <w:uiPriority w:val="0"/>
    <w:pPr>
      <w:ind w:firstLine="200" w:firstLineChars="200"/>
    </w:pPr>
    <w:rPr>
      <w:color w:val="000000"/>
    </w:rPr>
  </w:style>
  <w:style w:type="paragraph" w:customStyle="1" w:styleId="247">
    <w:name w:val="Char Char2 Char Char Char Char91"/>
    <w:autoRedefine/>
    <w:qFormat/>
    <w:uiPriority w:val="0"/>
    <w:rPr>
      <w:rFonts w:ascii="宋体" w:hAnsi="宋体" w:eastAsia="宋体" w:cs="宋体"/>
      <w:sz w:val="24"/>
      <w:szCs w:val="24"/>
      <w:lang w:val="en-US" w:eastAsia="zh-CN" w:bidi="ar-SA"/>
    </w:rPr>
  </w:style>
  <w:style w:type="character" w:customStyle="1" w:styleId="248">
    <w:name w:val="不明显强调1"/>
    <w:basedOn w:val="44"/>
    <w:autoRedefine/>
    <w:qFormat/>
    <w:uiPriority w:val="19"/>
    <w:rPr>
      <w:i/>
      <w:iCs/>
      <w:color w:val="404040" w:themeColor="text1" w:themeTint="BF"/>
      <w14:textFill>
        <w14:solidFill>
          <w14:schemeClr w14:val="tx1">
            <w14:lumMod w14:val="75000"/>
            <w14:lumOff w14:val="25000"/>
          </w14:schemeClr>
        </w14:solidFill>
      </w14:textFill>
    </w:rPr>
  </w:style>
  <w:style w:type="paragraph" w:customStyle="1" w:styleId="249">
    <w:name w:val="正文小四首缩1.3行距"/>
    <w:basedOn w:val="1"/>
    <w:autoRedefine/>
    <w:qFormat/>
    <w:uiPriority w:val="0"/>
    <w:pPr>
      <w:spacing w:line="360" w:lineRule="auto"/>
      <w:ind w:firstLine="480" w:firstLineChars="200"/>
    </w:pPr>
    <w:rPr>
      <w:rFonts w:ascii="Calibri" w:hAnsi="Calibri"/>
      <w:bCs/>
      <w:sz w:val="24"/>
      <w:szCs w:val="20"/>
    </w:rPr>
  </w:style>
  <w:style w:type="paragraph" w:customStyle="1" w:styleId="250">
    <w:name w:val="图标标题"/>
    <w:basedOn w:val="1"/>
    <w:autoRedefine/>
    <w:qFormat/>
    <w:uiPriority w:val="0"/>
    <w:pPr>
      <w:spacing w:beforeLines="50"/>
      <w:jc w:val="center"/>
    </w:pPr>
    <w:rPr>
      <w:rFonts w:cs="宋体"/>
      <w:b/>
    </w:rPr>
  </w:style>
  <w:style w:type="paragraph" w:customStyle="1" w:styleId="251">
    <w:name w:val="表格标题"/>
    <w:basedOn w:val="32"/>
    <w:link w:val="258"/>
    <w:autoRedefine/>
    <w:qFormat/>
    <w:uiPriority w:val="0"/>
    <w:pPr>
      <w:jc w:val="center"/>
      <w:outlineLvl w:val="9"/>
    </w:pPr>
  </w:style>
  <w:style w:type="table" w:customStyle="1" w:styleId="252">
    <w:name w:val="网格型2"/>
    <w:basedOn w:val="42"/>
    <w:autoRedefine/>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3">
    <w:name w:val="D正文 Char"/>
    <w:basedOn w:val="254"/>
    <w:link w:val="256"/>
    <w:autoRedefine/>
    <w:qFormat/>
    <w:uiPriority w:val="0"/>
    <w:rPr>
      <w:rFonts w:hAnsi="宋体"/>
      <w:szCs w:val="24"/>
    </w:rPr>
  </w:style>
  <w:style w:type="character" w:customStyle="1" w:styleId="254">
    <w:name w:val="正文对的 Char"/>
    <w:link w:val="255"/>
    <w:autoRedefine/>
    <w:semiHidden/>
    <w:qFormat/>
    <w:uiPriority w:val="0"/>
    <w:rPr>
      <w:rFonts w:hAnsi="宋体"/>
      <w:szCs w:val="24"/>
    </w:rPr>
  </w:style>
  <w:style w:type="paragraph" w:customStyle="1" w:styleId="255">
    <w:name w:val="正文对的"/>
    <w:basedOn w:val="1"/>
    <w:link w:val="254"/>
    <w:autoRedefine/>
    <w:semiHidden/>
    <w:qFormat/>
    <w:uiPriority w:val="0"/>
    <w:pPr>
      <w:spacing w:line="500" w:lineRule="exact"/>
      <w:ind w:firstLine="200" w:firstLineChars="200"/>
      <w:jc w:val="left"/>
    </w:pPr>
    <w:rPr>
      <w:rFonts w:hAnsi="宋体"/>
      <w:kern w:val="0"/>
      <w:sz w:val="20"/>
    </w:rPr>
  </w:style>
  <w:style w:type="paragraph" w:customStyle="1" w:styleId="256">
    <w:name w:val="D正文"/>
    <w:basedOn w:val="255"/>
    <w:link w:val="253"/>
    <w:autoRedefine/>
    <w:qFormat/>
    <w:uiPriority w:val="0"/>
    <w:pPr>
      <w:adjustRightInd w:val="0"/>
      <w:snapToGrid w:val="0"/>
      <w:spacing w:line="360" w:lineRule="auto"/>
      <w:jc w:val="both"/>
    </w:pPr>
    <w:rPr>
      <w:rFonts w:hAnsi="Times New Roman"/>
    </w:rPr>
  </w:style>
  <w:style w:type="paragraph" w:customStyle="1" w:styleId="257">
    <w:name w:val="正文表格"/>
    <w:basedOn w:val="11"/>
    <w:autoRedefine/>
    <w:qFormat/>
    <w:uiPriority w:val="0"/>
    <w:pPr>
      <w:adjustRightInd w:val="0"/>
      <w:spacing w:line="360" w:lineRule="auto"/>
    </w:pPr>
    <w:rPr>
      <w:rFonts w:hAnsi="Calibri"/>
      <w:bCs/>
      <w:sz w:val="24"/>
      <w:szCs w:val="20"/>
    </w:rPr>
  </w:style>
  <w:style w:type="character" w:customStyle="1" w:styleId="258">
    <w:name w:val="表格标题 字符"/>
    <w:basedOn w:val="44"/>
    <w:link w:val="251"/>
    <w:autoRedefine/>
    <w:qFormat/>
    <w:uiPriority w:val="0"/>
    <w:rPr>
      <w:b/>
      <w:bCs/>
      <w:kern w:val="28"/>
      <w:sz w:val="21"/>
      <w:szCs w:val="32"/>
    </w:rPr>
  </w:style>
  <w:style w:type="paragraph" w:customStyle="1" w:styleId="259">
    <w:name w:val="表格首行"/>
    <w:basedOn w:val="99"/>
    <w:link w:val="260"/>
    <w:autoRedefine/>
    <w:qFormat/>
    <w:uiPriority w:val="0"/>
    <w:pPr>
      <w:widowControl/>
      <w:textAlignment w:val="center"/>
    </w:pPr>
    <w:rPr>
      <w:rFonts w:ascii="Times New Roman" w:hAnsi="Times New Roman" w:eastAsia="宋体"/>
      <w:b/>
      <w:color w:val="000000"/>
      <w:kern w:val="0"/>
      <w:sz w:val="21"/>
      <w:szCs w:val="21"/>
    </w:rPr>
  </w:style>
  <w:style w:type="character" w:customStyle="1" w:styleId="260">
    <w:name w:val="表格首行 字符"/>
    <w:basedOn w:val="44"/>
    <w:link w:val="259"/>
    <w:autoRedefine/>
    <w:qFormat/>
    <w:uiPriority w:val="0"/>
    <w:rPr>
      <w:b/>
      <w:color w:val="000000"/>
      <w:sz w:val="21"/>
      <w:szCs w:val="21"/>
    </w:rPr>
  </w:style>
  <w:style w:type="table" w:customStyle="1" w:styleId="261">
    <w:name w:val="jstri表格"/>
    <w:basedOn w:val="42"/>
    <w:autoRedefine/>
    <w:qFormat/>
    <w:uiPriority w:val="0"/>
    <w:pPr>
      <w:jc w:val="both"/>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262">
    <w:name w:val="表格文字 字符"/>
    <w:basedOn w:val="44"/>
    <w:autoRedefine/>
    <w:qFormat/>
    <w:uiPriority w:val="0"/>
    <w:rPr>
      <w:color w:val="000000" w:themeColor="text1"/>
      <w:kern w:val="2"/>
      <w:sz w:val="21"/>
      <w:szCs w:val="21"/>
      <w14:textFill>
        <w14:solidFill>
          <w14:schemeClr w14:val="tx1"/>
        </w14:solidFill>
      </w14:textFill>
    </w:rPr>
  </w:style>
  <w:style w:type="character" w:customStyle="1" w:styleId="263">
    <w:name w:val="批注主题 Char1"/>
    <w:basedOn w:val="96"/>
    <w:autoRedefine/>
    <w:semiHidden/>
    <w:qFormat/>
    <w:uiPriority w:val="99"/>
    <w:rPr>
      <w:b/>
      <w:bCs/>
      <w:kern w:val="2"/>
      <w:sz w:val="21"/>
      <w:szCs w:val="24"/>
    </w:rPr>
  </w:style>
  <w:style w:type="character" w:customStyle="1" w:styleId="264">
    <w:name w:val="无间隔 字符"/>
    <w:link w:val="241"/>
    <w:autoRedefine/>
    <w:qFormat/>
    <w:uiPriority w:val="1"/>
    <w:rPr>
      <w:rFonts w:ascii="Calibri" w:hAnsi="Calibri"/>
      <w:kern w:val="2"/>
      <w:sz w:val="21"/>
      <w:szCs w:val="22"/>
    </w:rPr>
  </w:style>
  <w:style w:type="character" w:customStyle="1" w:styleId="265">
    <w:name w:val="正文 首行缩进:  2 字符 Char"/>
    <w:link w:val="196"/>
    <w:autoRedefine/>
    <w:qFormat/>
    <w:uiPriority w:val="0"/>
    <w:rPr>
      <w:rFonts w:ascii="Calibri" w:hAnsi="Calibri"/>
      <w:kern w:val="2"/>
      <w:sz w:val="24"/>
    </w:rPr>
  </w:style>
  <w:style w:type="character" w:customStyle="1" w:styleId="266">
    <w:name w:val="Default Char"/>
    <w:link w:val="52"/>
    <w:autoRedefine/>
    <w:qFormat/>
    <w:uiPriority w:val="0"/>
    <w:rPr>
      <w:rFonts w:ascii="宋体" w:cs="宋体"/>
      <w:color w:val="000000"/>
      <w:sz w:val="24"/>
      <w:szCs w:val="24"/>
    </w:rPr>
  </w:style>
  <w:style w:type="paragraph" w:customStyle="1" w:styleId="267">
    <w:name w:val="et21"/>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kern w:val="0"/>
      <w:szCs w:val="21"/>
    </w:rPr>
  </w:style>
  <w:style w:type="paragraph" w:customStyle="1" w:styleId="268">
    <w:name w:val="TOC 81"/>
    <w:basedOn w:val="1"/>
    <w:next w:val="1"/>
    <w:autoRedefine/>
    <w:unhideWhenUsed/>
    <w:qFormat/>
    <w:uiPriority w:val="39"/>
    <w:pPr>
      <w:ind w:left="2940" w:leftChars="1400"/>
    </w:pPr>
    <w:rPr>
      <w:rFonts w:ascii="等线" w:hAnsi="等线" w:eastAsia="等线" w:cstheme="minorBidi"/>
      <w:szCs w:val="22"/>
    </w:rPr>
  </w:style>
  <w:style w:type="paragraph" w:customStyle="1" w:styleId="269">
    <w:name w:val="表格中文字"/>
    <w:basedOn w:val="1"/>
    <w:link w:val="270"/>
    <w:autoRedefine/>
    <w:qFormat/>
    <w:uiPriority w:val="0"/>
    <w:pPr>
      <w:adjustRightInd w:val="0"/>
      <w:snapToGrid w:val="0"/>
      <w:jc w:val="center"/>
    </w:pPr>
    <w:rPr>
      <w:kern w:val="18"/>
      <w:szCs w:val="21"/>
    </w:rPr>
  </w:style>
  <w:style w:type="character" w:customStyle="1" w:styleId="270">
    <w:name w:val="表格中文字 Char"/>
    <w:link w:val="269"/>
    <w:autoRedefine/>
    <w:qFormat/>
    <w:uiPriority w:val="0"/>
    <w:rPr>
      <w:kern w:val="18"/>
      <w:sz w:val="21"/>
      <w:szCs w:val="21"/>
    </w:rPr>
  </w:style>
  <w:style w:type="paragraph" w:customStyle="1" w:styleId="271">
    <w:name w:val="缩进正文"/>
    <w:basedOn w:val="1"/>
    <w:link w:val="272"/>
    <w:autoRedefine/>
    <w:qFormat/>
    <w:uiPriority w:val="0"/>
    <w:pPr>
      <w:spacing w:line="360" w:lineRule="auto"/>
      <w:ind w:firstLine="720" w:firstLineChars="200"/>
    </w:pPr>
    <w:rPr>
      <w:sz w:val="24"/>
    </w:rPr>
  </w:style>
  <w:style w:type="character" w:customStyle="1" w:styleId="272">
    <w:name w:val="缩进正文 Char"/>
    <w:link w:val="271"/>
    <w:autoRedefine/>
    <w:qFormat/>
    <w:uiPriority w:val="0"/>
    <w:rPr>
      <w:kern w:val="2"/>
      <w:sz w:val="24"/>
      <w:szCs w:val="24"/>
    </w:rPr>
  </w:style>
  <w:style w:type="paragraph" w:customStyle="1" w:styleId="273">
    <w:name w:val="1、小标题"/>
    <w:basedOn w:val="38"/>
    <w:autoRedefine/>
    <w:qFormat/>
    <w:uiPriority w:val="0"/>
    <w:pPr>
      <w:autoSpaceDE w:val="0"/>
      <w:autoSpaceDN w:val="0"/>
      <w:adjustRightInd w:val="0"/>
      <w:snapToGrid w:val="0"/>
      <w:spacing w:line="360" w:lineRule="auto"/>
      <w:jc w:val="left"/>
    </w:pPr>
    <w:rPr>
      <w:rFonts w:ascii="Times New Roman" w:hAnsi="Times New Roman" w:cs="宋体"/>
      <w:bCs w:val="0"/>
      <w:kern w:val="0"/>
      <w:sz w:val="24"/>
      <w:szCs w:val="21"/>
    </w:rPr>
  </w:style>
  <w:style w:type="character" w:customStyle="1" w:styleId="274">
    <w:name w:val="标题 字符"/>
    <w:basedOn w:val="44"/>
    <w:link w:val="38"/>
    <w:autoRedefine/>
    <w:qFormat/>
    <w:uiPriority w:val="0"/>
    <w:rPr>
      <w:rFonts w:asciiTheme="majorHAnsi" w:hAnsiTheme="majorHAnsi" w:cstheme="majorBidi"/>
      <w:b/>
      <w:bCs/>
      <w:kern w:val="2"/>
      <w:sz w:val="32"/>
      <w:szCs w:val="32"/>
    </w:rPr>
  </w:style>
  <w:style w:type="paragraph" w:customStyle="1" w:styleId="275">
    <w:name w:val="（1）小标题"/>
    <w:basedOn w:val="38"/>
    <w:autoRedefine/>
    <w:qFormat/>
    <w:uiPriority w:val="0"/>
    <w:pPr>
      <w:autoSpaceDE w:val="0"/>
      <w:autoSpaceDN w:val="0"/>
      <w:adjustRightInd w:val="0"/>
      <w:snapToGrid w:val="0"/>
      <w:spacing w:line="360" w:lineRule="auto"/>
      <w:jc w:val="left"/>
    </w:pPr>
    <w:rPr>
      <w:rFonts w:ascii="Times New Roman" w:hAnsi="Times New Roman" w:cs="宋体"/>
      <w:bCs w:val="0"/>
      <w:kern w:val="0"/>
      <w:sz w:val="24"/>
      <w:szCs w:val="21"/>
    </w:rPr>
  </w:style>
  <w:style w:type="paragraph" w:customStyle="1" w:styleId="276">
    <w:name w:val="正文61"/>
    <w:basedOn w:val="1"/>
    <w:autoRedefine/>
    <w:qFormat/>
    <w:uiPriority w:val="0"/>
    <w:pPr>
      <w:snapToGrid w:val="0"/>
      <w:spacing w:line="360" w:lineRule="auto"/>
      <w:ind w:firstLine="200" w:firstLineChars="200"/>
    </w:pPr>
    <w:rPr>
      <w:szCs w:val="20"/>
    </w:rPr>
  </w:style>
  <w:style w:type="paragraph" w:customStyle="1" w:styleId="277">
    <w:name w:val="表格 普通文字"/>
    <w:basedOn w:val="55"/>
    <w:autoRedefine/>
    <w:qFormat/>
    <w:uiPriority w:val="0"/>
    <w:pPr>
      <w:jc w:val="center"/>
    </w:pPr>
    <w:rPr>
      <w:rFonts w:ascii="Calibri" w:hAnsi="Calibri"/>
      <w:sz w:val="21"/>
    </w:rPr>
  </w:style>
  <w:style w:type="paragraph" w:customStyle="1" w:styleId="278">
    <w:name w:val="环评正文"/>
    <w:link w:val="279"/>
    <w:autoRedefine/>
    <w:qFormat/>
    <w:uiPriority w:val="0"/>
    <w:pPr>
      <w:widowControl w:val="0"/>
      <w:adjustRightInd w:val="0"/>
      <w:snapToGrid w:val="0"/>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279">
    <w:name w:val="环评正文 Char"/>
    <w:link w:val="278"/>
    <w:autoRedefine/>
    <w:qFormat/>
    <w:uiPriority w:val="0"/>
    <w:rPr>
      <w:rFonts w:ascii="Times New Roman" w:hAnsi="Times New Roman" w:eastAsia="宋体" w:cs="Times New Roman"/>
      <w:sz w:val="24"/>
      <w:szCs w:val="24"/>
      <w:lang w:val="en-US" w:eastAsia="zh-CN" w:bidi="ar-SA"/>
    </w:rPr>
  </w:style>
  <w:style w:type="paragraph" w:customStyle="1" w:styleId="280">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281">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282">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83">
    <w:name w:val="5文章(治)"/>
    <w:basedOn w:val="1"/>
    <w:autoRedefine/>
    <w:qFormat/>
    <w:uiPriority w:val="0"/>
    <w:pPr>
      <w:spacing w:line="360" w:lineRule="auto"/>
      <w:ind w:firstLine="560" w:firstLineChars="200"/>
    </w:pPr>
    <w:rPr>
      <w:rFonts w:eastAsia="楷体_GB2312"/>
      <w:sz w:val="28"/>
      <w:szCs w:val="28"/>
    </w:rPr>
  </w:style>
  <w:style w:type="paragraph" w:customStyle="1" w:styleId="284">
    <w:name w:val="C-表头"/>
    <w:basedOn w:val="1"/>
    <w:autoRedefine/>
    <w:qFormat/>
    <w:uiPriority w:val="0"/>
    <w:pPr>
      <w:spacing w:before="20" w:beforeLines="20" w:after="20" w:afterLines="20" w:line="240" w:lineRule="atLeast"/>
      <w:jc w:val="center"/>
    </w:pPr>
    <w:rPr>
      <w:rFonts w:eastAsia="仿宋_GB2312"/>
      <w:b/>
      <w:sz w:val="24"/>
    </w:rPr>
  </w:style>
  <w:style w:type="paragraph" w:customStyle="1" w:styleId="285">
    <w:name w:val="表图"/>
    <w:basedOn w:val="1"/>
    <w:next w:val="1"/>
    <w:autoRedefine/>
    <w:qFormat/>
    <w:uiPriority w:val="0"/>
    <w:pPr>
      <w:adjustRightInd w:val="0"/>
      <w:snapToGrid w:val="0"/>
      <w:spacing w:after="200"/>
      <w:jc w:val="center"/>
    </w:pPr>
    <w:rPr>
      <w:color w:val="000000"/>
      <w:szCs w:val="22"/>
    </w:rPr>
  </w:style>
  <w:style w:type="paragraph" w:customStyle="1" w:styleId="286">
    <w:name w:val="Table Text"/>
    <w:basedOn w:val="1"/>
    <w:autoRedefine/>
    <w:qFormat/>
    <w:uiPriority w:val="0"/>
    <w:pPr>
      <w:spacing w:before="30" w:after="30"/>
    </w:pPr>
    <w:rPr>
      <w:rFonts w:ascii="Arial" w:hAnsi="Arial"/>
      <w:snapToGrid w:val="0"/>
      <w:kern w:val="0"/>
      <w:sz w:val="16"/>
      <w:szCs w:val="20"/>
      <w:lang w:eastAsia="en-US"/>
    </w:rPr>
  </w:style>
  <w:style w:type="table" w:customStyle="1" w:styleId="287">
    <w:name w:val="Table Normal"/>
    <w:autoRedefine/>
    <w:unhideWhenUsed/>
    <w:qFormat/>
    <w:uiPriority w:val="0"/>
    <w:tblPr>
      <w:tblCellMar>
        <w:top w:w="0" w:type="dxa"/>
        <w:left w:w="0" w:type="dxa"/>
        <w:bottom w:w="0" w:type="dxa"/>
        <w:right w:w="0" w:type="dxa"/>
      </w:tblCellMar>
    </w:tblPr>
  </w:style>
  <w:style w:type="paragraph" w:customStyle="1" w:styleId="288">
    <w:name w:val="xl26"/>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Cs w:val="21"/>
    </w:rPr>
  </w:style>
  <w:style w:type="paragraph" w:customStyle="1" w:styleId="289">
    <w:name w:val="表文字"/>
    <w:basedOn w:val="18"/>
    <w:next w:val="1"/>
    <w:autoRedefine/>
    <w:qFormat/>
    <w:uiPriority w:val="0"/>
    <w:pPr>
      <w:widowControl/>
      <w:jc w:val="center"/>
    </w:pPr>
    <w:rPr>
      <w:rFonts w:ascii="宋体" w:hAnsi="宋体" w:cs="宋体"/>
      <w:kern w:val="0"/>
      <w:szCs w:val="21"/>
    </w:rPr>
  </w:style>
  <w:style w:type="paragraph" w:customStyle="1" w:styleId="290">
    <w:name w:val="表格或图"/>
    <w:basedOn w:val="1"/>
    <w:autoRedefine/>
    <w:qFormat/>
    <w:uiPriority w:val="0"/>
    <w:pPr>
      <w:spacing w:line="240" w:lineRule="auto"/>
      <w:jc w:val="center"/>
    </w:pPr>
    <w:rPr>
      <w:rFonts w:cstheme="majorBidi"/>
      <w:bCs/>
      <w:sz w:val="21"/>
      <w:szCs w:val="32"/>
    </w:rPr>
  </w:style>
  <w:style w:type="paragraph" w:customStyle="1" w:styleId="291">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EE8DD-3088-43FD-BDB4-34E10CE1253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91</Pages>
  <Words>782</Words>
  <Characters>841</Characters>
  <Lines>456</Lines>
  <Paragraphs>128</Paragraphs>
  <TotalTime>2</TotalTime>
  <ScaleCrop>false</ScaleCrop>
  <LinksUpToDate>false</LinksUpToDate>
  <CharactersWithSpaces>902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2021-01-25T03:12:00Z</dcterms:created>
  <dc:creator>lhj</dc:creator>
  <cp:lastModifiedBy>a moon</cp:lastModifiedBy>
  <cp:lastPrinted>2024-08-27T01:42:00Z</cp:lastPrinted>
  <dcterms:modified xsi:type="dcterms:W3CDTF">2025-05-14T06:54:08Z</dcterms:modified>
  <dc:title>附件2</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6B8EDA1D406A44368F50F31D0632B807_13</vt:lpwstr>
  </property>
  <property fmtid="{D5CDD505-2E9C-101B-9397-08002B2CF9AE}" pid="4" name="KSOTemplateDocerSaveRecord">
    <vt:lpwstr>eyJoZGlkIjoiOWIwOTc1N2ZjYTgzNTU1ZjhhMzEzZTEwYjExMzIyNmIiLCJ1c2VySWQiOiIyNjEyMzM3ODAifQ==</vt:lpwstr>
  </property>
</Properties>
</file>